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6"/>
          <w:szCs w:val="16"/>
          <w:b w:val="1"/>
          <w:bCs w:val="1"/>
          <w:color w:val="auto"/>
        </w:rPr>
        <w:t>Filed Pursuant to Rule 424(b)(3)</w:t>
      </w:r>
    </w:p>
    <w:p>
      <w:pPr>
        <w:spacing w:after="0" w:line="16"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Registration No. 333-290052</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CID HoldCo, Inc.</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Up to 29,701,559 shares of Common Stock </w:t>
      </w:r>
      <w:r>
        <w:rPr>
          <w:rFonts w:ascii="Times New Roman" w:cs="Times New Roman" w:eastAsia="Times New Roman" w:hAnsi="Times New Roman"/>
          <w:sz w:val="16"/>
          <w:szCs w:val="16"/>
          <w:b w:val="1"/>
          <w:bCs w:val="1"/>
          <w:i w:val="1"/>
          <w:iCs w:val="1"/>
          <w:color w:val="auto"/>
        </w:rPr>
        <w:t>(for resale)</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655,000 Warrants to Purchase shares of Common Stock </w:t>
      </w:r>
      <w:r>
        <w:rPr>
          <w:rFonts w:ascii="Times New Roman" w:cs="Times New Roman" w:eastAsia="Times New Roman" w:hAnsi="Times New Roman"/>
          <w:sz w:val="16"/>
          <w:szCs w:val="16"/>
          <w:b w:val="1"/>
          <w:bCs w:val="1"/>
          <w:i w:val="1"/>
          <w:iCs w:val="1"/>
          <w:color w:val="auto"/>
        </w:rPr>
        <w:t>(for resale)</w:t>
      </w:r>
    </w:p>
    <w:p>
      <w:pPr>
        <w:jc w:val="center"/>
        <w:spacing w:after="0"/>
        <w:rPr>
          <w:sz w:val="20"/>
          <w:szCs w:val="20"/>
          <w:color w:val="auto"/>
        </w:rPr>
      </w:pPr>
      <w:r>
        <w:rPr>
          <w:rFonts w:ascii="Times New Roman" w:cs="Times New Roman" w:eastAsia="Times New Roman" w:hAnsi="Times New Roman"/>
          <w:sz w:val="16"/>
          <w:szCs w:val="16"/>
          <w:b w:val="1"/>
          <w:bCs w:val="1"/>
          <w:color w:val="auto"/>
        </w:rPr>
        <w:t>Up to 14,999,983 shares of Common Stock Issuable upon Exercise of the Warrants</w:t>
      </w:r>
      <w:r>
        <w:rPr>
          <w:rFonts w:ascii="Times New Roman" w:cs="Times New Roman" w:eastAsia="Times New Roman" w:hAnsi="Times New Roman"/>
          <w:sz w:val="16"/>
          <w:szCs w:val="16"/>
          <w:b w:val="1"/>
          <w:bCs w:val="1"/>
          <w:i w:val="1"/>
          <w:iCs w:val="1"/>
          <w:color w:val="auto"/>
        </w:rPr>
        <w:t>(for issuance)</w:t>
      </w:r>
    </w:p>
    <w:p>
      <w:pPr>
        <w:spacing w:after="0" w:line="158" w:lineRule="exact"/>
        <w:rPr>
          <w:sz w:val="24"/>
          <w:szCs w:val="24"/>
          <w:color w:val="auto"/>
        </w:rPr>
      </w:pPr>
    </w:p>
    <w:p>
      <w:pPr>
        <w:jc w:val="both"/>
        <w:spacing w:after="0" w:line="236" w:lineRule="auto"/>
        <w:rPr>
          <w:sz w:val="20"/>
          <w:szCs w:val="20"/>
          <w:color w:val="auto"/>
        </w:rPr>
      </w:pPr>
      <w:r>
        <w:rPr>
          <w:rFonts w:ascii="Times New Roman" w:cs="Times New Roman" w:eastAsia="Times New Roman" w:hAnsi="Times New Roman"/>
          <w:sz w:val="16"/>
          <w:szCs w:val="16"/>
          <w:color w:val="auto"/>
        </w:rPr>
        <w:t>This prospectus relates to the offer and sale from time to time of our common stock, par value $0.0001 per share (the “Common Stock”), by the selling security holders identified in this prospectus (including their transferees, donees, pledgees and other successors-in-interest) (the “Selling Securityholders”) of: (1) up to 29,701,559 shares of Common Stock (the “Total Resale Shares”), including (i) 11,522,565 shares of Common Stock which shares were originally issued to certain SEE ID Equityholders (as defined herein) in connection with the consummation of the Business Combination as merger consideration at an equity consideration value of $10.00 per share; (ii) up to 7,365,834 shares of Common Stock (the “Founder Shares”) issued in connection with the consummation of the Business Combination, originally issued in a private placement to ShoulderUp Technology Sponsor LLC, a Delaware limited liability company (“Sponsor”); (iii) up to 1,310,000 shares of Common Stock (the “Private Placement Shares”) originally issued in a private placement to the Sponsor as part of the private placement units (the “Private Placement Units”) at a price of $10.00 per Private Placement Unit; (iv) up to 3,323,536 shares of Common Stock (the “PIPE Shares”) originally issued in a private placement to certain investors pursuant to the PIPE Subscription Agreements (as defined below) at price of $4.00 per share; (v) up to 5,524,624 New Circle Shares issuable pursuant to the ELOC Agreement (as defined herein), comprised of (a) 85,995 shares issuable to New Circle (the “Commitment Shares”), based on the commitment fee of $ 350,000 to be calculated using the market value of the closing price of the Common Stock on the date this Registration Statement is declared effective by the SEC, and (b) 5,438,629 shares of Common Stock (the “ELOC Shares” and together with the Commitment Shares, the “New Circle Shares”) that we may, in our sole discretion, elect to issue and sell to New Circle, from time to time after the date of this prospectus, as part of the Total Commitment (as defined herein) pursuant to (and limited by the terms of) the ELOC Agreement; (vi) up to 655,000 shares of Common Stock that are issuable by us upon the exercise of the Private Placement Warrants (the “Private Placement Warrants”) following the public resale of the Private Placement Warrants by the Selling Securityholders; and (2) up to 655,000 Private Placement Warrants originally issued to the Sponsor as part of the Private Placement Units in a private placement at a price of $10.00 per Private Placement Unit, currently exercisable at a price of $11.50 per share.</w:t>
      </w:r>
    </w:p>
    <w:p>
      <w:pPr>
        <w:spacing w:after="0" w:line="165" w:lineRule="exact"/>
        <w:rPr>
          <w:sz w:val="24"/>
          <w:szCs w:val="24"/>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In addition, this prospectus also relates to the issuance by us of up to 14,999,983 shares of Common Stock Common Stock issuable upon the exercise of 14,999,983 public warrants, originally issued by ShoulderUp Technology Acquisition Corp. (“SUAC”) as part of its initial public offering (the “IPO”) of units at a price of $10.00 per unit, such units were comprised of one Class A common stock of SUAC and one- half of one redeemable warrant, which are currently exercisable at a price of $11.50 per share of our Common Stock (the “Public Warrants” and together with the Private Placement Warrants, the “Warrants”). All of the Public Warrants were assumed by us in connection with the Business Combination (as defined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229870</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We will not receive any proceeds from the sale of shares of our Common Stock or Warrants by the Selling Securityholders pursuant to this prospectus, except with respect to amounts received by us upon exercise of the Public Warrants to the extent such Public Warrants are exercised for cash, which amount of aggregate proceeds, assuming the exercise of all Public Warrants for cash, could be up to approximately $172,499,805. We believe the likelihood that Public Warrant holders will exercise their Public Warrants, and therefore the amount of cash proceeds that we would receive, is dependent upon the market price of our Common Stock (as defined below). If the market price for our Common Stock is less than $11.50 per share, we believe the Public Warrant holders will be less likely to exercise their Warrants.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135" w:lineRule="exact"/>
        <w:rPr>
          <w:sz w:val="24"/>
          <w:szCs w:val="24"/>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Please see “Plan of Distribution” for more information. In addition, certain of the securities being registered hereby are subject to vesting and/or transfer restrictions that may prevent the Selling Securityholders from offering or selling of such securities upon the effectiveness of the registration statement of which this prospectus is a part. See “Description of Securities” for more information.</w:t>
      </w:r>
    </w:p>
    <w:p>
      <w:pPr>
        <w:spacing w:after="0" w:line="157" w:lineRule="exact"/>
        <w:rPr>
          <w:sz w:val="24"/>
          <w:szCs w:val="24"/>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You should read this prospectus and any prospectus supplement or amendment carefully before you invest in our securities. Our Common Stock and Public Warrants are traded on the Nasdaq Stock Market LLC under the symbol “DAIC” and “DAICW”, respectively. On September 17, 2025, the last reported sale price of our Common Stock on the Nasdaq Stock Market LLC was $3.31 per share, and the closing price of our Public Warrants was $0.1649 per Public Warrant.</w:t>
      </w:r>
    </w:p>
    <w:p>
      <w:pPr>
        <w:spacing w:after="0" w:line="152" w:lineRule="exact"/>
        <w:rPr>
          <w:sz w:val="24"/>
          <w:szCs w:val="24"/>
          <w:color w:val="auto"/>
        </w:rPr>
      </w:pPr>
    </w:p>
    <w:p>
      <w:pPr>
        <w:jc w:val="both"/>
        <w:ind w:right="20"/>
        <w:spacing w:after="0" w:line="276" w:lineRule="auto"/>
        <w:rPr>
          <w:sz w:val="20"/>
          <w:szCs w:val="20"/>
          <w:color w:val="auto"/>
        </w:rPr>
      </w:pPr>
      <w:r>
        <w:rPr>
          <w:rFonts w:ascii="Times New Roman" w:cs="Times New Roman" w:eastAsia="Times New Roman" w:hAnsi="Times New Roman"/>
          <w:sz w:val="14"/>
          <w:szCs w:val="14"/>
          <w:color w:val="auto"/>
        </w:rPr>
        <w:t>In connection with the Business Combination, holders of 2,000 SUAC Public Shares (as defined below) exercised their right to redeem those shares for cash at a price of approximately $11.00 per share, for an aggregate price of approximately $22,019, which represented approximately .39% of the total SUAC Public Shares then outstanding. The Total Resale Shares being offered for resale in this prospectus represent 107.47% of our current total outstanding Common Stock. The Total Resale Shares represent a substantial percentage of our total outstanding Common Stock as of the date of this prospectus. Additionally, if all of the Private Placement Warrants are exercised, the Selling Securityholders would own an additional 655,000 shares of Common Stock, representing an additional 2.37% of the then total outstanding Common Stock. The sale of all securities being offered in this prospectus could result in a significant decline in the public trading price of our Common Stock. Even if the current trading price of the Common Stock is close to the price at which the units were issued in SUAC’s initial public offering, the Selling Securityholders have an incentive to sell because they will still profit on sales due to the lower price at which they purchased their shares compared to the public investors. The public securityholders may not experience a similar rate of return on the securities they purchase due to differences in the purchase prices and the current trading price.</w:t>
      </w:r>
    </w:p>
    <w:p>
      <w:pPr>
        <w:spacing w:after="0" w:line="134" w:lineRule="exact"/>
        <w:rPr>
          <w:sz w:val="24"/>
          <w:szCs w:val="24"/>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We are an “emerging growth company” under federal securities laws and are subject to reduced public company reporting requirements. Investing in our Common Stock involves a high degree of risk. See “Risk Factors” beginning on page 7 of this prospectus.</w:t>
      </w:r>
    </w:p>
    <w:p>
      <w:pPr>
        <w:spacing w:after="0" w:line="141" w:lineRule="exact"/>
        <w:rPr>
          <w:sz w:val="24"/>
          <w:szCs w:val="24"/>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date of this prospectus is September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243205</wp:posOffset>
            </wp:positionV>
            <wp:extent cx="670750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40" w:type="dxa"/>
            <w:vAlign w:val="bottom"/>
            <w:gridSpan w:val="2"/>
          </w:tcPr>
          <w:p>
            <w:pPr>
              <w:ind w:left="25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920" w:type="dxa"/>
            <w:vAlign w:val="bottom"/>
            <w:tcBorders>
              <w:bottom w:val="single" w:sz="8" w:color="0000EE"/>
            </w:tcBorders>
            <w:gridSpan w:val="2"/>
            <w:shd w:val="clear" w:color="auto" w:fill="CCEEFF"/>
          </w:tcPr>
          <w:p>
            <w:pPr>
              <w:spacing w:after="0" w:line="156" w:lineRule="exact"/>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ABOUT THIS PROSPECTUS</w:t>
              </w:r>
            </w:hyperlink>
          </w:p>
        </w:tc>
        <w:tc>
          <w:tcPr>
            <w:tcW w:w="6140" w:type="dxa"/>
            <w:vAlign w:val="bottom"/>
            <w:tcBorders>
              <w:bottom w:val="single" w:sz="8" w:color="CCEEFF"/>
            </w:tcBorders>
            <w:gridSpan w:val="2"/>
            <w:shd w:val="clear" w:color="auto" w:fill="CCEEFF"/>
          </w:tcPr>
          <w:p>
            <w:pPr>
              <w:spacing w:after="0"/>
              <w:rPr>
                <w:sz w:val="13"/>
                <w:szCs w:val="13"/>
                <w:color w:val="auto"/>
              </w:rPr>
            </w:pPr>
          </w:p>
        </w:tc>
        <w:tc>
          <w:tcPr>
            <w:tcW w:w="2480" w:type="dxa"/>
            <w:vAlign w:val="bottom"/>
            <w:tcBorders>
              <w:bottom w:val="single" w:sz="8" w:color="CCEEFF"/>
            </w:tcBorders>
            <w:shd w:val="clear" w:color="auto" w:fill="CCEEFF"/>
          </w:tcPr>
          <w:p>
            <w:pPr>
              <w:ind w:left="1980"/>
              <w:spacing w:after="0" w:line="156" w:lineRule="exact"/>
              <w:rPr>
                <w:sz w:val="20"/>
                <w:szCs w:val="20"/>
                <w:color w:val="auto"/>
              </w:rPr>
            </w:pPr>
            <w:r>
              <w:rPr>
                <w:rFonts w:ascii="Times New Roman" w:cs="Times New Roman" w:eastAsia="Times New Roman" w:hAnsi="Times New Roman"/>
                <w:sz w:val="16"/>
                <w:szCs w:val="16"/>
                <w:color w:val="auto"/>
              </w:rPr>
              <w:t>ii</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60" w:type="dxa"/>
            <w:vAlign w:val="bottom"/>
            <w:gridSpan w:val="4"/>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CAUTIONARY NOTE REGARDING FORWARD-LOOKING STATEMENTS</w:t>
              </w:r>
            </w:hyperlink>
          </w:p>
        </w:tc>
        <w:tc>
          <w:tcPr>
            <w:tcW w:w="2480" w:type="dxa"/>
            <w:vAlign w:val="bottom"/>
          </w:tcPr>
          <w:p>
            <w:pPr>
              <w:ind w:left="1960"/>
              <w:spacing w:after="0" w:line="156" w:lineRule="exact"/>
              <w:rPr>
                <w:sz w:val="20"/>
                <w:szCs w:val="20"/>
                <w:color w:val="auto"/>
              </w:rPr>
            </w:pPr>
            <w:r>
              <w:rPr>
                <w:rFonts w:ascii="Times New Roman" w:cs="Times New Roman" w:eastAsia="Times New Roman" w:hAnsi="Times New Roman"/>
                <w:sz w:val="16"/>
                <w:szCs w:val="16"/>
                <w:color w:val="auto"/>
              </w:rPr>
              <w:t>iv</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00" w:type="dxa"/>
            <w:vAlign w:val="bottom"/>
            <w:tcBorders>
              <w:top w:val="single" w:sz="8" w:color="0000EE"/>
              <w:bottom w:val="single" w:sz="8" w:color="0000EE"/>
            </w:tcBorders>
            <w:shd w:val="clear" w:color="auto" w:fill="CCEEFF"/>
          </w:tcPr>
          <w:p>
            <w:pPr>
              <w:spacing w:after="0" w:line="156" w:lineRule="exact"/>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PROSPECTUS SUMMARY</w:t>
              </w:r>
            </w:hyperlink>
          </w:p>
        </w:tc>
        <w:tc>
          <w:tcPr>
            <w:tcW w:w="3240" w:type="dxa"/>
            <w:vAlign w:val="bottom"/>
            <w:tcBorders>
              <w:top w:val="single" w:sz="8" w:color="0000EE"/>
              <w:bottom w:val="single" w:sz="8" w:color="CCEEFF"/>
            </w:tcBorders>
            <w:gridSpan w:val="2"/>
            <w:shd w:val="clear" w:color="auto" w:fill="CCEEFF"/>
          </w:tcPr>
          <w:p>
            <w:pPr>
              <w:spacing w:after="0"/>
              <w:rPr>
                <w:sz w:val="13"/>
                <w:szCs w:val="13"/>
                <w:color w:val="auto"/>
              </w:rPr>
            </w:pPr>
          </w:p>
        </w:tc>
        <w:tc>
          <w:tcPr>
            <w:tcW w:w="3020" w:type="dxa"/>
            <w:vAlign w:val="bottom"/>
            <w:tcBorders>
              <w:bottom w:val="single" w:sz="8" w:color="CCEEFF"/>
            </w:tcBorders>
            <w:shd w:val="clear" w:color="auto" w:fill="CCEEFF"/>
          </w:tcPr>
          <w:p>
            <w:pPr>
              <w:spacing w:after="0"/>
              <w:rPr>
                <w:sz w:val="13"/>
                <w:szCs w:val="13"/>
                <w:color w:val="auto"/>
              </w:rPr>
            </w:pPr>
          </w:p>
        </w:tc>
        <w:tc>
          <w:tcPr>
            <w:tcW w:w="2480" w:type="dxa"/>
            <w:vAlign w:val="bottom"/>
            <w:tcBorders>
              <w:bottom w:val="single" w:sz="8" w:color="CCEEFF"/>
            </w:tcBorders>
            <w:shd w:val="clear" w:color="auto" w:fill="CCEEFF"/>
          </w:tcPr>
          <w:p>
            <w:pPr>
              <w:ind w:left="1980"/>
              <w:spacing w:after="0" w:line="156"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bl>
    <w:p>
      <w:pPr>
        <w:sectPr>
          <w:pgSz w:w="11900" w:h="16840" w:orient="portrait"/>
          <w:cols w:equalWidth="0" w:num="1">
            <w:col w:w="10580"/>
          </w:cols>
          <w:pgMar w:left="660" w:top="555" w:right="660" w:bottom="149"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80" w:type="dxa"/>
            <w:vAlign w:val="bottom"/>
            <w:gridSpan w:val="15"/>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THE OFFERING</w:t>
              </w:r>
            </w:hyperlink>
          </w:p>
        </w:tc>
        <w:tc>
          <w:tcPr>
            <w:tcW w:w="1680" w:type="dxa"/>
            <w:vAlign w:val="bottom"/>
          </w:tcPr>
          <w:p>
            <w:pPr>
              <w:jc w:val="center"/>
              <w:ind w:left="682"/>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8860" w:type="dxa"/>
            <w:vAlign w:val="bottom"/>
            <w:gridSpan w:val="14"/>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RISK FACTORS</w:t>
              </w:r>
            </w:hyperlink>
          </w:p>
        </w:tc>
        <w:tc>
          <w:tcPr>
            <w:tcW w:w="1680" w:type="dxa"/>
            <w:vAlign w:val="bottom"/>
            <w:shd w:val="clear" w:color="auto" w:fill="CCEEFF"/>
          </w:tcPr>
          <w:p>
            <w:pPr>
              <w:jc w:val="center"/>
              <w:ind w:left="682"/>
              <w:spacing w:after="0" w:line="156" w:lineRule="exact"/>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1360" w:type="dxa"/>
            <w:vAlign w:val="bottom"/>
            <w:tcBorders>
              <w:bottom w:val="single" w:sz="8" w:color="0000EE"/>
            </w:tcBorders>
            <w:gridSpan w:val="4"/>
          </w:tcPr>
          <w:p>
            <w:pPr>
              <w:spacing w:after="0" w:line="156" w:lineRule="exact"/>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USE OF PROCEEDS</w:t>
              </w:r>
            </w:hyperlink>
          </w:p>
        </w:tc>
        <w:tc>
          <w:tcPr>
            <w:tcW w:w="7500" w:type="dxa"/>
            <w:vAlign w:val="bottom"/>
            <w:gridSpan w:val="10"/>
          </w:tcPr>
          <w:p>
            <w:pPr>
              <w:spacing w:after="0"/>
              <w:rPr>
                <w:sz w:val="13"/>
                <w:szCs w:val="13"/>
                <w:color w:val="auto"/>
              </w:rPr>
            </w:pPr>
          </w:p>
        </w:tc>
        <w:tc>
          <w:tcPr>
            <w:tcW w:w="1680" w:type="dxa"/>
            <w:vAlign w:val="bottom"/>
          </w:tcPr>
          <w:p>
            <w:pPr>
              <w:jc w:val="center"/>
              <w:ind w:left="682"/>
              <w:spacing w:after="0" w:line="156" w:lineRule="exact"/>
              <w:rPr>
                <w:sz w:val="20"/>
                <w:szCs w:val="20"/>
                <w:color w:val="auto"/>
              </w:rPr>
            </w:pPr>
            <w:r>
              <w:rPr>
                <w:rFonts w:ascii="Times New Roman" w:cs="Times New Roman" w:eastAsia="Times New Roman" w:hAnsi="Times New Roman"/>
                <w:sz w:val="16"/>
                <w:szCs w:val="16"/>
                <w:color w:val="auto"/>
                <w:w w:val="99"/>
              </w:rPr>
              <w:t>43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60" w:type="dxa"/>
            <w:vAlign w:val="bottom"/>
            <w:gridSpan w:val="14"/>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DETERMINATION OF OFFERING PRICE</w:t>
              </w:r>
            </w:hyperlink>
          </w:p>
        </w:tc>
        <w:tc>
          <w:tcPr>
            <w:tcW w:w="1680" w:type="dxa"/>
            <w:vAlign w:val="bottom"/>
            <w:shd w:val="clear" w:color="auto" w:fill="CCEEFF"/>
          </w:tcPr>
          <w:p>
            <w:pPr>
              <w:jc w:val="center"/>
              <w:ind w:left="682"/>
              <w:spacing w:after="0" w:line="156" w:lineRule="exact"/>
              <w:rPr>
                <w:sz w:val="20"/>
                <w:szCs w:val="20"/>
                <w:color w:val="auto"/>
              </w:rPr>
            </w:pPr>
            <w:r>
              <w:rPr>
                <w:rFonts w:ascii="Times New Roman" w:cs="Times New Roman" w:eastAsia="Times New Roman" w:hAnsi="Times New Roman"/>
                <w:sz w:val="16"/>
                <w:szCs w:val="16"/>
                <w:color w:val="auto"/>
                <w:w w:val="99"/>
              </w:rPr>
              <w:t>44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8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8860" w:type="dxa"/>
            <w:vAlign w:val="bottom"/>
            <w:gridSpan w:val="14"/>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MARKET INFORMATION FOR SECURITIES AND DIVIDEND POLICY</w:t>
              </w:r>
            </w:hyperlink>
          </w:p>
        </w:tc>
        <w:tc>
          <w:tcPr>
            <w:tcW w:w="1680" w:type="dxa"/>
            <w:vAlign w:val="bottom"/>
          </w:tcPr>
          <w:p>
            <w:pPr>
              <w:jc w:val="center"/>
              <w:ind w:left="682"/>
              <w:spacing w:after="0" w:line="156" w:lineRule="exact"/>
              <w:rPr>
                <w:sz w:val="20"/>
                <w:szCs w:val="20"/>
                <w:color w:val="auto"/>
              </w:rPr>
            </w:pPr>
            <w:r>
              <w:rPr>
                <w:rFonts w:ascii="Times New Roman" w:cs="Times New Roman" w:eastAsia="Times New Roman" w:hAnsi="Times New Roman"/>
                <w:sz w:val="16"/>
                <w:szCs w:val="16"/>
                <w:color w:val="auto"/>
                <w:w w:val="99"/>
              </w:rPr>
              <w:t>45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80" w:type="dxa"/>
            <w:vAlign w:val="bottom"/>
            <w:tcBorders>
              <w:right w:val="single" w:sz="8" w:color="0000EE"/>
            </w:tcBorders>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500" w:type="dxa"/>
            <w:vAlign w:val="bottom"/>
            <w:tcBorders>
              <w:right w:val="single" w:sz="8" w:color="0000EE"/>
            </w:tcBorders>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8860" w:type="dxa"/>
            <w:vAlign w:val="bottom"/>
            <w:gridSpan w:val="14"/>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MANAGEMENT’S DISCUSSION AND ANALYSIS OF FINANCIAL CONDITION AND RESULTS OF OPERATIONS</w:t>
              </w:r>
            </w:hyperlink>
          </w:p>
        </w:tc>
        <w:tc>
          <w:tcPr>
            <w:tcW w:w="1680" w:type="dxa"/>
            <w:vAlign w:val="bottom"/>
            <w:shd w:val="clear" w:color="auto" w:fill="CCEEFF"/>
          </w:tcPr>
          <w:p>
            <w:pPr>
              <w:jc w:val="center"/>
              <w:ind w:left="682"/>
              <w:spacing w:after="0" w:line="156" w:lineRule="exact"/>
              <w:rPr>
                <w:sz w:val="20"/>
                <w:szCs w:val="20"/>
                <w:color w:val="auto"/>
              </w:rPr>
            </w:pPr>
            <w:r>
              <w:rPr>
                <w:rFonts w:ascii="Times New Roman" w:cs="Times New Roman" w:eastAsia="Times New Roman" w:hAnsi="Times New Roman"/>
                <w:sz w:val="16"/>
                <w:szCs w:val="16"/>
                <w:color w:val="auto"/>
                <w:w w:val="99"/>
              </w:rPr>
              <w:t>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20" w:type="dxa"/>
            <w:vAlign w:val="bottom"/>
            <w:tcBorders>
              <w:top w:val="single" w:sz="8" w:color="0000EE"/>
            </w:tcBorders>
            <w:gridSpan w:val="13"/>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OUR BUSINESS</w:t>
              </w:r>
            </w:hyperlink>
          </w:p>
        </w:tc>
        <w:tc>
          <w:tcPr>
            <w:tcW w:w="1140" w:type="dxa"/>
            <w:vAlign w:val="bottom"/>
            <w:tcBorders>
              <w:top w:val="single" w:sz="8" w:color="CCEEFF"/>
            </w:tcBorders>
          </w:tcPr>
          <w:p>
            <w:pPr>
              <w:spacing w:after="0"/>
              <w:rPr>
                <w:sz w:val="13"/>
                <w:szCs w:val="13"/>
                <w:color w:val="auto"/>
              </w:rPr>
            </w:pPr>
          </w:p>
        </w:tc>
        <w:tc>
          <w:tcPr>
            <w:tcW w:w="1680" w:type="dxa"/>
            <w:vAlign w:val="bottom"/>
            <w:tcBorders>
              <w:top w:val="single" w:sz="8" w:color="CCEEFF"/>
            </w:tcBorders>
          </w:tcPr>
          <w:p>
            <w:pPr>
              <w:jc w:val="center"/>
              <w:ind w:left="682"/>
              <w:spacing w:after="0" w:line="156" w:lineRule="exact"/>
              <w:rPr>
                <w:sz w:val="20"/>
                <w:szCs w:val="20"/>
                <w:color w:val="auto"/>
              </w:rPr>
            </w:pPr>
            <w:r>
              <w:rPr>
                <w:rFonts w:ascii="Times New Roman" w:cs="Times New Roman" w:eastAsia="Times New Roman" w:hAnsi="Times New Roman"/>
                <w:sz w:val="16"/>
                <w:szCs w:val="16"/>
                <w:color w:val="auto"/>
                <w:w w:val="99"/>
              </w:rPr>
              <w:t>58</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1080" w:type="dxa"/>
            <w:vAlign w:val="bottom"/>
            <w:tcBorders>
              <w:bottom w:val="single" w:sz="8" w:color="0000EE"/>
            </w:tcBorders>
            <w:gridSpan w:val="2"/>
            <w:shd w:val="clear" w:color="auto" w:fill="CCEEFF"/>
          </w:tcPr>
          <w:p>
            <w:pPr>
              <w:spacing w:after="0" w:line="156" w:lineRule="exact"/>
              <w:rPr>
                <w:rFonts w:ascii="Times New Roman" w:cs="Times New Roman" w:eastAsia="Times New Roman" w:hAnsi="Times New Roman"/>
                <w:sz w:val="16"/>
                <w:szCs w:val="16"/>
                <w:color w:val="0000EE"/>
                <w:w w:val="89"/>
              </w:rPr>
            </w:pPr>
            <w:hyperlink w:anchor="page1">
              <w:r>
                <w:rPr>
                  <w:rFonts w:ascii="Times New Roman" w:cs="Times New Roman" w:eastAsia="Times New Roman" w:hAnsi="Times New Roman"/>
                  <w:sz w:val="16"/>
                  <w:szCs w:val="16"/>
                  <w:color w:val="0000EE"/>
                  <w:w w:val="89"/>
                </w:rPr>
                <w:t>MANAGEMENT</w:t>
              </w:r>
            </w:hyperlink>
          </w:p>
        </w:tc>
        <w:tc>
          <w:tcPr>
            <w:tcW w:w="7780" w:type="dxa"/>
            <w:vAlign w:val="bottom"/>
            <w:tcBorders>
              <w:left w:val="single" w:sz="8" w:color="CCEEFF"/>
              <w:bottom w:val="single" w:sz="8" w:color="CCEEFF"/>
            </w:tcBorders>
            <w:gridSpan w:val="12"/>
            <w:shd w:val="clear" w:color="auto" w:fill="CCEEFF"/>
          </w:tcPr>
          <w:p>
            <w:pPr>
              <w:spacing w:after="0"/>
              <w:rPr>
                <w:sz w:val="13"/>
                <w:szCs w:val="13"/>
                <w:color w:val="auto"/>
              </w:rPr>
            </w:pPr>
          </w:p>
        </w:tc>
        <w:tc>
          <w:tcPr>
            <w:tcW w:w="1680" w:type="dxa"/>
            <w:vAlign w:val="bottom"/>
            <w:tcBorders>
              <w:bottom w:val="single" w:sz="8" w:color="CCEEFF"/>
            </w:tcBorders>
            <w:shd w:val="clear" w:color="auto" w:fill="CCEEFF"/>
          </w:tcPr>
          <w:p>
            <w:pPr>
              <w:jc w:val="center"/>
              <w:ind w:left="682"/>
              <w:spacing w:after="0" w:line="156" w:lineRule="exact"/>
              <w:rPr>
                <w:sz w:val="20"/>
                <w:szCs w:val="20"/>
                <w:color w:val="auto"/>
              </w:rPr>
            </w:pPr>
            <w:r>
              <w:rPr>
                <w:rFonts w:ascii="Times New Roman" w:cs="Times New Roman" w:eastAsia="Times New Roman" w:hAnsi="Times New Roman"/>
                <w:sz w:val="16"/>
                <w:szCs w:val="16"/>
                <w:color w:val="auto"/>
                <w:w w:val="99"/>
              </w:rPr>
              <w:t>75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60" w:type="dxa"/>
            <w:vAlign w:val="bottom"/>
            <w:tcBorders>
              <w:bottom w:val="single" w:sz="8" w:color="0000EE"/>
            </w:tcBorders>
            <w:gridSpan w:val="6"/>
          </w:tcPr>
          <w:p>
            <w:pPr>
              <w:spacing w:after="0" w:line="156" w:lineRule="exact"/>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EXECUTIVE COMPENSATION</w:t>
              </w:r>
            </w:hyperlink>
          </w:p>
        </w:tc>
        <w:tc>
          <w:tcPr>
            <w:tcW w:w="6700" w:type="dxa"/>
            <w:vAlign w:val="bottom"/>
            <w:gridSpan w:val="8"/>
          </w:tcPr>
          <w:p>
            <w:pPr>
              <w:spacing w:after="0"/>
              <w:rPr>
                <w:sz w:val="13"/>
                <w:szCs w:val="13"/>
                <w:color w:val="auto"/>
              </w:rPr>
            </w:pPr>
          </w:p>
        </w:tc>
        <w:tc>
          <w:tcPr>
            <w:tcW w:w="1680" w:type="dxa"/>
            <w:vAlign w:val="bottom"/>
          </w:tcPr>
          <w:p>
            <w:pPr>
              <w:jc w:val="center"/>
              <w:ind w:left="682"/>
              <w:spacing w:after="0" w:line="156" w:lineRule="exact"/>
              <w:rPr>
                <w:sz w:val="20"/>
                <w:szCs w:val="20"/>
                <w:color w:val="auto"/>
              </w:rPr>
            </w:pPr>
            <w:r>
              <w:rPr>
                <w:rFonts w:ascii="Times New Roman" w:cs="Times New Roman" w:eastAsia="Times New Roman" w:hAnsi="Times New Roman"/>
                <w:sz w:val="16"/>
                <w:szCs w:val="16"/>
                <w:color w:val="auto"/>
                <w:w w:val="99"/>
              </w:rPr>
              <w:t>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60" w:type="dxa"/>
            <w:vAlign w:val="bottom"/>
            <w:gridSpan w:val="14"/>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CERTAIN RELATIONSHIPS AND RELATED PARTY TRANSACTIONS</w:t>
              </w:r>
            </w:hyperlink>
          </w:p>
        </w:tc>
        <w:tc>
          <w:tcPr>
            <w:tcW w:w="1680" w:type="dxa"/>
            <w:vAlign w:val="bottom"/>
            <w:shd w:val="clear" w:color="auto" w:fill="CCEEFF"/>
          </w:tcPr>
          <w:p>
            <w:pPr>
              <w:jc w:val="center"/>
              <w:ind w:left="682"/>
              <w:spacing w:after="0" w:line="156" w:lineRule="exact"/>
              <w:rPr>
                <w:sz w:val="20"/>
                <w:szCs w:val="20"/>
                <w:color w:val="auto"/>
              </w:rPr>
            </w:pPr>
            <w:r>
              <w:rPr>
                <w:rFonts w:ascii="Times New Roman" w:cs="Times New Roman" w:eastAsia="Times New Roman" w:hAnsi="Times New Roman"/>
                <w:sz w:val="16"/>
                <w:szCs w:val="16"/>
                <w:color w:val="auto"/>
                <w:w w:val="99"/>
              </w:rPr>
              <w:t>85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80" w:type="dxa"/>
            <w:vAlign w:val="bottom"/>
            <w:tcBorders>
              <w:right w:val="single" w:sz="8" w:color="0000EE"/>
            </w:tcBorders>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500" w:type="dxa"/>
            <w:vAlign w:val="bottom"/>
            <w:tcBorders>
              <w:right w:val="single" w:sz="8" w:color="CCEEFF"/>
            </w:tcBorders>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8860" w:type="dxa"/>
            <w:vAlign w:val="bottom"/>
            <w:gridSpan w:val="14"/>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SECURITY OWNERSHIP OF CERTAIN BENEFICIAL OWNERS AND MANAGEMENT</w:t>
              </w:r>
            </w:hyperlink>
          </w:p>
        </w:tc>
        <w:tc>
          <w:tcPr>
            <w:tcW w:w="1680" w:type="dxa"/>
            <w:vAlign w:val="bottom"/>
          </w:tcPr>
          <w:p>
            <w:pPr>
              <w:jc w:val="center"/>
              <w:ind w:left="682"/>
              <w:spacing w:after="0" w:line="156" w:lineRule="exact"/>
              <w:rPr>
                <w:sz w:val="20"/>
                <w:szCs w:val="20"/>
                <w:color w:val="auto"/>
              </w:rPr>
            </w:pPr>
            <w:r>
              <w:rPr>
                <w:rFonts w:ascii="Times New Roman" w:cs="Times New Roman" w:eastAsia="Times New Roman" w:hAnsi="Times New Roman"/>
                <w:sz w:val="16"/>
                <w:szCs w:val="16"/>
                <w:color w:val="auto"/>
                <w:w w:val="99"/>
              </w:rPr>
              <w:t>86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20" w:type="dxa"/>
            <w:vAlign w:val="bottom"/>
            <w:tcBorders>
              <w:top w:val="single" w:sz="8" w:color="0000EE"/>
            </w:tcBorders>
            <w:gridSpan w:val="12"/>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SELLING SECURITYHOLDERS</w:t>
              </w:r>
            </w:hyperlink>
          </w:p>
        </w:tc>
        <w:tc>
          <w:tcPr>
            <w:tcW w:w="3040" w:type="dxa"/>
            <w:vAlign w:val="bottom"/>
            <w:gridSpan w:val="2"/>
            <w:shd w:val="clear" w:color="auto" w:fill="CCEEFF"/>
          </w:tcPr>
          <w:p>
            <w:pPr>
              <w:spacing w:after="0"/>
              <w:rPr>
                <w:sz w:val="13"/>
                <w:szCs w:val="13"/>
                <w:color w:val="auto"/>
              </w:rPr>
            </w:pPr>
          </w:p>
        </w:tc>
        <w:tc>
          <w:tcPr>
            <w:tcW w:w="1680" w:type="dxa"/>
            <w:vAlign w:val="bottom"/>
            <w:shd w:val="clear" w:color="auto" w:fill="CCEEFF"/>
          </w:tcPr>
          <w:p>
            <w:pPr>
              <w:jc w:val="center"/>
              <w:ind w:left="682"/>
              <w:spacing w:after="0" w:line="156" w:lineRule="exact"/>
              <w:rPr>
                <w:sz w:val="20"/>
                <w:szCs w:val="20"/>
                <w:color w:val="auto"/>
              </w:rPr>
            </w:pPr>
            <w:r>
              <w:rPr>
                <w:rFonts w:ascii="Times New Roman" w:cs="Times New Roman" w:eastAsia="Times New Roman" w:hAnsi="Times New Roman"/>
                <w:sz w:val="16"/>
                <w:szCs w:val="16"/>
                <w:color w:val="auto"/>
                <w:w w:val="99"/>
              </w:rPr>
              <w:t>87</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2160" w:type="dxa"/>
            <w:vAlign w:val="bottom"/>
            <w:tcBorders>
              <w:bottom w:val="single" w:sz="8" w:color="0000EE"/>
            </w:tcBorders>
            <w:gridSpan w:val="6"/>
          </w:tcPr>
          <w:p>
            <w:pPr>
              <w:spacing w:after="0" w:line="156" w:lineRule="exact"/>
              <w:rPr>
                <w:rFonts w:ascii="Times New Roman" w:cs="Times New Roman" w:eastAsia="Times New Roman" w:hAnsi="Times New Roman"/>
                <w:sz w:val="16"/>
                <w:szCs w:val="16"/>
                <w:color w:val="0000EE"/>
                <w:w w:val="94"/>
              </w:rPr>
            </w:pPr>
            <w:hyperlink w:anchor="page1">
              <w:r>
                <w:rPr>
                  <w:rFonts w:ascii="Times New Roman" w:cs="Times New Roman" w:eastAsia="Times New Roman" w:hAnsi="Times New Roman"/>
                  <w:sz w:val="16"/>
                  <w:szCs w:val="16"/>
                  <w:color w:val="0000EE"/>
                  <w:w w:val="94"/>
                </w:rPr>
                <w:t>DESCRIPTION OF SECURITIES</w:t>
              </w:r>
            </w:hyperlink>
          </w:p>
        </w:tc>
        <w:tc>
          <w:tcPr>
            <w:tcW w:w="6700" w:type="dxa"/>
            <w:vAlign w:val="bottom"/>
            <w:gridSpan w:val="8"/>
          </w:tcPr>
          <w:p>
            <w:pPr>
              <w:spacing w:after="0"/>
              <w:rPr>
                <w:sz w:val="13"/>
                <w:szCs w:val="13"/>
                <w:color w:val="auto"/>
              </w:rPr>
            </w:pPr>
          </w:p>
        </w:tc>
        <w:tc>
          <w:tcPr>
            <w:tcW w:w="1680" w:type="dxa"/>
            <w:vAlign w:val="bottom"/>
          </w:tcPr>
          <w:p>
            <w:pPr>
              <w:jc w:val="center"/>
              <w:ind w:left="662"/>
              <w:spacing w:after="0" w:line="156" w:lineRule="exact"/>
              <w:rPr>
                <w:sz w:val="20"/>
                <w:szCs w:val="20"/>
                <w:color w:val="auto"/>
              </w:rPr>
            </w:pPr>
            <w:r>
              <w:rPr>
                <w:rFonts w:ascii="Times New Roman" w:cs="Times New Roman" w:eastAsia="Times New Roman" w:hAnsi="Times New Roman"/>
                <w:sz w:val="16"/>
                <w:szCs w:val="16"/>
                <w:color w:val="auto"/>
                <w:w w:val="91"/>
              </w:rPr>
              <w:t>108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60" w:type="dxa"/>
            <w:vAlign w:val="bottom"/>
            <w:gridSpan w:val="14"/>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PLAN OF DISTRIBUTION</w:t>
              </w:r>
            </w:hyperlink>
          </w:p>
        </w:tc>
        <w:tc>
          <w:tcPr>
            <w:tcW w:w="1680" w:type="dxa"/>
            <w:vAlign w:val="bottom"/>
            <w:shd w:val="clear" w:color="auto" w:fill="CCEEFF"/>
          </w:tcPr>
          <w:p>
            <w:pPr>
              <w:jc w:val="center"/>
              <w:ind w:left="662"/>
              <w:spacing w:after="0" w:line="156" w:lineRule="exact"/>
              <w:rPr>
                <w:sz w:val="20"/>
                <w:szCs w:val="20"/>
                <w:color w:val="auto"/>
              </w:rPr>
            </w:pPr>
            <w:r>
              <w:rPr>
                <w:rFonts w:ascii="Times New Roman" w:cs="Times New Roman" w:eastAsia="Times New Roman" w:hAnsi="Times New Roman"/>
                <w:sz w:val="16"/>
                <w:szCs w:val="16"/>
                <w:color w:val="auto"/>
                <w:w w:val="91"/>
              </w:rPr>
              <w:t>116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8860" w:type="dxa"/>
            <w:vAlign w:val="bottom"/>
            <w:gridSpan w:val="14"/>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UNITED STATES FEDERAL INCOME TAX CONSIDERATIONS</w:t>
              </w:r>
            </w:hyperlink>
          </w:p>
        </w:tc>
        <w:tc>
          <w:tcPr>
            <w:tcW w:w="1680" w:type="dxa"/>
            <w:vAlign w:val="bottom"/>
          </w:tcPr>
          <w:p>
            <w:pPr>
              <w:jc w:val="center"/>
              <w:ind w:left="662"/>
              <w:spacing w:after="0" w:line="156" w:lineRule="exact"/>
              <w:rPr>
                <w:sz w:val="20"/>
                <w:szCs w:val="20"/>
                <w:color w:val="auto"/>
              </w:rPr>
            </w:pPr>
            <w:r>
              <w:rPr>
                <w:rFonts w:ascii="Times New Roman" w:cs="Times New Roman" w:eastAsia="Times New Roman" w:hAnsi="Times New Roman"/>
                <w:sz w:val="16"/>
                <w:szCs w:val="16"/>
                <w:color w:val="auto"/>
                <w:w w:val="91"/>
              </w:rPr>
              <w:t>119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Borders>
              <w:top w:val="single" w:sz="8" w:color="0000EE"/>
            </w:tcBorders>
            <w:gridSpan w:val="9"/>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EXPERTS</w:t>
              </w:r>
            </w:hyperlink>
          </w:p>
        </w:tc>
        <w:tc>
          <w:tcPr>
            <w:tcW w:w="4560" w:type="dxa"/>
            <w:vAlign w:val="bottom"/>
            <w:gridSpan w:val="5"/>
            <w:shd w:val="clear" w:color="auto" w:fill="CCEEFF"/>
          </w:tcPr>
          <w:p>
            <w:pPr>
              <w:spacing w:after="0"/>
              <w:rPr>
                <w:sz w:val="13"/>
                <w:szCs w:val="13"/>
                <w:color w:val="auto"/>
              </w:rPr>
            </w:pPr>
          </w:p>
        </w:tc>
        <w:tc>
          <w:tcPr>
            <w:tcW w:w="1680" w:type="dxa"/>
            <w:vAlign w:val="bottom"/>
            <w:shd w:val="clear" w:color="auto" w:fill="CCEEFF"/>
          </w:tcPr>
          <w:p>
            <w:pPr>
              <w:jc w:val="center"/>
              <w:ind w:left="662"/>
              <w:spacing w:after="0" w:line="156" w:lineRule="exact"/>
              <w:rPr>
                <w:sz w:val="20"/>
                <w:szCs w:val="20"/>
                <w:color w:val="auto"/>
              </w:rPr>
            </w:pPr>
            <w:r>
              <w:rPr>
                <w:rFonts w:ascii="Times New Roman" w:cs="Times New Roman" w:eastAsia="Times New Roman" w:hAnsi="Times New Roman"/>
                <w:sz w:val="16"/>
                <w:szCs w:val="16"/>
                <w:color w:val="auto"/>
                <w:w w:val="91"/>
              </w:rPr>
              <w:t>124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1280" w:type="dxa"/>
            <w:vAlign w:val="bottom"/>
            <w:tcBorders>
              <w:bottom w:val="single" w:sz="8" w:color="0000EE"/>
            </w:tcBorders>
            <w:gridSpan w:val="3"/>
          </w:tcPr>
          <w:p>
            <w:pPr>
              <w:spacing w:after="0" w:line="156" w:lineRule="exact"/>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LEGAL MATTERS</w:t>
              </w:r>
            </w:hyperlink>
          </w:p>
        </w:tc>
        <w:tc>
          <w:tcPr>
            <w:tcW w:w="7580" w:type="dxa"/>
            <w:vAlign w:val="bottom"/>
            <w:gridSpan w:val="11"/>
          </w:tcPr>
          <w:p>
            <w:pPr>
              <w:spacing w:after="0"/>
              <w:rPr>
                <w:sz w:val="13"/>
                <w:szCs w:val="13"/>
                <w:color w:val="auto"/>
              </w:rPr>
            </w:pPr>
          </w:p>
        </w:tc>
        <w:tc>
          <w:tcPr>
            <w:tcW w:w="1680" w:type="dxa"/>
            <w:vAlign w:val="bottom"/>
          </w:tcPr>
          <w:p>
            <w:pPr>
              <w:jc w:val="center"/>
              <w:ind w:left="662"/>
              <w:spacing w:after="0" w:line="156" w:lineRule="exact"/>
              <w:rPr>
                <w:sz w:val="20"/>
                <w:szCs w:val="20"/>
                <w:color w:val="auto"/>
              </w:rPr>
            </w:pPr>
            <w:r>
              <w:rPr>
                <w:rFonts w:ascii="Times New Roman" w:cs="Times New Roman" w:eastAsia="Times New Roman" w:hAnsi="Times New Roman"/>
                <w:sz w:val="16"/>
                <w:szCs w:val="16"/>
                <w:color w:val="auto"/>
                <w:w w:val="91"/>
              </w:rPr>
              <w:t>124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60" w:type="dxa"/>
            <w:vAlign w:val="bottom"/>
            <w:gridSpan w:val="14"/>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WHERE YOU CAN FIND ADDITIONAL INFORMATION</w:t>
              </w:r>
            </w:hyperlink>
          </w:p>
        </w:tc>
        <w:tc>
          <w:tcPr>
            <w:tcW w:w="1680" w:type="dxa"/>
            <w:vAlign w:val="bottom"/>
            <w:shd w:val="clear" w:color="auto" w:fill="CCEEFF"/>
          </w:tcPr>
          <w:p>
            <w:pPr>
              <w:jc w:val="center"/>
              <w:ind w:left="662"/>
              <w:spacing w:after="0" w:line="156" w:lineRule="exact"/>
              <w:rPr>
                <w:sz w:val="20"/>
                <w:szCs w:val="20"/>
                <w:color w:val="auto"/>
              </w:rPr>
            </w:pPr>
            <w:r>
              <w:rPr>
                <w:rFonts w:ascii="Times New Roman" w:cs="Times New Roman" w:eastAsia="Times New Roman" w:hAnsi="Times New Roman"/>
                <w:sz w:val="16"/>
                <w:szCs w:val="16"/>
                <w:color w:val="auto"/>
                <w:w w:val="91"/>
              </w:rPr>
              <w:t>124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80" w:type="dxa"/>
            <w:vAlign w:val="bottom"/>
            <w:tcBorders>
              <w:right w:val="single" w:sz="8" w:color="CCEEFF"/>
            </w:tcBorders>
            <w:shd w:val="clear" w:color="auto" w:fill="0000EE"/>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8860" w:type="dxa"/>
            <w:vAlign w:val="bottom"/>
            <w:gridSpan w:val="14"/>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CHANGES IN INDEPENDENT REGISTERED PUBLIC ACCOUNTING FIRM</w:t>
              </w:r>
            </w:hyperlink>
          </w:p>
        </w:tc>
        <w:tc>
          <w:tcPr>
            <w:tcW w:w="1680" w:type="dxa"/>
            <w:vAlign w:val="bottom"/>
          </w:tcPr>
          <w:p>
            <w:pPr>
              <w:jc w:val="center"/>
              <w:ind w:left="662"/>
              <w:spacing w:after="0" w:line="156" w:lineRule="exact"/>
              <w:rPr>
                <w:sz w:val="20"/>
                <w:szCs w:val="20"/>
                <w:color w:val="auto"/>
              </w:rPr>
            </w:pPr>
            <w:r>
              <w:rPr>
                <w:rFonts w:ascii="Times New Roman" w:cs="Times New Roman" w:eastAsia="Times New Roman" w:hAnsi="Times New Roman"/>
                <w:sz w:val="16"/>
                <w:szCs w:val="16"/>
                <w:color w:val="auto"/>
                <w:w w:val="91"/>
              </w:rPr>
              <w:t>124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tcBorders>
              <w:top w:val="single" w:sz="8" w:color="0000EE"/>
            </w:tcBorders>
            <w:gridSpan w:val="11"/>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INDEX TO CONSOLIDATED FINANCIAL STATEMENTS</w:t>
              </w:r>
            </w:hyperlink>
          </w:p>
        </w:tc>
        <w:tc>
          <w:tcPr>
            <w:tcW w:w="3760" w:type="dxa"/>
            <w:vAlign w:val="bottom"/>
            <w:gridSpan w:val="3"/>
            <w:shd w:val="clear" w:color="auto" w:fill="CCEEFF"/>
          </w:tcPr>
          <w:p>
            <w:pPr>
              <w:spacing w:after="0"/>
              <w:rPr>
                <w:sz w:val="13"/>
                <w:szCs w:val="13"/>
                <w:color w:val="auto"/>
              </w:rPr>
            </w:pPr>
          </w:p>
        </w:tc>
        <w:tc>
          <w:tcPr>
            <w:tcW w:w="1680" w:type="dxa"/>
            <w:vAlign w:val="bottom"/>
            <w:shd w:val="clear" w:color="auto" w:fill="CCEEFF"/>
          </w:tcPr>
          <w:p>
            <w:pPr>
              <w:ind w:left="1100"/>
              <w:spacing w:after="0" w:line="156" w:lineRule="exact"/>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80" w:type="dxa"/>
            <w:vAlign w:val="bottom"/>
            <w:tcBorders>
              <w:right w:val="single" w:sz="8" w:color="0000EE"/>
            </w:tcBorders>
            <w:shd w:val="clear" w:color="auto" w:fill="0000EE"/>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4"/>
          <w:szCs w:val="14"/>
          <w:color w:val="auto"/>
        </w:rPr>
        <w:t>You should rely only on the information contained in this prospectus. We have not authorized any dealer, salesperson or other person to provide you with information about the Company, except for the information contained in this prospectus. The information contained in this prospectus is complete and accurate only as of the date on the front cover page of this prospectus, regardless of the time of delivery of this prospectus or the sale of any securities. This prospectus is not an offer to sell these securities and we are not soliciting an offer to buy these securities in any state where the offer or sale is not permitted. The information contained in this prospectus may change after the date of this prospectus. Do not assume after the date of this prospectus that the information contained in this prospectus is still correct.</w:t>
      </w:r>
    </w:p>
    <w:p>
      <w:pPr>
        <w:spacing w:after="0" w:line="128"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For investors outside the United States: We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and the distribution of this prospectus outside the United States.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ABOUT THIS PROSPECTUS</w:t>
      </w:r>
    </w:p>
    <w:p>
      <w:pPr>
        <w:spacing w:after="0" w:line="17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This prospectus is part of a registration statement on Form S-1 that we filed with the Securities and Exchange Commission (the “SEC”) using a “shelf” registration process. Under this shelf registration process, from time to time, we and the Selling Securityholders may offer and sell the securities offered by them described in this prospectus in one or more offerings from time to time through any means described in the section entitled “Plan of Distribution.” We may use the shelf registration statement to issue shares of Common Stock upon exercise of the Public Warrants. We will receive proceeds from any exercise of the Public Warrants for cash. We may use the shelf registration statement to issue up to an aggregate of 14,999,983 shares of our Common Stock underlying 14,999,983 Public Warrants</w:t>
      </w:r>
    </w:p>
    <w:p>
      <w:pPr>
        <w:spacing w:after="0" w:line="1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Selling Securityholders may use the shelf registration statement to sell up to: 29,701,559 Total Resale Shares, including (i) 11,522,565 shares of Common Stock which shares were originally issued to certain SEE ID Equityholders in connection with the consummation of the Business Combination as merger consideration at an equity consideration value of $10.00 per share; (ii) up to 7,365,834 Founder Shares issued in connection with the consummation of the Business Combination, originally issued in a private placement to ShoulderUp Technology Sponsor LLC, a Delaware limited liability company (“Sponsor”); (iii) up to 1,310,000 Private Placement Shares originally issued in a private placement to the Sponsor as part of the Private Placement Units at a price of $10.00 per Private Placement Unit; (iv) up to 3,323,536 PIPE Shares originally issued in a private placement to certain investors pursuant to the PIPE Subscription Agreements at price of $4.00 per share; (v) up to 5,524,624 New Circle Shares issuable pursuant to the ELOC Agreement comprised of (a) 85,995 Commitment Shares issuable to New Circle, based on the commitment fee of $350,000 to be calculated using the market value of the closing price of the Common Stock on the date this Registration Statement is declared effective by the SEC, and (b) 5,438,629 ELOC Shares that we may, in our sole discretion, elect to issue and sell to New Circle, from time to time after the date of this prospectus, as part of the Total Commitment pursuant to (and limited by the terms of) the ELOC Agreement; (vi) up to 655,000 shares of Common Stock that are issuable by us upon the exercise of the Private Placement Warrants (as defined below) following the public resale of the Private Placement Warrants by the Selling Securityholders; and (2) up to 655,000 Private Placement Warrants originally issued to the Sponsor as part of the Private Placement Units in a private placement at a price of $10.00 per Private Placement Unit, currently exercisable at a price of $11.50 per share. Additional information about any offering may be provided in a prospectus supplement that describes, among other things, the specific amounts and prices of the Common Stock and Warrants being offered and the terms of the offering.</w:t>
      </w:r>
    </w:p>
    <w:p>
      <w:pPr>
        <w:spacing w:after="0" w:line="320"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6"/>
          <w:szCs w:val="16"/>
          <w:i w:val="1"/>
          <w:iCs w:val="1"/>
          <w:color w:val="auto"/>
        </w:rPr>
        <w:t>“Where You Can Find Additional Information</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3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6"/>
          <w:szCs w:val="16"/>
          <w:i w:val="1"/>
          <w:iCs w:val="1"/>
          <w:color w:val="auto"/>
        </w:rPr>
        <w:t>“Where You Can Find Additional Information</w:t>
      </w:r>
      <w:r>
        <w:rPr>
          <w:rFonts w:ascii="Times New Roman" w:cs="Times New Roman" w:eastAsia="Times New Roman" w:hAnsi="Times New Roman"/>
          <w:sz w:val="16"/>
          <w:szCs w:val="16"/>
          <w:color w:val="auto"/>
        </w:rPr>
        <w: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542" w:right="660" w:bottom="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June 18, 2025 (the “Closing Date”), the Company consummated the transactions contemplated by that certain Business Combination Agreement, dated March 18,</w:t>
      </w:r>
    </w:p>
    <w:p>
      <w:pPr>
        <w:sectPr>
          <w:pgSz w:w="11900" w:h="16840" w:orient="portrait"/>
          <w:cols w:equalWidth="0" w:num="1">
            <w:col w:w="10580"/>
          </w:cols>
          <w:pgMar w:left="660" w:top="542" w:right="660" w:bottom="49" w:gutter="0" w:footer="0" w:header="0"/>
          <w:type w:val="continuous"/>
        </w:sectPr>
      </w:pPr>
    </w:p>
    <w:bookmarkStart w:id="2" w:name="page3"/>
    <w:bookmarkEnd w:id="2"/>
    <w:p>
      <w:pPr>
        <w:jc w:val="both"/>
        <w:spacing w:after="0" w:line="239" w:lineRule="auto"/>
        <w:rPr>
          <w:sz w:val="20"/>
          <w:szCs w:val="20"/>
          <w:color w:val="auto"/>
        </w:rPr>
      </w:pPr>
      <w:r>
        <w:rPr>
          <w:rFonts w:ascii="Times New Roman" w:cs="Times New Roman" w:eastAsia="Times New Roman" w:hAnsi="Times New Roman"/>
          <w:sz w:val="16"/>
          <w:szCs w:val="16"/>
          <w:color w:val="auto"/>
        </w:rPr>
        <w:t>2024 (the “Business Combination Agreement”), by and among the Company, ShoulderUp Technology Acquisition Corp, a Delaware corporation (“SUAC”), ShoulderUp Merger Sub, Inc., a Delaware corporation (“ShoulderUp Merger Sub”), SEI Merger Sub, Inc., a Delaware Corporation (“SEI Merger Sub”) and SEE ID, Inc., a Nevada corporation (“SEE ID”). Pursuant to the Business Combination Agreement, on the Closing Date, (i) ShoulderUp Merger Sub merged with and into SUAC (the “</w:t>
      </w:r>
      <w:r>
        <w:rPr>
          <w:rFonts w:ascii="Times New Roman" w:cs="Times New Roman" w:eastAsia="Times New Roman" w:hAnsi="Times New Roman"/>
          <w:sz w:val="16"/>
          <w:szCs w:val="16"/>
          <w:b w:val="1"/>
          <w:bCs w:val="1"/>
          <w:i w:val="1"/>
          <w:iCs w:val="1"/>
          <w:color w:val="auto"/>
        </w:rPr>
        <w:t>ShoulderUp Merger</w:t>
      </w:r>
      <w:r>
        <w:rPr>
          <w:rFonts w:ascii="Times New Roman" w:cs="Times New Roman" w:eastAsia="Times New Roman" w:hAnsi="Times New Roman"/>
          <w:sz w:val="16"/>
          <w:szCs w:val="16"/>
          <w:color w:val="auto"/>
        </w:rPr>
        <w:t>”), with SUAC surviving the ShoulderUp Merger as a wholly -owned subsidiary of the Company (“</w:t>
      </w:r>
      <w:r>
        <w:rPr>
          <w:rFonts w:ascii="Times New Roman" w:cs="Times New Roman" w:eastAsia="Times New Roman" w:hAnsi="Times New Roman"/>
          <w:sz w:val="16"/>
          <w:szCs w:val="16"/>
          <w:b w:val="1"/>
          <w:bCs w:val="1"/>
          <w:i w:val="1"/>
          <w:iCs w:val="1"/>
          <w:color w:val="auto"/>
        </w:rPr>
        <w:t>SUAC Surviving Company</w:t>
      </w:r>
      <w:r>
        <w:rPr>
          <w:rFonts w:ascii="Times New Roman" w:cs="Times New Roman" w:eastAsia="Times New Roman" w:hAnsi="Times New Roman"/>
          <w:sz w:val="16"/>
          <w:szCs w:val="16"/>
          <w:color w:val="auto"/>
        </w:rPr>
        <w:t>”); and (ii) simultaneously with the ShoulderUp Merger, SEI Merger Sub merged with and into SEE ID (“</w:t>
      </w:r>
      <w:r>
        <w:rPr>
          <w:rFonts w:ascii="Times New Roman" w:cs="Times New Roman" w:eastAsia="Times New Roman" w:hAnsi="Times New Roman"/>
          <w:sz w:val="16"/>
          <w:szCs w:val="16"/>
          <w:b w:val="1"/>
          <w:bCs w:val="1"/>
          <w:i w:val="1"/>
          <w:iCs w:val="1"/>
          <w:color w:val="auto"/>
        </w:rPr>
        <w:t>the SEE ID Merger</w:t>
      </w:r>
      <w:r>
        <w:rPr>
          <w:rFonts w:ascii="Times New Roman" w:cs="Times New Roman" w:eastAsia="Times New Roman" w:hAnsi="Times New Roman"/>
          <w:sz w:val="16"/>
          <w:szCs w:val="16"/>
          <w:color w:val="auto"/>
        </w:rPr>
        <w:t>”), with SEE ID surviving the SEE ID Merger as a wholly-owned subsidiary of the Company (the “</w:t>
      </w:r>
      <w:r>
        <w:rPr>
          <w:rFonts w:ascii="Times New Roman" w:cs="Times New Roman" w:eastAsia="Times New Roman" w:hAnsi="Times New Roman"/>
          <w:sz w:val="16"/>
          <w:szCs w:val="16"/>
          <w:b w:val="1"/>
          <w:bCs w:val="1"/>
          <w:i w:val="1"/>
          <w:iCs w:val="1"/>
          <w:color w:val="auto"/>
        </w:rPr>
        <w:t>Surviving Company</w:t>
      </w:r>
      <w:r>
        <w:rPr>
          <w:rFonts w:ascii="Times New Roman" w:cs="Times New Roman" w:eastAsia="Times New Roman" w:hAnsi="Times New Roman"/>
          <w:sz w:val="16"/>
          <w:szCs w:val="16"/>
          <w:color w:val="auto"/>
        </w:rPr>
        <w:t>”) (the ShoulderUp Merger and the SEE ID Merger, together the “</w:t>
      </w:r>
      <w:r>
        <w:rPr>
          <w:rFonts w:ascii="Times New Roman" w:cs="Times New Roman" w:eastAsia="Times New Roman" w:hAnsi="Times New Roman"/>
          <w:sz w:val="16"/>
          <w:szCs w:val="16"/>
          <w:b w:val="1"/>
          <w:bCs w:val="1"/>
          <w:i w:val="1"/>
          <w:iCs w:val="1"/>
          <w:color w:val="auto"/>
        </w:rPr>
        <w:t>Mergers</w:t>
      </w:r>
      <w:r>
        <w:rPr>
          <w:rFonts w:ascii="Times New Roman" w:cs="Times New Roman" w:eastAsia="Times New Roman" w:hAnsi="Times New Roman"/>
          <w:sz w:val="16"/>
          <w:szCs w:val="16"/>
          <w:color w:val="auto"/>
        </w:rPr>
        <w:t>” and together with the other transactions contemplated by the Business Combination Agreement, the “</w:t>
      </w:r>
      <w:r>
        <w:rPr>
          <w:rFonts w:ascii="Times New Roman" w:cs="Times New Roman" w:eastAsia="Times New Roman" w:hAnsi="Times New Roman"/>
          <w:sz w:val="16"/>
          <w:szCs w:val="16"/>
          <w:b w:val="1"/>
          <w:bCs w:val="1"/>
          <w:i w:val="1"/>
          <w:iCs w:val="1"/>
          <w:color w:val="auto"/>
        </w:rPr>
        <w:t>Business Combination</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On the Closing Date, we consummated the PIPE Financing (as defined below). Pursuant to certain subscription agreement entered into between June 10, 2025 and June 17, 2025 (the “PIPE Subscription Agreements”) by us with certain unaffiliated third-party investors (each, a “PIPE Investor” and collectively, the “PIPE Investors”), pursuant to which, the Company agreed to issue and sell to the PIPE Investors, and the PIPE Investors agreed to subscribe for and purchase an aggregate of 3,323,536 PIPE Shares at a purchase price of $4.00 per share for an aggregate purchase price of $13,294,143, in a private placement (the private placement contemplated by the PIPE Subscriptions Agreements, the “PIPE Financing”). Of the total PIPE Investment, $2,456,500 represents the conversion of bridge loan principal and accrued interest, such that the Company received an additional $10,837,643 from the PIPE Investors at Closing. The PIPE Investment closed substantially concurrently with the Closing.</w:t>
      </w:r>
    </w:p>
    <w:p>
      <w:pPr>
        <w:spacing w:after="0" w:line="15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 xml:space="preserve">Concurrently with the Closing, the Company and the persons identified in Schedule A thereto, entered into the Registration Rights Agreement, which provides customary demand and piggyback registration rights. See </w:t>
      </w:r>
      <w:r>
        <w:rPr>
          <w:rFonts w:ascii="Times New Roman" w:cs="Times New Roman" w:eastAsia="Times New Roman" w:hAnsi="Times New Roman"/>
          <w:sz w:val="16"/>
          <w:szCs w:val="16"/>
          <w:i w:val="1"/>
          <w:iCs w:val="1"/>
          <w:color w:val="auto"/>
        </w:rPr>
        <w:t>“Certain Relationships and Related Party Transactions - Registration Rights Agreement.”</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Certain statements included in this prospectus contains statements that are forward-looking and as such are not historical facts. These forward-looking statements are based on CID HoldCo, Inc.’s (the “Company”)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words such as “outlook,” “believes,” “expects,” “potential,” “continues,” “may,” “will,” “should,” “could,” “seeks,” “approximately,” “predicts,” “intends,” “plans,” “estimates,” “anticipates”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spacing w:after="0" w:line="158" w:lineRule="exact"/>
        <w:rPr>
          <w:sz w:val="20"/>
          <w:szCs w:val="20"/>
          <w:color w:val="auto"/>
        </w:rPr>
      </w:pPr>
    </w:p>
    <w:p>
      <w:pPr>
        <w:ind w:left="580" w:hanging="286"/>
        <w:spacing w:after="0" w:line="259" w:lineRule="auto"/>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outcome of any legal proceedings that may be instituted against the combined company or others following the consummation of the Business Combination and any definitive agreements with respect thereto;</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meet stock exchange listing standards following the consummation of the Business Combination;</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the Business Combination disrupts current plans and operations of the Company and SEE ID;</w:t>
      </w:r>
    </w:p>
    <w:p>
      <w:pPr>
        <w:spacing w:after="0" w:line="176" w:lineRule="exact"/>
        <w:rPr>
          <w:rFonts w:ascii="Times New Roman" w:cs="Times New Roman" w:eastAsia="Times New Roman" w:hAnsi="Times New Roman"/>
          <w:sz w:val="16"/>
          <w:szCs w:val="16"/>
          <w:color w:val="auto"/>
        </w:rPr>
      </w:pPr>
    </w:p>
    <w:p>
      <w:pPr>
        <w:jc w:val="both"/>
        <w:ind w:left="580" w:right="20" w:hanging="286"/>
        <w:spacing w:after="0" w:line="247" w:lineRule="auto"/>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the Company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w:t>
      </w:r>
    </w:p>
    <w:p>
      <w:pPr>
        <w:spacing w:after="0" w:line="15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related to the Business Combination;</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applicable laws or regulations;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that SEE ID or the Company may be adversely affected by other economic, business, or competitive factors;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estimates of expenses and profitability;</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raise financing in the future;</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 in retaining or recruiting, or changes required in, our officers, key employees or directors;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public securities’ potential liquidity and trading;</w:t>
      </w:r>
    </w:p>
    <w:p>
      <w:pPr>
        <w:spacing w:after="0" w:line="176" w:lineRule="exact"/>
        <w:rPr>
          <w:rFonts w:ascii="Times New Roman" w:cs="Times New Roman" w:eastAsia="Times New Roman" w:hAnsi="Times New Roman"/>
          <w:sz w:val="16"/>
          <w:szCs w:val="16"/>
          <w:color w:val="auto"/>
        </w:rPr>
      </w:pPr>
    </w:p>
    <w:p>
      <w:pPr>
        <w:jc w:val="both"/>
        <w:ind w:left="580" w:hanging="286"/>
        <w:spacing w:after="0" w:line="247" w:lineRule="auto"/>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requirements of being a public company, including compliance with the SEC’s requirements regarding internal controls over financial reporting, may strain the Company’s resources and divert management’s attention, and the increases in legal, accounting and compliance expenses that will result from the Business Combination may be greater than anticipated;</w:t>
      </w:r>
    </w:p>
    <w:p>
      <w:pPr>
        <w:spacing w:after="0" w:line="15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and the ability to adequately protect the Company’s intellectual property rights; and</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relating to the business, operations and financial performance of the Company detailed under the section entitled “Risk Factors”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any of these risks materialize or our assumptions prove incorrect, actual results could differ materially from the results implied by these forward-looking statements.</w:t>
      </w:r>
    </w:p>
    <w:p>
      <w:pPr>
        <w:spacing w:after="0" w:line="1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 xml:space="preserve">These and other factors that could cause actual results to differ from those implied by the forward-looking statements in this prospectus are more fully described under the heading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and elsewhere in this prospectus. The risks described under the heading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are not exhaustive. Other sections of this prospectus describe additional factors that could adversely affect the business, financial condition or results of operations of the Company. New risk factors emerge from time to time and it is not possible to predict all such risk factors, nor can the Company assess the impact of all such risk factors on the business of the Company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spacing w:after="0" w:line="16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In addition, statements of belief and similar statements reflect the beliefs and opinions of the Company on the relevant subject. These statements are based upon information available to the Company, as applicable, as of the date of this prospectus, and while the Company believes such information forms a reasonable basis for such statements, such information may be limited or incomplete, and statements should not be read to indicate that the Company has conducted an exhaustive inquiry into, or review of, all potentially available relevant information. These statements are inherently uncertain and you are cautioned not to unduly rely upon these statements.</w:t>
      </w:r>
    </w:p>
    <w:p>
      <w:pPr>
        <w:sectPr>
          <w:pgSz w:w="11900" w:h="16840" w:orient="portrait"/>
          <w:cols w:equalWidth="0" w:num="1">
            <w:col w:w="10580"/>
          </w:cols>
          <w:pgMar w:left="660" w:top="557" w:right="660" w:bottom="49" w:gutter="0" w:footer="0" w:header="0"/>
        </w:sect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67075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80"/>
          </w:cols>
          <w:pgMar w:left="660" w:top="557" w:right="660" w:bottom="49" w:gutter="0" w:footer="0" w:header="0"/>
          <w:type w:val="continuous"/>
        </w:sectPr>
      </w:pPr>
    </w:p>
    <w:bookmarkStart w:id="3" w:name="page4"/>
    <w:bookmarkEnd w:id="3"/>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5624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7505" cy="562483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PROSPECTUS SUMMARY</w:t>
      </w:r>
    </w:p>
    <w:p>
      <w:pPr>
        <w:spacing w:after="0" w:line="176" w:lineRule="exact"/>
        <w:rPr>
          <w:sz w:val="20"/>
          <w:szCs w:val="20"/>
          <w:color w:val="auto"/>
        </w:rPr>
      </w:pPr>
    </w:p>
    <w:p>
      <w:pPr>
        <w:jc w:val="both"/>
        <w:ind w:right="40"/>
        <w:spacing w:after="0" w:line="248" w:lineRule="auto"/>
        <w:rPr>
          <w:sz w:val="20"/>
          <w:szCs w:val="20"/>
          <w:color w:val="auto"/>
        </w:rPr>
      </w:pPr>
      <w:r>
        <w:rPr>
          <w:rFonts w:ascii="Times New Roman" w:cs="Times New Roman" w:eastAsia="Times New Roman" w:hAnsi="Times New Roman"/>
          <w:sz w:val="16"/>
          <w:szCs w:val="16"/>
          <w:i w:val="1"/>
          <w:iCs w:val="1"/>
          <w:color w:val="auto"/>
        </w:rPr>
        <w:t>This summary highlights information contained elsewhere in this prospectus. It does not contain all the information that you may consider important in making your investment decision. Therefore, you should read the entire prospectus carefully, including, in particular, the sections entitled “Risk Factors” and “Management’s Discussion and Analysis of Financial Condition and Results of Operations,” and our consolidated financial statements and related notes.</w:t>
      </w:r>
    </w:p>
    <w:p>
      <w:pPr>
        <w:spacing w:after="0" w:line="15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6"/>
          <w:szCs w:val="16"/>
          <w:i w:val="1"/>
          <w:iCs w:val="1"/>
          <w:color w:val="auto"/>
        </w:rPr>
        <w:t>As used in this prospectus, unless the context otherwise requires or indicates, references to “Company,” “we,” “our,” and “us,” refer to CID HoldCo, Inc. and its subsidiaries.</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78"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The Company offers a SAAS platform for customer subscription that provides intelligent, real-time tracking and visibility of high value assets from one convenient application. This unique tracking capability is paired with intelligent software algorithms, including machine learning and AI, to provide enhanced safety, assurance and efficiency for important processes in the enterprise.</w:t>
      </w:r>
    </w:p>
    <w:p>
      <w:pPr>
        <w:spacing w:after="0" w:line="15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Real- time asset tracking services allow customers to improve many workflows. For example, inspecting a vehicle as it is approaching to know when a high value asset is on board before it leaves a secure area. This allows operators to respond, halt the vehicle, and investigate. Customer security will know what is leaving and whether it is scheduled to leave. This capability can also be used at gates, docks or storage locations to automatically grant access and record movements for accountability.</w:t>
      </w:r>
    </w:p>
    <w:p>
      <w:pPr>
        <w:spacing w:after="0" w:line="15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Another common application is tracking inventory. We provide a unique capability to dynamically sweep item inventory with roving, inexpensive readers powered by batteries. Due to their low cost and wireless capability, these inexpensive readers can be deployed on pallets, fork trucks, shelves or even people to provide coverage of the location of interest. As a result of this capability, our technology is disruptive to legacy logistics systems which are either inadequate to gather this level of detail or much more expensive and inflexible to deploy.</w:t>
      </w:r>
    </w:p>
    <w:p>
      <w:pPr>
        <w:spacing w:after="0" w:line="155"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Our systems automatically process inbound and outbound personnel or items, using RF tags or access cards, while AI -enabled cameras verify the asset is the one expected. This real-time, two-layer authentication streamlines customers’ access control process, allowing them to track assets in real time and identify anything that is not authorized. This capability can be especially valuable when providing edge intelligence to automation or robotics systems.</w:t>
      </w:r>
    </w:p>
    <w:p>
      <w:pPr>
        <w:spacing w:after="0" w:line="152"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Another example application is guided spotting and collision avoidance for vehicles. We not only provide a system that can track autonomous or piloted vehicles generally but if desired can overlay a precise tracking implementation that enables collision detection and avoidance. With attachment to a governor on the vehicle, the system can slow or stop the vehicle to prevent collision with another asset or person in real-time.</w:t>
      </w:r>
    </w:p>
    <w:p>
      <w:pPr>
        <w:spacing w:after="0" w:line="15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Using our rules engine, customers can set conditions for automatic alerts or actions to be taken related to specified parameters set by users in their application. Using the system also allows the organization to begin collecting valuable data, which can be analyzed to glean insights for better decision making across any organization or fed into an advanced AI implementation. To the extent customers are comfortable enabling it, we provide the capability to enable machine learning and AI intervention in complex processes to enhance safety, assurance and efficiency.</w:t>
      </w:r>
    </w:p>
    <w:p>
      <w:pPr>
        <w:spacing w:after="0" w:line="155"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As a result of the unique process visibility provided by their innovations, we are often implemented as an edge system producing rich data streams for other supervisory systems of record. Powerful commercial partnerships are intended to be formed with large ERP, MES or WMS system players in the targeted vertical markets.</w:t>
      </w:r>
    </w:p>
    <w:p>
      <w:pPr>
        <w:spacing w:after="0" w:line="3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5715</wp:posOffset>
            </wp:positionV>
            <wp:extent cx="6707505" cy="4108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7505" cy="410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In short, we bring a next generation capability to know when, where and why assets move in the enterprise, providing an opportunity to apply AI to complex edge processes.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Combination</w:t>
      </w:r>
    </w:p>
    <w:p>
      <w:pPr>
        <w:spacing w:after="0" w:line="17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On the Closing Date, the Company consummated the transactions contemplated by the Business Combination Agreement. Pursuant to the Business Combination Agreement, on the Closing Date, (i) ShoulderUp Merger Sub merged with and into SUAC, with SUAC surviving the ShoulderUp Merger as a wholly-owned subsidiary of the Company and (ii) simultaneously with the ShoulderUp Merger, SEI Merger Sub merged with and into SEE ID, with SEE ID surviving the SEE ID Merger as a wholly-owned subsidiary of the Company.</w:t>
      </w:r>
    </w:p>
    <w:p>
      <w:pPr>
        <w:spacing w:after="0" w:line="15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Prior to and in connection with the Special Meeting, holders of 2,000 shares of SUAC’s Class A Common Stock sold in its initial public offering exercised their right to redeem those shares for cash at a price of approximately $11.00 per share, for an aggregate of approximately $ 22,019. The per share redemption price of approximately $11.00 for public shareholders electing redemption was paid out of the Trust Account, which after taking into account the redemptions, had a balance immediately prior to the Closing of approximately $5,577,304.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Registration Rights and Lock Up Agreement</w:t>
      </w:r>
    </w:p>
    <w:p>
      <w:pPr>
        <w:spacing w:after="0" w:line="17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At the Closing, the Company entered into that certain Registration Rights and Lock-Up Agreement (the “Registration Rights and Lock -Up Agreement”) with certain holders listed on Schedule A thereto (the “Holders”), pursuant to which, (1) subject to certain exceptions, the Holders may not transfer or make any public announcement of any intention to effect a transfer of any of the equity interests of securities of the Company beneficially owned by the Holder during the period ending 180 days after the Closing Date; and (2) the Holders are entitled to certain “shelf” and “piggyback” registration rights. The Registration Rights and Lock-Up Agreement also provides that the Company will pay certain expenses relating to such registrations and indemnify the stockholder signatories thereto against (or make contributions in respect of) certain liabilities that may arise under the Securities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PIPE Financing</w:t>
      </w:r>
    </w:p>
    <w:p>
      <w:pPr>
        <w:spacing w:after="0" w:line="17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On the Closing Date, we consummated the PIPE Financing. Pursuant to the PIPE Subscription Agreements, the Company agreed to issue and sell to the PIPE Investors, and the PIPE Investors agreed to subscribe for and purchase an aggregate of 3,323,536 PIPE Shares at a purchase price of $4.00 per share for an aggregate purchase price of $13,294,143, in a private placement. Of the total PIPE Investment, $2,456,500 represents the conversion of bridge loan principal and accrued interest, such that the Company received an additional $10,837,643 from the PIPE Investors at Closing.</w:t>
      </w:r>
    </w:p>
    <w:p>
      <w:pPr>
        <w:sectPr>
          <w:pgSz w:w="11900" w:h="16840" w:orient="portrait"/>
          <w:cols w:equalWidth="0" w:num="1">
            <w:col w:w="10400"/>
          </w:cols>
          <w:pgMar w:left="760" w:top="1440" w:right="740" w:bottom="317"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Equity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-106680</wp:posOffset>
            </wp:positionV>
            <wp:extent cx="6707505" cy="1043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7505" cy="1043940"/>
                    </a:xfrm>
                    <a:prstGeom prst="rect">
                      <a:avLst/>
                    </a:prstGeom>
                    <a:noFill/>
                  </pic:spPr>
                </pic:pic>
              </a:graphicData>
            </a:graphic>
          </wp:anchor>
        </w:drawing>
      </w:r>
    </w:p>
    <w:p>
      <w:pPr>
        <w:spacing w:after="0" w:line="158"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At the Closing, the Company entered into that certain Share Purchase Agreement (the “ELOC Agreement”) with New Circle Principal Investments LLC, a Delaware limited liability company (“New Circle”), pursuant to which New Circle has committed to purchase, subject to certain limitations, up to $50 million (the “Total Commitment”) of the Company’s Common Stock.</w:t>
      </w:r>
    </w:p>
    <w:p>
      <w:pPr>
        <w:spacing w:after="0" w:line="15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In connection with the entry into the ELOC Agreement, the Company also entered into that certain Registration Rights Agreement (the “New Circle Registration Rights Agreement”) with New Circle.</w:t>
      </w: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5715</wp:posOffset>
            </wp:positionV>
            <wp:extent cx="6707505" cy="5060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7505" cy="5060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Pursuant to the ELOC Agreement, we have the right to sell to New Circle up to $50 million shares of common stock of the Company, subject to certain limitations and conditions set forth in the ELOC Agreement, from time to time during the term of the ELOC Agreement. Sales of Common Stock to New Circle under the ELOC Agreement, and the timing of any such sales, are at our option, and we are under no obligation to sell any securities to New Circle under the ELOC Agreement. In accordance with our obligations under the ELOC Agreement and New Circle Registration Rights Agreement, we have filed the registration statement of which this prospectus forms a part with the Securities and Exchange Commission (the “SEC”) to register under the Securities Act the resale by New Circle of up to 5,524,624 shares of Common Stock that we may elect, in our sole discretion, to issue and sell to New Circle, from time to time under the ELOC Agreement. From time to time at our discretion until June 18, 2028, upon the satisfaction of the conditions to New Circle’s purchase obligation set forth in the ELOC Agreement, including that the registration statement of which this prospectus forms a part be declared effective by the SEC and the final form of this prospectus is filed with the SEC, we will have the right, but not the obligation to direct New Circle to purchase a specified number of Common Stock (each such sale, a “Purchase”) by delivering written notice to New Circle (each, a “Purchase Notice”). While there is no mandatory minimum amount for any Purchase, it may not exceed an amount of shares of Common Stock equal to thirty percent (30%) of the average daily trading volume of the Common Stock of the Company during the five (5) Trading Days immediately preceding a Purchase Notice. The per share purchase price for the Common Stock, if any, that we elect to sell to New Circle in an Advance pursuant to the ELOC Agreement will be determined by reference to the volume weighted average price of our Common Stock (the “VWAP”) and calculated in accordance with the ELOC Agreement. There is no upper limit on the price per share that New Circle could be obligated to pay for the Common Stock we may elect to sell to it in any Purchase. We will control the timing and amount of any sales of Common Stock to New Circle. Actual sales of Common Stock to New Circle under the ELOC Agreement will depend on a variety of factors to be determined by us from time to time, which may include, among other things, market conditions, the trading price of our Common Stock, and determinations by us as to the appropriate sources of funding for our business and its operations.</w:t>
      </w:r>
    </w:p>
    <w:p>
      <w:pPr>
        <w:spacing w:after="0" w:line="32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 xml:space="preserve">Under the applicable rules of The Nasdaq Stock Market LLC (“Nasdaq”), in no event may we issue to New Circle under the ELOC Agreement more than 5,524,624 shares of Common Stock, which number of shares is equal to 19.99% of the aggregate number of Common Stock issued and outstanding as of the “Effective Date”, as such term is defined in the ELOC Agreement (the “Exchange Cap”), unless (i) we obtain stockholder approval to issue Common Stock in excess of the Exchange Cap in accordance with applicable Nasdaq rules, (ii) all applicable sales of Common Stock under the ELOC Agreement equal or exceed the “Minimum Price” (as such term is defined in Nasdaq Rule 5635), or (iii) as to any Purchase, the issuance of Common Stock pursuant to a Purchase Notice would be excluded from the Exchange Cap under Nasdaq rules (or interpretive guidance provided by Nasdaq with respect thereto). Moreover, we may not issue or sell any shares of Common Stock to New Circle under the ELOC Agreement which, when aggregated with all other shares of Common Stock then beneficially owned by New Circle and its affiliates (as calculated pursuant to Section 13(d) of the U.S. Securities Exchange Act of 1934, as amended (the “Exchange Act”), and Rule 13d-3 promulgated thereunder), would result in New Circle beneficially owning more than 4.99% of the outstanding voting power or shares of Common Stock (the “Ownership Limitation”) ;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upon delivery of a written notice to the Company, New Circle may from time to time increase (with such increase not effective until the sixty-first (61st) day after delivery of such notice) the Ownership Limitation to 9.99%.</w:t>
      </w:r>
    </w:p>
    <w:p>
      <w:pPr>
        <w:spacing w:after="0" w:line="16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The net proceeds from sales, if any, under the ELOC Agreement to us will depend on the frequency and prices at which we sell shares to New Circle. We expect that any proceeds received by us from such sales to New Circle will be used for working capital and general corporate purposes. New Circle has agreed that it and its affiliates will not engage in any short sales of our Common Stock nor enter into any transaction that establishes a net short position in the Common Stock during the term of the ELOC Agreement. The ELOC Agreement will automatically terminate on the earlier to occur of (i) July 18, 2028 and (ii) the date on which New Circle shall have purchased from us under the ELOC Agreement that number of shares of Common Stock for an aggregate gross purchase price of $50 million. We have the right to terminate the ELOC Agreement at no cost or penalty upon five trading days’ prior written notice to New Circle; provided that there are no outstanding Purchase Notices and all outstanding amounts the Company owes to New Circle pursuant to the ELOC Agreement are repaid. We and New Circle may also agree to terminate the ELOC Agreement by mutual written consent. Neither we nor New Circle may assign or transfer our respective rights and obligations under the ELOC Agreement, and no provision of the ELOC Agreement may be modified or waived by us or New Circle other than by an instrument in writing signed by both parties.</w:t>
      </w: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5715</wp:posOffset>
            </wp:positionV>
            <wp:extent cx="670750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348615</wp:posOffset>
            </wp:positionV>
            <wp:extent cx="6707505" cy="3048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07505" cy="304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ELOC Agreement contains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15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We do not know what the purchase price for our Common Stock will be and therefore cannot be certain as to the number of shares we might issue to New Circle under the ELOC Agreement. Although the ELOC Agreement provides that we may sell up to $50 million shares of Common Stock to New Circle, only 5,524,624 shares of Common Stock are being registered for resale by New Circle under the registration statement of which this prospectus forms a part, which may be issued to New Circle from time to time, if and when we elect to sell shares to New Circle under the ELOC Agreement. As of the date hereof, we have not sold any shares of Common Stock to New Circle under the ELOC Agreement and up to $50 million shares of Common Stock may still be sold to New Circle.</w:t>
      </w:r>
    </w:p>
    <w:p>
      <w:pPr>
        <w:spacing w:after="0" w:line="1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If and when we elect to issue and sell shares to New Circle under the ELOC Agreement, we may need to register for resale under the Securities Act additional shares of Common Stock in order to receive aggregate gross proceeds equal to the $50 million available to us under the ELOC Agreement, depending on market prices for our Common Stock. If all of the 5,524,624 shares offered by New Circle for resale under the registration statement of which this prospectus forms a part were issued and outstanding as of the date hereof (without taking into account the 4.99% Ownership Limitation or the 19.99% Exchange Cap limitation), such shares would represent approximately 5.25% of the total number of shares of Common Stock outstanding as of September 18, 2025. If we elect to issue and sell more than the 5,524,624 shares offered under this prospectus to New Circle, which we have the right, but not the obligation, to do, we must first register for resale under the Securities Act any such additional shares, which could cause substantial additional dilution to our stockholders. The number of shares ultimately offered for resale by New Circle is dependent upon the number of shares we may elect to sell to New Circle under the ELOC Agreement.</w:t>
      </w:r>
    </w:p>
    <w:p>
      <w:pPr>
        <w:spacing w:after="0" w:line="16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There are substantial risks to our shareholders as a result of the sale and issuance of Common Stock to New Circle under the ELOC Agreement. These risks include the potential for substantial dilution and significant declines in our stock price. See the section entitled “Risk Factors—Risks Related to this Offering.” Issuances of our Common Stock in this offering will not affect the rights or privileges of our existing shareholders, except that the economic and voting interests of each of our existing shareholders will be diluted as a result of any such issuance. Although the number of shares of Common Stock that our existing shareholders own will not decrease as a result of sales, if any, under the ELOC Agreement to New Circle, the shares owned by our existing shareholders will represent a smaller percentage of our total outstanding shares after any such issuance to New Circle.</w:t>
      </w:r>
    </w:p>
    <w:p>
      <w:pPr>
        <w:sectPr>
          <w:pgSz w:w="11900" w:h="16840" w:orient="portrait"/>
          <w:cols w:equalWidth="0" w:num="1">
            <w:col w:w="10380"/>
          </w:cols>
          <w:pgMar w:left="760" w:top="555" w:right="760" w:bottom="95"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129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07505" cy="129540"/>
                    </a:xfrm>
                    <a:prstGeom prst="rect">
                      <a:avLst/>
                    </a:prstGeom>
                    <a:noFill/>
                  </pic:spPr>
                </pic:pic>
              </a:graphicData>
            </a:graphic>
          </wp:anchor>
        </w:drawing>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6661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07505" cy="6661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Implications of Being an Emerging Growth Company</w:t>
      </w:r>
    </w:p>
    <w:p>
      <w:pPr>
        <w:spacing w:after="0" w:line="178" w:lineRule="exact"/>
        <w:rPr>
          <w:sz w:val="20"/>
          <w:szCs w:val="20"/>
          <w:color w:val="auto"/>
        </w:rPr>
      </w:pPr>
    </w:p>
    <w:p>
      <w:pPr>
        <w:jc w:val="both"/>
        <w:ind w:left="100" w:right="80"/>
        <w:spacing w:after="0" w:line="237" w:lineRule="auto"/>
        <w:rPr>
          <w:sz w:val="20"/>
          <w:szCs w:val="20"/>
          <w:color w:val="auto"/>
        </w:rPr>
      </w:pPr>
      <w:r>
        <w:rPr>
          <w:rFonts w:ascii="Times New Roman" w:cs="Times New Roman" w:eastAsia="Times New Roman" w:hAnsi="Times New Roman"/>
          <w:sz w:val="16"/>
          <w:szCs w:val="16"/>
          <w:color w:val="auto"/>
        </w:rPr>
        <w:t>We qualify as an “emerging growth company” as defined in Section 2(a)(19) of the Securities Act, as modified by the Jumpstart Our Business Startups Act of 2012, or the “JOBS Act.” As such, we will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(the “Sarbanes-Oxley Act”), (ii) the exemptions from say-on-pay, say-on -frequency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November 23, 2025, the fifth anniversary of the closing of SUAC’s IPO, (b) in which we have total annual gross revenue of at least $1.07 billion or (c) in which the Company is deemed to be a large accelerated filer, which means the market value of our Common Stock that are held by non-affiliates exceeds $700 million as of the last business day of our prior second fiscal quarter, and (ii) the date on which we have issued more than $1.0 billion in non-convertible debt during the prior three-year period.</w:t>
      </w:r>
    </w:p>
    <w:p>
      <w:pPr>
        <w:spacing w:after="0" w:line="164" w:lineRule="exact"/>
        <w:rPr>
          <w:sz w:val="20"/>
          <w:szCs w:val="20"/>
          <w:color w:val="auto"/>
        </w:rPr>
      </w:pPr>
    </w:p>
    <w:p>
      <w:pPr>
        <w:jc w:val="both"/>
        <w:ind w:left="100" w:right="80"/>
        <w:spacing w:after="0" w:line="238" w:lineRule="auto"/>
        <w:rPr>
          <w:sz w:val="20"/>
          <w:szCs w:val="20"/>
          <w:color w:val="auto"/>
        </w:rPr>
      </w:pPr>
      <w:r>
        <w:rPr>
          <w:rFonts w:ascii="Times New Roman" w:cs="Times New Roman" w:eastAsia="Times New Roman" w:hAnsi="Times New Roman"/>
          <w:sz w:val="16"/>
          <w:szCs w:val="16"/>
          <w:color w:val="auto"/>
        </w:rPr>
        <w:t>In addition, Section 107 of the JOBS Act also provides that an emerging growth company can take advantage of the exemption from complying with new or revised accounting standards provided in Section 7(a)(2)(B) of the Securities Act as long as it is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1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We were formed as a Delaware corporation on February 27, 2024.</w:t>
      </w:r>
    </w:p>
    <w:p>
      <w:pPr>
        <w:spacing w:after="0" w:line="176" w:lineRule="exact"/>
        <w:rPr>
          <w:sz w:val="20"/>
          <w:szCs w:val="20"/>
          <w:color w:val="auto"/>
        </w:rPr>
      </w:pPr>
    </w:p>
    <w:p>
      <w:pPr>
        <w:jc w:val="both"/>
        <w:ind w:left="100" w:right="100"/>
        <w:spacing w:after="0" w:line="259" w:lineRule="auto"/>
        <w:rPr>
          <w:sz w:val="20"/>
          <w:szCs w:val="20"/>
          <w:color w:val="auto"/>
        </w:rPr>
      </w:pPr>
      <w:r>
        <w:rPr>
          <w:rFonts w:ascii="Times New Roman" w:cs="Times New Roman" w:eastAsia="Times New Roman" w:hAnsi="Times New Roman"/>
          <w:sz w:val="16"/>
          <w:szCs w:val="16"/>
          <w:color w:val="auto"/>
        </w:rPr>
        <w:t>Our principal executive office is located at 5661 S Cameron St, Suite 100, Las Vegas, Nevada 89118 and our telephone number is (303)-332-4122. Our website is https://daic.ai. The information found on, or that can be accessed from or that is hyperlinked to, our website is not part of this prospectus.</w:t>
      </w:r>
    </w:p>
    <w:p>
      <w:pPr>
        <w:spacing w:after="0" w:line="1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76" w:lineRule="exact"/>
        <w:rPr>
          <w:sz w:val="20"/>
          <w:szCs w:val="20"/>
          <w:color w:val="auto"/>
        </w:rPr>
      </w:pPr>
    </w:p>
    <w:p>
      <w:pPr>
        <w:jc w:val="both"/>
        <w:ind w:left="100" w:right="80"/>
        <w:spacing w:after="0" w:line="301" w:lineRule="auto"/>
        <w:rPr>
          <w:sz w:val="20"/>
          <w:szCs w:val="20"/>
          <w:color w:val="auto"/>
        </w:rPr>
      </w:pPr>
      <w:r>
        <w:rPr>
          <w:rFonts w:ascii="Times New Roman" w:cs="Times New Roman" w:eastAsia="Times New Roman" w:hAnsi="Times New Roman"/>
          <w:sz w:val="14"/>
          <w:szCs w:val="14"/>
          <w:color w:val="auto"/>
        </w:rPr>
        <w:t>An investment in our Common Stock involves substantial risk. The occurrence of one or more of the events or circumstances described in the section entitled</w:t>
      </w:r>
      <w:r>
        <w:rPr>
          <w:rFonts w:ascii="Times New Roman" w:cs="Times New Roman" w:eastAsia="Times New Roman" w:hAnsi="Times New Roman"/>
          <w:sz w:val="14"/>
          <w:szCs w:val="14"/>
          <w:i w:val="1"/>
          <w:iCs w:val="1"/>
          <w:color w:val="auto"/>
        </w:rPr>
        <w:t>“Risk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Factors,” </w:t>
      </w:r>
      <w:r>
        <w:rPr>
          <w:rFonts w:ascii="Times New Roman" w:cs="Times New Roman" w:eastAsia="Times New Roman" w:hAnsi="Times New Roman"/>
          <w:sz w:val="14"/>
          <w:szCs w:val="14"/>
          <w:color w:val="auto"/>
        </w:rPr>
        <w:t>alone or in combination with other events or circumstances, may have a material adverse effect on our business, cash flows, financial condition and results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operations. Important factors and risks that could cause actual results to differ materially from those in the forward-looking statements include, among others:</w:t>
      </w:r>
    </w:p>
    <w:p>
      <w:pPr>
        <w:spacing w:after="0" w:line="116" w:lineRule="exact"/>
        <w:rPr>
          <w:sz w:val="20"/>
          <w:szCs w:val="20"/>
          <w:color w:val="auto"/>
        </w:rPr>
      </w:pPr>
    </w:p>
    <w:p>
      <w:pPr>
        <w:ind w:left="680" w:right="100" w:hanging="290"/>
        <w:spacing w:after="0" w:line="259" w:lineRule="auto"/>
        <w:tabs>
          <w:tab w:leader="none" w:pos="6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identified material weaknesses in SEE ID’s internal control over financial reporting and may identify additional material weaknesses in the future or fail to maintain an effective system of internal control over financial reporting.</w:t>
      </w:r>
    </w:p>
    <w:p>
      <w:pPr>
        <w:spacing w:after="0" w:line="143" w:lineRule="exact"/>
        <w:rPr>
          <w:rFonts w:ascii="Times New Roman" w:cs="Times New Roman" w:eastAsia="Times New Roman" w:hAnsi="Times New Roman"/>
          <w:sz w:val="16"/>
          <w:szCs w:val="16"/>
          <w:color w:val="auto"/>
        </w:rPr>
      </w:pPr>
    </w:p>
    <w:p>
      <w:pPr>
        <w:ind w:left="680" w:hanging="290"/>
        <w:spacing w:after="0"/>
        <w:tabs>
          <w:tab w:leader="none" w:pos="6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success and our ability to grow the Company’s business depends on retaining and expanding the Company’s customer base.</w:t>
      </w:r>
    </w:p>
    <w:p>
      <w:pPr>
        <w:spacing w:after="0" w:line="176" w:lineRule="exact"/>
        <w:rPr>
          <w:rFonts w:ascii="Times New Roman" w:cs="Times New Roman" w:eastAsia="Times New Roman" w:hAnsi="Times New Roman"/>
          <w:sz w:val="16"/>
          <w:szCs w:val="16"/>
          <w:color w:val="auto"/>
        </w:rPr>
      </w:pPr>
    </w:p>
    <w:p>
      <w:pPr>
        <w:ind w:left="680" w:hanging="290"/>
        <w:spacing w:after="0"/>
        <w:tabs>
          <w:tab w:leader="none" w:pos="6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maintain and enhance the Company’s brand and reputation.</w:t>
      </w:r>
    </w:p>
    <w:p>
      <w:pPr>
        <w:spacing w:after="0" w:line="176" w:lineRule="exact"/>
        <w:rPr>
          <w:rFonts w:ascii="Times New Roman" w:cs="Times New Roman" w:eastAsia="Times New Roman" w:hAnsi="Times New Roman"/>
          <w:sz w:val="16"/>
          <w:szCs w:val="16"/>
          <w:color w:val="auto"/>
        </w:rPr>
      </w:pPr>
    </w:p>
    <w:p>
      <w:pPr>
        <w:ind w:left="680" w:hanging="290"/>
        <w:spacing w:after="0"/>
        <w:tabs>
          <w:tab w:leader="none" w:pos="6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a limited operating history.</w:t>
      </w:r>
    </w:p>
    <w:p>
      <w:pPr>
        <w:spacing w:after="0" w:line="176" w:lineRule="exact"/>
        <w:rPr>
          <w:rFonts w:ascii="Times New Roman" w:cs="Times New Roman" w:eastAsia="Times New Roman" w:hAnsi="Times New Roman"/>
          <w:sz w:val="16"/>
          <w:szCs w:val="16"/>
          <w:color w:val="auto"/>
        </w:rPr>
      </w:pPr>
    </w:p>
    <w:p>
      <w:pPr>
        <w:ind w:left="680" w:hanging="290"/>
        <w:spacing w:after="0"/>
        <w:tabs>
          <w:tab w:leader="none" w:pos="6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Security incidents or real or perceived errors, failures or bugs in the Company’s systems or website could impair its business.</w:t>
      </w:r>
    </w:p>
    <w:p>
      <w:pPr>
        <w:spacing w:after="0" w:line="176" w:lineRule="exact"/>
        <w:rPr>
          <w:rFonts w:ascii="Times New Roman" w:cs="Times New Roman" w:eastAsia="Times New Roman" w:hAnsi="Times New Roman"/>
          <w:sz w:val="16"/>
          <w:szCs w:val="16"/>
          <w:color w:val="auto"/>
        </w:rPr>
      </w:pPr>
    </w:p>
    <w:p>
      <w:pPr>
        <w:ind w:left="680" w:hanging="290"/>
        <w:spacing w:after="0"/>
        <w:tabs>
          <w:tab w:leader="none" w:pos="6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management team has limited experience managing a public company.</w:t>
      </w:r>
    </w:p>
    <w:p>
      <w:pPr>
        <w:spacing w:after="0" w:line="176" w:lineRule="exact"/>
        <w:rPr>
          <w:rFonts w:ascii="Times New Roman" w:cs="Times New Roman" w:eastAsia="Times New Roman" w:hAnsi="Times New Roman"/>
          <w:sz w:val="16"/>
          <w:szCs w:val="16"/>
          <w:color w:val="auto"/>
        </w:rPr>
      </w:pPr>
    </w:p>
    <w:p>
      <w:pPr>
        <w:ind w:left="680" w:right="120" w:hanging="290"/>
        <w:spacing w:after="0" w:line="259" w:lineRule="auto"/>
        <w:tabs>
          <w:tab w:leader="none" w:pos="6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internal controls over financial reporting may not be effective and the Company’s independent registered public accounting firm may not be able to certify as to their effectiveness</w:t>
      </w:r>
    </w:p>
    <w:p>
      <w:pPr>
        <w:spacing w:after="0" w:line="1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You should carefully review and consider the risk factors set forth under the section entitled “</w:t>
      </w:r>
      <w:r>
        <w:rPr>
          <w:rFonts w:ascii="Times New Roman" w:cs="Times New Roman" w:eastAsia="Times New Roman" w:hAnsi="Times New Roman"/>
          <w:sz w:val="16"/>
          <w:szCs w:val="16"/>
          <w:i w:val="1"/>
          <w:iCs w:val="1"/>
          <w:color w:val="auto"/>
        </w:rPr>
        <w:t>Risk Factors”.</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3020" w:type="dxa"/>
            <w:vAlign w:val="bottom"/>
            <w:tcBorders>
              <w:bottom w:val="single" w:sz="8" w:color="auto"/>
            </w:tcBorders>
          </w:tcPr>
          <w:p>
            <w:pPr>
              <w:spacing w:after="0"/>
              <w:rPr>
                <w:sz w:val="17"/>
                <w:szCs w:val="17"/>
                <w:color w:val="auto"/>
              </w:rPr>
            </w:pPr>
          </w:p>
        </w:tc>
        <w:tc>
          <w:tcPr>
            <w:tcW w:w="754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6"/>
                <w:szCs w:val="16"/>
                <w:color w:val="auto"/>
              </w:rPr>
              <w:t>5</w:t>
            </w:r>
          </w:p>
        </w:tc>
      </w:tr>
      <w:tr>
        <w:trPr>
          <w:trHeight w:val="520"/>
        </w:trPr>
        <w:tc>
          <w:tcPr>
            <w:tcW w:w="302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r>
      <w:tr>
        <w:trPr>
          <w:trHeight w:val="370"/>
        </w:trPr>
        <w:tc>
          <w:tcPr>
            <w:tcW w:w="3020" w:type="dxa"/>
            <w:vAlign w:val="bottom"/>
            <w:tcBorders>
              <w:left w:val="single" w:sz="8" w:color="auto"/>
            </w:tcBorders>
          </w:tcPr>
          <w:p>
            <w:pPr>
              <w:spacing w:after="0"/>
              <w:rPr>
                <w:sz w:val="24"/>
                <w:szCs w:val="24"/>
                <w:color w:val="auto"/>
              </w:rPr>
            </w:pPr>
          </w:p>
        </w:tc>
        <w:tc>
          <w:tcPr>
            <w:tcW w:w="754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6"/>
                <w:szCs w:val="16"/>
                <w:b w:val="1"/>
                <w:bCs w:val="1"/>
                <w:color w:val="auto"/>
              </w:rPr>
              <w:t>THE OFFERING</w:t>
            </w:r>
          </w:p>
        </w:tc>
      </w:tr>
      <w:tr>
        <w:trPr>
          <w:trHeight w:val="360"/>
        </w:trPr>
        <w:tc>
          <w:tcPr>
            <w:tcW w:w="30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Issuance of Common Stock</w:t>
            </w:r>
          </w:p>
        </w:tc>
        <w:tc>
          <w:tcPr>
            <w:tcW w:w="7540" w:type="dxa"/>
            <w:vAlign w:val="bottom"/>
            <w:tcBorders>
              <w:right w:val="single" w:sz="8" w:color="auto"/>
            </w:tcBorders>
          </w:tcPr>
          <w:p>
            <w:pPr>
              <w:spacing w:after="0"/>
              <w:rPr>
                <w:sz w:val="24"/>
                <w:szCs w:val="24"/>
                <w:color w:val="auto"/>
              </w:rPr>
            </w:pPr>
          </w:p>
        </w:tc>
      </w:tr>
      <w:tr>
        <w:trPr>
          <w:trHeight w:val="360"/>
        </w:trPr>
        <w:tc>
          <w:tcPr>
            <w:tcW w:w="30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Shares of Common Stock offered by us</w:t>
            </w:r>
          </w:p>
        </w:tc>
        <w:tc>
          <w:tcPr>
            <w:tcW w:w="75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Up to 14,999,983 shares of Common Stock that may be issued upon exercise of 14,999,983 Public Warrants.</w:t>
            </w:r>
          </w:p>
        </w:tc>
      </w:tr>
      <w:tr>
        <w:trPr>
          <w:trHeight w:val="360"/>
        </w:trPr>
        <w:tc>
          <w:tcPr>
            <w:tcW w:w="30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Exercise price of Public Warrants</w:t>
            </w:r>
          </w:p>
        </w:tc>
        <w:tc>
          <w:tcPr>
            <w:tcW w:w="75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$11.50 per share, subject to adjustment as described herein.</w:t>
            </w:r>
          </w:p>
        </w:tc>
      </w:tr>
      <w:tr>
        <w:trPr>
          <w:trHeight w:val="337"/>
        </w:trPr>
        <w:tc>
          <w:tcPr>
            <w:tcW w:w="30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Use of proceeds</w:t>
            </w:r>
          </w:p>
        </w:tc>
        <w:tc>
          <w:tcPr>
            <w:tcW w:w="75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We will receive up to an aggregate of approximately $172,499,805 from the exercise of the Public Warrants,</w:t>
            </w:r>
          </w:p>
        </w:tc>
      </w:tr>
      <w:tr>
        <w:trPr>
          <w:trHeight w:val="180"/>
        </w:trPr>
        <w:tc>
          <w:tcPr>
            <w:tcW w:w="3020" w:type="dxa"/>
            <w:vAlign w:val="bottom"/>
            <w:tcBorders>
              <w:left w:val="single" w:sz="8" w:color="auto"/>
            </w:tcBorders>
          </w:tcPr>
          <w:p>
            <w:pPr>
              <w:spacing w:after="0"/>
              <w:rPr>
                <w:sz w:val="15"/>
                <w:szCs w:val="15"/>
                <w:color w:val="auto"/>
              </w:rPr>
            </w:pPr>
          </w:p>
        </w:tc>
        <w:tc>
          <w:tcPr>
            <w:tcW w:w="7540" w:type="dxa"/>
            <w:vAlign w:val="bottom"/>
            <w:tcBorders>
              <w:right w:val="single" w:sz="8" w:color="auto"/>
            </w:tcBorders>
          </w:tcPr>
          <w:p>
            <w:pPr>
              <w:ind w:left="420"/>
              <w:spacing w:after="0" w:line="180" w:lineRule="exact"/>
              <w:rPr>
                <w:sz w:val="20"/>
                <w:szCs w:val="20"/>
                <w:color w:val="auto"/>
              </w:rPr>
            </w:pPr>
            <w:r>
              <w:rPr>
                <w:rFonts w:ascii="Times New Roman" w:cs="Times New Roman" w:eastAsia="Times New Roman" w:hAnsi="Times New Roman"/>
                <w:sz w:val="16"/>
                <w:szCs w:val="16"/>
                <w:color w:val="auto"/>
              </w:rPr>
              <w:t>assuming the exercise in full of all of the Public Warrants for cash. Unless we inform you otherwise in a</w:t>
            </w:r>
          </w:p>
        </w:tc>
      </w:tr>
      <w:tr>
        <w:trPr>
          <w:trHeight w:val="180"/>
        </w:trPr>
        <w:tc>
          <w:tcPr>
            <w:tcW w:w="3020" w:type="dxa"/>
            <w:vAlign w:val="bottom"/>
            <w:tcBorders>
              <w:left w:val="single" w:sz="8" w:color="auto"/>
            </w:tcBorders>
          </w:tcPr>
          <w:p>
            <w:pPr>
              <w:spacing w:after="0"/>
              <w:rPr>
                <w:sz w:val="15"/>
                <w:szCs w:val="15"/>
                <w:color w:val="auto"/>
              </w:rPr>
            </w:pPr>
          </w:p>
        </w:tc>
        <w:tc>
          <w:tcPr>
            <w:tcW w:w="7540" w:type="dxa"/>
            <w:vAlign w:val="bottom"/>
            <w:tcBorders>
              <w:right w:val="single" w:sz="8" w:color="auto"/>
            </w:tcBorders>
          </w:tcPr>
          <w:p>
            <w:pPr>
              <w:ind w:left="420"/>
              <w:spacing w:after="0" w:line="180" w:lineRule="exact"/>
              <w:rPr>
                <w:sz w:val="20"/>
                <w:szCs w:val="20"/>
                <w:color w:val="auto"/>
              </w:rPr>
            </w:pPr>
            <w:r>
              <w:rPr>
                <w:rFonts w:ascii="Times New Roman" w:cs="Times New Roman" w:eastAsia="Times New Roman" w:hAnsi="Times New Roman"/>
                <w:sz w:val="16"/>
                <w:szCs w:val="16"/>
                <w:color w:val="auto"/>
              </w:rPr>
              <w:t>prospectus supplement or free writing prospectus, we intend to use the net proceeds from the exercise of the</w:t>
            </w:r>
          </w:p>
        </w:tc>
      </w:tr>
      <w:tr>
        <w:trPr>
          <w:trHeight w:val="203"/>
        </w:trPr>
        <w:tc>
          <w:tcPr>
            <w:tcW w:w="3020" w:type="dxa"/>
            <w:vAlign w:val="bottom"/>
            <w:tcBorders>
              <w:left w:val="single" w:sz="8" w:color="auto"/>
            </w:tcBorders>
          </w:tcPr>
          <w:p>
            <w:pPr>
              <w:spacing w:after="0"/>
              <w:rPr>
                <w:sz w:val="17"/>
                <w:szCs w:val="17"/>
                <w:color w:val="auto"/>
              </w:rPr>
            </w:pPr>
          </w:p>
        </w:tc>
        <w:tc>
          <w:tcPr>
            <w:tcW w:w="75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Public Warrants for general corporate purposes.</w:t>
            </w:r>
          </w:p>
        </w:tc>
      </w:tr>
      <w:tr>
        <w:trPr>
          <w:trHeight w:val="335"/>
        </w:trPr>
        <w:tc>
          <w:tcPr>
            <w:tcW w:w="30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Resale of Common Stock and Private</w:t>
            </w:r>
          </w:p>
        </w:tc>
        <w:tc>
          <w:tcPr>
            <w:tcW w:w="7540" w:type="dxa"/>
            <w:vAlign w:val="bottom"/>
            <w:tcBorders>
              <w:right w:val="single" w:sz="8" w:color="auto"/>
            </w:tcBorders>
          </w:tcPr>
          <w:p>
            <w:pPr>
              <w:spacing w:after="0"/>
              <w:rPr>
                <w:sz w:val="24"/>
                <w:szCs w:val="24"/>
                <w:color w:val="auto"/>
              </w:rPr>
            </w:pPr>
          </w:p>
        </w:tc>
      </w:tr>
      <w:tr>
        <w:trPr>
          <w:trHeight w:val="205"/>
        </w:trPr>
        <w:tc>
          <w:tcPr>
            <w:tcW w:w="302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Placement Warrants</w:t>
            </w:r>
          </w:p>
        </w:tc>
        <w:tc>
          <w:tcPr>
            <w:tcW w:w="7540" w:type="dxa"/>
            <w:vAlign w:val="bottom"/>
            <w:tcBorders>
              <w:right w:val="single" w:sz="8" w:color="auto"/>
            </w:tcBorders>
          </w:tcPr>
          <w:p>
            <w:pPr>
              <w:spacing w:after="0"/>
              <w:rPr>
                <w:sz w:val="17"/>
                <w:szCs w:val="17"/>
                <w:color w:val="auto"/>
              </w:rPr>
            </w:pPr>
          </w:p>
        </w:tc>
      </w:tr>
      <w:tr>
        <w:trPr>
          <w:trHeight w:val="806"/>
        </w:trPr>
        <w:tc>
          <w:tcPr>
            <w:tcW w:w="3020" w:type="dxa"/>
            <w:vAlign w:val="bottom"/>
            <w:tcBorders>
              <w:left w:val="single" w:sz="8" w:color="auto"/>
            </w:tcBorders>
          </w:tcPr>
          <w:p>
            <w:pPr>
              <w:spacing w:after="0"/>
              <w:rPr>
                <w:sz w:val="24"/>
                <w:szCs w:val="24"/>
                <w:color w:val="auto"/>
              </w:rPr>
            </w:pPr>
          </w:p>
        </w:tc>
        <w:tc>
          <w:tcPr>
            <w:tcW w:w="7540" w:type="dxa"/>
            <w:vAlign w:val="bottom"/>
            <w:tcBorders>
              <w:right w:val="single" w:sz="8" w:color="auto"/>
            </w:tcBorders>
          </w:tcPr>
          <w:p>
            <w:pPr>
              <w:spacing w:after="0"/>
              <w:rPr>
                <w:sz w:val="24"/>
                <w:szCs w:val="24"/>
                <w:color w:val="auto"/>
              </w:rPr>
            </w:pPr>
          </w:p>
        </w:tc>
      </w:tr>
    </w:tbl>
    <w:p>
      <w:pPr>
        <w:sectPr>
          <w:pgSz w:w="11900" w:h="16840" w:orient="portrait"/>
          <w:cols w:equalWidth="0" w:num="1">
            <w:col w:w="10560"/>
          </w:cols>
          <w:pgMar w:left="660" w:top="953" w:right="680" w:bottom="5" w:gutter="0" w:footer="0" w:header="0"/>
        </w:sectPr>
      </w:pPr>
    </w:p>
    <w:bookmarkStart w:id="6" w:name="page7"/>
    <w:bookmarkEnd w:id="6"/>
    <w:p>
      <w:pPr>
        <w:ind w:left="100"/>
        <w:spacing w:after="0"/>
        <w:tabs>
          <w:tab w:leader="none" w:pos="3420" w:val="left"/>
        </w:tabs>
        <w:rPr>
          <w:sz w:val="20"/>
          <w:szCs w:val="20"/>
          <w:color w:val="auto"/>
        </w:rPr>
      </w:pPr>
      <w:r>
        <w:rPr>
          <w:rFonts w:ascii="Times New Roman" w:cs="Times New Roman" w:eastAsia="Times New Roman" w:hAnsi="Times New Roman"/>
          <w:sz w:val="16"/>
          <w:szCs w:val="16"/>
          <w:color w:val="auto"/>
        </w:rPr>
        <w:t>Shares of Common Stock offered by the Selling</w:t>
      </w:r>
      <w:r>
        <w:rPr>
          <w:sz w:val="20"/>
          <w:szCs w:val="20"/>
          <w:color w:val="auto"/>
        </w:rPr>
        <w:tab/>
      </w:r>
      <w:r>
        <w:rPr>
          <w:rFonts w:ascii="Times New Roman" w:cs="Times New Roman" w:eastAsia="Times New Roman" w:hAnsi="Times New Roman"/>
          <w:sz w:val="14"/>
          <w:szCs w:val="14"/>
          <w:color w:val="auto"/>
        </w:rPr>
        <w:t>Up to 29,701,559 shares of Common Stock, consisting of: (1) up to 11,522,565 shares of Common Stock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15240" cy="4695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240" cy="4695190"/>
                    </a:xfrm>
                    <a:prstGeom prst="rect">
                      <a:avLst/>
                    </a:prstGeom>
                    <a:noFill/>
                  </pic:spPr>
                </pic:pic>
              </a:graphicData>
            </a:graphic>
          </wp:anchor>
        </w:drawing>
        <w:drawing>
          <wp:anchor simplePos="0" relativeHeight="251657728" behindDoc="1" locked="0" layoutInCell="0" allowOverlap="1">
            <wp:simplePos x="0" y="0"/>
            <wp:positionH relativeFrom="column">
              <wp:posOffset>6696075</wp:posOffset>
            </wp:positionH>
            <wp:positionV relativeFrom="paragraph">
              <wp:posOffset>-107950</wp:posOffset>
            </wp:positionV>
            <wp:extent cx="15240" cy="4695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240" cy="4695190"/>
                    </a:xfrm>
                    <a:prstGeom prst="rect">
                      <a:avLst/>
                    </a:prstGeom>
                    <a:noFill/>
                  </pic:spPr>
                </pic:pic>
              </a:graphicData>
            </a:graphic>
          </wp:anchor>
        </w:drawing>
      </w:r>
    </w:p>
    <w:p>
      <w:pPr>
        <w:ind w:left="240"/>
        <w:spacing w:after="0"/>
        <w:tabs>
          <w:tab w:leader="none" w:pos="3420" w:val="left"/>
        </w:tabs>
        <w:rPr>
          <w:sz w:val="20"/>
          <w:szCs w:val="20"/>
          <w:color w:val="auto"/>
        </w:rPr>
      </w:pPr>
      <w:r>
        <w:rPr>
          <w:rFonts w:ascii="Times New Roman" w:cs="Times New Roman" w:eastAsia="Times New Roman" w:hAnsi="Times New Roman"/>
          <w:sz w:val="16"/>
          <w:szCs w:val="16"/>
          <w:color w:val="auto"/>
        </w:rPr>
        <w:t>Securityholders</w:t>
      </w:r>
      <w:r>
        <w:rPr>
          <w:sz w:val="20"/>
          <w:szCs w:val="20"/>
          <w:color w:val="auto"/>
        </w:rPr>
        <w:tab/>
      </w:r>
      <w:r>
        <w:rPr>
          <w:rFonts w:ascii="Times New Roman" w:cs="Times New Roman" w:eastAsia="Times New Roman" w:hAnsi="Times New Roman"/>
          <w:sz w:val="16"/>
          <w:szCs w:val="16"/>
          <w:color w:val="auto"/>
        </w:rPr>
        <w:t>to certain SEE ID equity holders as merger consideration pursuant to the Business Combination; (2) up to</w:t>
      </w:r>
    </w:p>
    <w:p>
      <w:pPr>
        <w:jc w:val="right"/>
        <w:ind w:right="120"/>
        <w:spacing w:after="0" w:line="234" w:lineRule="auto"/>
        <w:rPr>
          <w:sz w:val="20"/>
          <w:szCs w:val="20"/>
          <w:color w:val="auto"/>
        </w:rPr>
      </w:pPr>
      <w:r>
        <w:rPr>
          <w:rFonts w:ascii="Times New Roman" w:cs="Times New Roman" w:eastAsia="Times New Roman" w:hAnsi="Times New Roman"/>
          <w:sz w:val="16"/>
          <w:szCs w:val="16"/>
          <w:color w:val="auto"/>
        </w:rPr>
        <w:t>7,365,834 Founder Shares; (3) up to 1,310,000 Private Placement Shares; (4) up to 3,323,536 PIPE Shares; (5)</w:t>
      </w:r>
    </w:p>
    <w:p>
      <w:pPr>
        <w:ind w:left="3440"/>
        <w:spacing w:after="0" w:line="235" w:lineRule="auto"/>
        <w:rPr>
          <w:sz w:val="20"/>
          <w:szCs w:val="20"/>
          <w:color w:val="auto"/>
        </w:rPr>
      </w:pPr>
      <w:r>
        <w:rPr>
          <w:rFonts w:ascii="Times New Roman" w:cs="Times New Roman" w:eastAsia="Times New Roman" w:hAnsi="Times New Roman"/>
          <w:sz w:val="16"/>
          <w:szCs w:val="16"/>
          <w:color w:val="auto"/>
        </w:rPr>
        <w:t>up to 5,524,624 New Circle Shares; and (6) up to 655,000 shares of Common Stock issuable upon exercise of</w:t>
      </w:r>
    </w:p>
    <w:p>
      <w:pPr>
        <w:spacing w:after="0" w:line="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color w:val="auto"/>
        </w:rPr>
        <w:t>the Private Placement Warrants.</w:t>
      </w:r>
    </w:p>
    <w:p>
      <w:pPr>
        <w:sectPr>
          <w:pgSz w:w="11900" w:h="16840" w:orient="portrait"/>
          <w:cols w:equalWidth="0" w:num="1">
            <w:col w:w="10580"/>
          </w:cols>
          <w:pgMar w:left="660" w:top="557" w:right="660" w:bottom="365" w:gutter="0" w:footer="0" w:header="0"/>
        </w:sectPr>
      </w:pPr>
    </w:p>
    <w:p>
      <w:pPr>
        <w:spacing w:after="0" w:line="158" w:lineRule="exact"/>
        <w:rPr>
          <w:sz w:val="20"/>
          <w:szCs w:val="20"/>
          <w:color w:val="auto"/>
        </w:rPr>
      </w:pPr>
    </w:p>
    <w:p>
      <w:pPr>
        <w:ind w:left="240" w:hanging="143"/>
        <w:spacing w:after="0" w:line="259" w:lineRule="auto"/>
        <w:rPr>
          <w:sz w:val="20"/>
          <w:szCs w:val="20"/>
          <w:color w:val="auto"/>
        </w:rPr>
      </w:pPr>
      <w:r>
        <w:rPr>
          <w:rFonts w:ascii="Times New Roman" w:cs="Times New Roman" w:eastAsia="Times New Roman" w:hAnsi="Times New Roman"/>
          <w:sz w:val="16"/>
          <w:szCs w:val="16"/>
          <w:color w:val="auto"/>
        </w:rPr>
        <w:t>Private Placement Warrants to purchase Common Stock by the Selling Securityholders</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Use of proceeds</w:t>
      </w:r>
    </w:p>
    <w:p>
      <w:pPr>
        <w:spacing w:after="0" w:line="356" w:lineRule="exact"/>
        <w:rPr>
          <w:sz w:val="20"/>
          <w:szCs w:val="20"/>
          <w:color w:val="auto"/>
        </w:rPr>
      </w:pPr>
    </w:p>
    <w:p>
      <w:pPr>
        <w:ind w:left="240" w:right="260" w:hanging="143"/>
        <w:spacing w:after="0" w:line="259" w:lineRule="auto"/>
        <w:rPr>
          <w:sz w:val="20"/>
          <w:szCs w:val="20"/>
          <w:color w:val="auto"/>
        </w:rPr>
      </w:pPr>
      <w:r>
        <w:rPr>
          <w:rFonts w:ascii="Times New Roman" w:cs="Times New Roman" w:eastAsia="Times New Roman" w:hAnsi="Times New Roman"/>
          <w:sz w:val="16"/>
          <w:szCs w:val="16"/>
          <w:color w:val="auto"/>
        </w:rPr>
        <w:t>Shares of Common Stock outstanding prior to exercise of all Warrants</w:t>
      </w:r>
    </w:p>
    <w:p>
      <w:pPr>
        <w:spacing w:after="0" w:line="143" w:lineRule="exact"/>
        <w:rPr>
          <w:sz w:val="20"/>
          <w:szCs w:val="20"/>
          <w:color w:val="auto"/>
        </w:rPr>
      </w:pPr>
    </w:p>
    <w:p>
      <w:pPr>
        <w:ind w:left="240" w:right="120" w:hanging="143"/>
        <w:spacing w:after="0" w:line="259" w:lineRule="auto"/>
        <w:rPr>
          <w:sz w:val="20"/>
          <w:szCs w:val="20"/>
          <w:color w:val="auto"/>
        </w:rPr>
      </w:pPr>
      <w:r>
        <w:rPr>
          <w:rFonts w:ascii="Times New Roman" w:cs="Times New Roman" w:eastAsia="Times New Roman" w:hAnsi="Times New Roman"/>
          <w:sz w:val="16"/>
          <w:szCs w:val="16"/>
          <w:color w:val="auto"/>
        </w:rPr>
        <w:t>Shares of Common Stock outstanding assuming exercise of all Warrants</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Restrictions to sell</w:t>
      </w: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Risk factors</w:t>
      </w: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Holders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Up to 655,000 Private Placement Warrants:</w:t>
      </w:r>
    </w:p>
    <w:p>
      <w:pPr>
        <w:spacing w:after="0" w:line="356"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6"/>
          <w:szCs w:val="16"/>
          <w:color w:val="auto"/>
        </w:rPr>
        <w:t>We will not receive any proceeds from the sale of the shares of Common Stock or Private Placement Warrants by the Selling Securityholders.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27,636,939 shares (as of September 18, 2025).</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43,291,922 shares (as of September 18, 2025).</w:t>
      </w:r>
    </w:p>
    <w:p>
      <w:pPr>
        <w:spacing w:after="0" w:line="356"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6"/>
          <w:szCs w:val="16"/>
          <w:color w:val="auto"/>
        </w:rPr>
        <w:t>Certain of our securityholders are subject to certain restrictions on transfer until the termination of applicable lockup periods. See the section entitled “</w:t>
      </w:r>
      <w:r>
        <w:rPr>
          <w:rFonts w:ascii="Times New Roman" w:cs="Times New Roman" w:eastAsia="Times New Roman" w:hAnsi="Times New Roman"/>
          <w:sz w:val="16"/>
          <w:szCs w:val="16"/>
          <w:i w:val="1"/>
          <w:iCs w:val="1"/>
          <w:color w:val="auto"/>
        </w:rPr>
        <w:t>Plan of Distribution - Restrictions to Sell</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6"/>
          <w:szCs w:val="16"/>
          <w:color w:val="auto"/>
        </w:rPr>
        <w:t>Any investment in the securities offered hereby is speculative and involves a high degree of risk. You should carefully consider the information set forth under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jc w:val="both"/>
        <w:ind w:right="120"/>
        <w:spacing w:after="0" w:line="243" w:lineRule="auto"/>
        <w:rPr>
          <w:sz w:val="20"/>
          <w:szCs w:val="20"/>
          <w:color w:val="auto"/>
        </w:rPr>
      </w:pPr>
      <w:r>
        <w:rPr>
          <w:rFonts w:ascii="Times New Roman" w:cs="Times New Roman" w:eastAsia="Times New Roman" w:hAnsi="Times New Roman"/>
          <w:sz w:val="16"/>
          <w:szCs w:val="16"/>
          <w:color w:val="auto"/>
        </w:rPr>
        <w:t>A s of September 18, 2025, there were approximately 284 holders of record of our Common Stock and approximately 4 holders of record of the Warrants. The number of holders of record does not include a substantially greater number of “street name” holders or beneficial holders whose Common Stock and Warrants are held of record by banks, brokers and other financial institutions.</w:t>
      </w:r>
    </w:p>
    <w:p>
      <w:pPr>
        <w:spacing w:after="0" w:line="151" w:lineRule="exact"/>
        <w:rPr>
          <w:sz w:val="20"/>
          <w:szCs w:val="20"/>
          <w:color w:val="auto"/>
        </w:rPr>
      </w:pPr>
    </w:p>
    <w:p>
      <w:pPr>
        <w:sectPr>
          <w:pgSz w:w="11900" w:h="16840" w:orient="portrait"/>
          <w:cols w:equalWidth="0" w:num="2">
            <w:col w:w="3220" w:space="220"/>
            <w:col w:w="7140"/>
          </w:cols>
          <w:pgMar w:left="660" w:top="557" w:right="660" w:bottom="365"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2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 Policy</w:t>
            </w:r>
          </w:p>
        </w:tc>
        <w:tc>
          <w:tcPr>
            <w:tcW w:w="80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We have no current plans to pay cash dividends. The declaration, amount and payment of any future dividends</w:t>
            </w:r>
          </w:p>
        </w:tc>
      </w:tr>
      <w:tr>
        <w:trPr>
          <w:trHeight w:val="180"/>
        </w:trPr>
        <w:tc>
          <w:tcPr>
            <w:tcW w:w="2480" w:type="dxa"/>
            <w:vAlign w:val="bottom"/>
          </w:tcPr>
          <w:p>
            <w:pPr>
              <w:spacing w:after="0"/>
              <w:rPr>
                <w:sz w:val="15"/>
                <w:szCs w:val="15"/>
                <w:color w:val="auto"/>
              </w:rPr>
            </w:pPr>
          </w:p>
        </w:tc>
        <w:tc>
          <w:tcPr>
            <w:tcW w:w="808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on our Common Stock will be at the sole discretion of our board of directors. Our board of directors may take</w:t>
            </w:r>
          </w:p>
        </w:tc>
      </w:tr>
      <w:tr>
        <w:trPr>
          <w:trHeight w:val="180"/>
        </w:trPr>
        <w:tc>
          <w:tcPr>
            <w:tcW w:w="2480" w:type="dxa"/>
            <w:vAlign w:val="bottom"/>
          </w:tcPr>
          <w:p>
            <w:pPr>
              <w:spacing w:after="0"/>
              <w:rPr>
                <w:sz w:val="15"/>
                <w:szCs w:val="15"/>
                <w:color w:val="auto"/>
              </w:rPr>
            </w:pPr>
          </w:p>
        </w:tc>
        <w:tc>
          <w:tcPr>
            <w:tcW w:w="808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into account general and economic conditions, our financial condition and results of operations, our available</w:t>
            </w:r>
          </w:p>
        </w:tc>
      </w:tr>
      <w:tr>
        <w:trPr>
          <w:trHeight w:val="180"/>
        </w:trPr>
        <w:tc>
          <w:tcPr>
            <w:tcW w:w="2480" w:type="dxa"/>
            <w:vAlign w:val="bottom"/>
          </w:tcPr>
          <w:p>
            <w:pPr>
              <w:spacing w:after="0"/>
              <w:rPr>
                <w:sz w:val="15"/>
                <w:szCs w:val="15"/>
                <w:color w:val="auto"/>
              </w:rPr>
            </w:pPr>
          </w:p>
        </w:tc>
        <w:tc>
          <w:tcPr>
            <w:tcW w:w="808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cash and current and anticipated cash needs, capital requirements, contractual, legal, tax and regulatory</w:t>
            </w:r>
          </w:p>
        </w:tc>
      </w:tr>
      <w:tr>
        <w:trPr>
          <w:trHeight w:val="180"/>
        </w:trPr>
        <w:tc>
          <w:tcPr>
            <w:tcW w:w="2480" w:type="dxa"/>
            <w:vAlign w:val="bottom"/>
          </w:tcPr>
          <w:p>
            <w:pPr>
              <w:spacing w:after="0"/>
              <w:rPr>
                <w:sz w:val="15"/>
                <w:szCs w:val="15"/>
                <w:color w:val="auto"/>
              </w:rPr>
            </w:pPr>
          </w:p>
        </w:tc>
        <w:tc>
          <w:tcPr>
            <w:tcW w:w="808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restrictions and implications on the payment of dividends by us to our shareholders or by our subsidiaries to us</w:t>
            </w:r>
          </w:p>
        </w:tc>
      </w:tr>
      <w:tr>
        <w:trPr>
          <w:trHeight w:val="203"/>
        </w:trPr>
        <w:tc>
          <w:tcPr>
            <w:tcW w:w="2480" w:type="dxa"/>
            <w:vAlign w:val="bottom"/>
          </w:tcPr>
          <w:p>
            <w:pPr>
              <w:spacing w:after="0"/>
              <w:rPr>
                <w:sz w:val="17"/>
                <w:szCs w:val="17"/>
                <w:color w:val="auto"/>
              </w:rPr>
            </w:pPr>
          </w:p>
        </w:tc>
        <w:tc>
          <w:tcPr>
            <w:tcW w:w="80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and such other factors as our board of directors may deem relevant.</w:t>
            </w:r>
          </w:p>
        </w:tc>
      </w:tr>
      <w:tr>
        <w:trPr>
          <w:trHeight w:val="528"/>
        </w:trPr>
        <w:tc>
          <w:tcPr>
            <w:tcW w:w="2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Nasdaq ticker symbols</w:t>
            </w:r>
          </w:p>
        </w:tc>
        <w:tc>
          <w:tcPr>
            <w:tcW w:w="80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Common Stock: DAIC</w:t>
            </w:r>
          </w:p>
        </w:tc>
      </w:tr>
      <w:tr>
        <w:trPr>
          <w:trHeight w:val="360"/>
        </w:trPr>
        <w:tc>
          <w:tcPr>
            <w:tcW w:w="2480" w:type="dxa"/>
            <w:vAlign w:val="bottom"/>
          </w:tcPr>
          <w:p>
            <w:pPr>
              <w:spacing w:after="0"/>
              <w:rPr>
                <w:sz w:val="24"/>
                <w:szCs w:val="24"/>
                <w:color w:val="auto"/>
              </w:rPr>
            </w:pPr>
          </w:p>
        </w:tc>
        <w:tc>
          <w:tcPr>
            <w:tcW w:w="80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Warrants: DAICW</w:t>
            </w:r>
          </w:p>
        </w:tc>
      </w:tr>
      <w:tr>
        <w:trPr>
          <w:trHeight w:val="174"/>
        </w:trPr>
        <w:tc>
          <w:tcPr>
            <w:tcW w:w="2480" w:type="dxa"/>
            <w:vAlign w:val="bottom"/>
            <w:tcBorders>
              <w:bottom w:val="single" w:sz="8" w:color="auto"/>
            </w:tcBorders>
          </w:tcPr>
          <w:p>
            <w:pPr>
              <w:spacing w:after="0"/>
              <w:rPr>
                <w:sz w:val="15"/>
                <w:szCs w:val="15"/>
                <w:color w:val="auto"/>
              </w:rPr>
            </w:pPr>
          </w:p>
        </w:tc>
        <w:tc>
          <w:tcPr>
            <w:tcW w:w="8080" w:type="dxa"/>
            <w:vAlign w:val="bottom"/>
            <w:tcBorders>
              <w:bottom w:val="single" w:sz="8" w:color="auto"/>
            </w:tcBorders>
          </w:tcPr>
          <w:p>
            <w:pPr>
              <w:spacing w:after="0"/>
              <w:rPr>
                <w:sz w:val="15"/>
                <w:szCs w:val="15"/>
                <w:color w:val="auto"/>
              </w:rPr>
            </w:pPr>
          </w:p>
        </w:tc>
      </w:tr>
      <w:tr>
        <w:trPr>
          <w:trHeight w:val="376"/>
        </w:trPr>
        <w:tc>
          <w:tcPr>
            <w:tcW w:w="248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6"/>
                <w:szCs w:val="16"/>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i w:val="1"/>
          <w:iCs w:val="1"/>
          <w:color w:val="auto"/>
        </w:rPr>
        <w:t>Investing in our securities involves a high degree of risk. Investors should carefully consider the risks described below and all of the other information set forth in the registration statement of which this prospectus forms a part, including our financial statements and related notes and “Management’s Discussion and Analysis of Financial Condition and Results of Operations,” before deciding to invest in our Common Stock and Warrants. If any of the events or developments described below occur, our business, financial condition, or results of operations could be materially or adversely affected. As a result, the market price of our Common Stock and Warrants could decline, and investors could lose all or part of their investment. The risks and uncertainties described below are not the only risks and uncertainties that we face. Additional risks and uncertainties not presently known to us or that we currently deem immaterial may also impair our business operations. The risks discussed below also include forward-looking statements, and our actual results may differ substantially from those discussed in these forward-looking statements. See “Cautionary Notes Regarding Forward-Looking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this Offering</w:t>
      </w:r>
    </w:p>
    <w:p>
      <w:pPr>
        <w:spacing w:after="0" w:line="1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It is not possible to predict the actual number of shares we will sell to New Circle under the ELOC Agreement, or the actual gross proceeds resulting from those sales. We may not have access to the full amount available under the ELOC Agreement.</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On July 18, 2025, we entered into the ELOC with the New Circle, pursuant to which the New Circle committed to purchase up to $50 million shares of Common Stock, subject to certain limitations and conditions set forth in the ELOC Agreement. The Common Stock that may be issued under the ELOC Agreement may be sold by us to New Circle at our discretion, from time to time, over a 36-month period commencing on the date of the ELOC Agreement. We generally have the right to control the timing and amount of any sales of our Common Stock to New Circle under the ELOC Agreement. Sales of our Common Stock to New Circle under the ELOC Agreement will depend upon market conditions as well as other factors to be determined by us. We may ultimately decide to sell to New Circle all or a portion of the shares of our Common Stock that may be available pursuant to the ELOC Agreement, or decide to terminate the ELOC Agreement or not sell to New Circle any Common Stock that may be available for us to sell to New Circle thereunder.</w:t>
      </w:r>
    </w:p>
    <w:p>
      <w:pPr>
        <w:spacing w:after="0" w:line="15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Because the purchase price per share to be paid by the New Circle for the shares of Common Stock that we may elect to sell to New Circle under the ELOC Agreement will fluctuate based on the market prices of our Common Stock during the applicable pricing period for each purchase, it is not possible for us to predict, as of the date of this prospectus, the number of Common Stock that we will sell to New Circle under the ELOC Agreement, the purchase price per share that the New Circle will pay for shares purchased from us under the ELOC Agreement, or the aggregate gross proceeds that we will receive from those purchases by the New Circle under the ELOC Agreement.</w:t>
      </w:r>
    </w:p>
    <w:p>
      <w:pPr>
        <w:spacing w:after="0" w:line="157"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Although the ELOC Agreement provides that we may sell up to an aggregate of $50 million shares of Common Stock to the New Circle, only 5,524,624 shares of Common Stock that may be issued to the New Circle under the ELOC Agreement are being registered for resale by the New Circle under the registration statement that includes this prospectus.</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If we elect to sell to New Circle all of the 5,524,624 shares of Common Stock being registered for resale by the New Circle in the registration statement that includes this prospectus, depending on the market prices of our Common Stock during the applicable pricing period for each purchase made pursuant to the ELOC Agreement, the actual gross proceeds from the sale of all such shares may be substantially less than the $50 million total commitment originally available to us under the ELOC Agreement.</w:t>
      </w:r>
    </w:p>
    <w:p>
      <w:pPr>
        <w:sectPr>
          <w:pgSz w:w="11900" w:h="16840" w:orient="portrait"/>
          <w:cols w:equalWidth="0" w:num="1">
            <w:col w:w="10580"/>
          </w:cols>
          <w:pgMar w:left="660" w:top="557" w:right="660" w:bottom="365" w:gutter="0" w:footer="0" w:header="0"/>
          <w:type w:val="continuous"/>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 xml:space="preserve">If it becomes necessary for us to issue and sell to New Circle under the ELOC Agreement more than the 5,524,624 shares of Common Stock being registered for resale under the registration statement that includes this prospectus, in order to receive aggregate gross proceeds equal to the total commitment of $50 million under the ELOC Agreement, we must file with the SEC one or more additional registration statements to register under the Securities Act the resale by the New Circle of any such additional shares of Common Stock we wish to sell from time to time under the ELOC Agreement, which the SEC must declare effective. We will need to obtain shareholder approval to issue Common Stock in excess of the Exchange Cap under the ELOC Agreement in accordance with the Nasdaq listing rules, unless the average per share purchase price paid by the New Circle for all shares of Common Stock sold under the ELOC Agreement equals or exceeds equal or exceed the average Nasdaq official closing price for the five (5) trading days immediately prior to the Effective Date of the ELOC Agreement, in which case, under the Nasdaq listing rules, the Exchange Cap limitation will not apply to issuances and sales of our Common Stock under the ELOC Agreement. In addition, the New Circle will not be required to purchase any shares of Common Stock if such sale would result in the New Circle’s beneficial ownership exceeding 4.99% of the then-outstanding voting power or shares of Common Stock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upon delivery of a written notice to the Company, New Circle may from time to time increase (with such increase not effective until the sixty-first (61st) day after delivery of such notice) the Ownership Limitation to 9.99%. Any issuance and sale by us under the ELOC Agreement of a substantial amount of shares of our Common Stock in addition to the 5,524,624 shares of Common Stock being registered for resale by the New Circle under this prospectus could cause additional substantial dilution to our stockholders. The number of shares of Common Stock ultimately offered for resale by New Circle is dependent upon the number of shares of Common Stock we ultimately sell to New Circle under the ELOC Agreement. Our inability to access a portion or the full amount available under the ELOC Agreement, in the absence of any other financing sources, could have a material adverse effect on our business.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Investors who buy shares at different times will likely pay different prices.</w:t>
      </w:r>
    </w:p>
    <w:p>
      <w:pPr>
        <w:spacing w:after="0" w:line="18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Pursuant to the ELOC Agreement, we will have discretion, subject to market demand, to vary the timing, prices, and numbers of shares sold to the New Circle. If and when we do elect to sell shares of Common Stock to the New Circle under the ELOC Agreement, after the New Circle has acquired such shares, the New Circle may resell all or a portion of such shares at any time or from time to time in its discretion and at different prices. As a result, investors who purchase shares from the New Circle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New Circle as a result of future sales made by us to the New Circle at prices lower than the prices such investors paid for their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Industry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rapid growth makes it difficult to evaluate our future prospects and increases the risk that we will not continue to grow at or near historical rates.</w:t>
      </w:r>
    </w:p>
    <w:p>
      <w:pPr>
        <w:spacing w:after="0" w:line="1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We are largely a pre-revenue company, with revenue of $172,661 and $439,640 for the fiscal years ended December 31, 2024 and 2023, respectively, and revenue of $479,331 and $101,995 for the six-month periods ended June 30, 2025 and 2024, respectively. As a result, our ability to forecast our future results of operations is subject to a number of uncertainties, including our ability to effectively plan for and model future growth. Many factors may contribute to declines in our revenue growth rate, including increased competition, slowing demand for our solution from existing and new customers, a failure by us to continue capitalizing on growth opportunities, termination of contracts by our existing customers, and the maturation of our business, among others. Our recent and historical growth should not be considered indicative of our future performance. Even if our revenue continues to increase over the long term, we expect that our revenue growth rate will decline in the future as a result of a variety of factors, including the maturation of our business. We have encountered in the past, and will encounter in the future, risks and uncertainties frequently experienced by growing companies in rapidly changing industries.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financial condition, and results of operations could be harmed.</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risks associated with the growth of our business in new use cases.</w:t>
      </w:r>
    </w:p>
    <w:p>
      <w:pPr>
        <w:spacing w:after="0" w:line="1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Historically, most of our revenue has been derived from sales relating to research and development activities, including proof of concept demonstrations. For the first two quarters of 2025, we have invested in driving market demand through expansion of sales and marketing activities. We plan to expand the use cases of our solution, including those where we may have limited operating experience, and may be subject to increased business, technology, and economic risks that could affect our financial results. Entering new use cases and expanding in the use cases in which we are already operating will continue to require significant resources, and there is no guarantee that such efforts will be successful or beneficial to us. Historically, sales to a new customer have often led to additional sales to the same customer or similarly situated customers. To the extent we expand into and within new use cases that are regulated, we will likely face additional regulatory scrutiny, risks, and burdens from the governments and agencies which regulate those markets and industries. It is uncertain whether we will be able to achieve penetration and organic growth with respect to any new use cases that we pursue. Any failure to do so may harm our reputation, business, financial condition, and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fail to effectively manage our growth, our business and results of operations could be harmed.</w:t>
      </w:r>
    </w:p>
    <w:p>
      <w:pPr>
        <w:spacing w:after="0" w:line="1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We have experienced and expect to continue to experience rapid growth, which has placed, and may continue to place, significant demands on our management, operational, and financial resources. For example, our headcount has grown from our 2 founding employees as of the last business day of the fiscal year ended December 31, 2020 to 30 employees as of the last business day of the fiscal quarter ended June 30, 2025. In addition, we have begun to cultivate channel partners to expand our operations globally and sell our products to customers in Asia and Europe in the short term, and we plan to continue to expand our operations internationally in the future. We have also experienced significant growth in the number of customers, connected assets, transactions, and data supported by our solution and our associated infrastructure, which has placed additional demands on our resources and operations. Our organizational structure is becoming more complex, and we need to scale and adapt our operational, financial, and management controls, as well as our reporting systems and procedures, to manage this complexity. We will require significant expenditures and the allocation of management resources to grow and change in these areas. If we fail to successfully manage our anticipated growth, the quality of our solutions may suffer, which could negatively affect our brand and reputation, harm our ability to retain and attract customers, and adversely impact our business,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attract new customers, our future revenue and results of operations will be harmed.</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Our future success depends, in part, on our ability to attract new customers. Our ability to attract new customers will depend on the perceived benefits and pricing of our solution and the effectiveness of our sales and marketing efforts. Other factors, many of which are out of our control, may now or in the future impact our ability to attract new customers, including:</w:t>
      </w:r>
    </w:p>
    <w:p>
      <w:pPr>
        <w:spacing w:after="0" w:line="152" w:lineRule="exact"/>
        <w:rPr>
          <w:sz w:val="20"/>
          <w:szCs w:val="20"/>
          <w:color w:val="auto"/>
        </w:rPr>
      </w:pPr>
    </w:p>
    <w:p>
      <w:pPr>
        <w:ind w:left="580" w:hanging="28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customers’ commitments to or preferences for their existing vendors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perceived switching costs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customers’ inexperience with or reluctance to adopt our solutions in their physical operations;</w:t>
      </w:r>
    </w:p>
    <w:p>
      <w:pPr>
        <w:sectPr>
          <w:pgSz w:w="11900" w:h="16840" w:orient="portrait"/>
          <w:cols w:equalWidth="0" w:num="1">
            <w:col w:w="10580"/>
          </w:cols>
          <w:pgMar w:left="660" w:top="557" w:right="660" w:bottom="218" w:gutter="0" w:footer="0" w:header="0"/>
        </w:sectPr>
      </w:pPr>
    </w:p>
    <w:bookmarkStart w:id="8" w:name="page9"/>
    <w:bookmarkEnd w:id="8"/>
    <w:p>
      <w:pPr>
        <w:ind w:left="580" w:hanging="28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help potential customers successfully deploy and use our solutions;</w:t>
      </w:r>
    </w:p>
    <w:p>
      <w:pPr>
        <w:spacing w:after="0" w:line="200"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develop or expand relationships with existing partners or to attract new partners;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expand into new markets;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expand, retain, and motivate our engineering and research and development, sales and marketing, and other personnel;</w:t>
      </w:r>
    </w:p>
    <w:p>
      <w:pPr>
        <w:spacing w:after="0" w:line="176"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adoption of new, or the amendment of existing, laws, rules, or regulations that negatively impact the utility of, or that require difficult-to-implement changes to, our solutions; and</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macroeconomic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our efforts to attract new customers are not successful, our business, financial condition, and results of operations will suffer.</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retain and expand our relationships with existing customers, our financial position and results of operations will be harmed.</w:t>
      </w:r>
    </w:p>
    <w:p>
      <w:pPr>
        <w:spacing w:after="0" w:line="180"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6"/>
          <w:szCs w:val="16"/>
          <w:color w:val="auto"/>
        </w:rPr>
        <w:t>In order for us to maintain or improve our results of operations, it is important that our customers renew their subscriptions to access our Dot Cloud SaaS platform when existing contract terms expire and that we expand our commercial relationships with our existing customers. Our contracts are typically for a subscription term of 3 to 5 years. However, our customers have no obligation to renew their subscriptions after the initial terms expire, and our customers might not renew their subscriptions for a similar contract period, with the same or greater economic terms, or at all. In the past, some of our customers have elected not to renew their subscriptions with us and it is difficult to accurately predict long-term customer retention, in part due to our limited experience with renewal cycles to date. Customers may choose not to renew their subscriptions for many reasons, including the belief that our solution is not required for their business needs or is otherwise not cost-effective, a desire to reduce discretionary spending, our discontinuation of a desired application or a belief that our competitors’ offerings provide better value. Additionally, our customers might not renew for reasons entirely out of our control, such as mergers and acquisitions affecting our customer base, the dissolution of their business or business segment utilizing our solution or an economic downturn affecting their industry. A decrease in our renewal rate would have an adverse effect on our business, financial condition, and results of operations.</w:t>
      </w:r>
    </w:p>
    <w:p>
      <w:pPr>
        <w:spacing w:after="0" w:line="16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A part of our growth strategy is to sell subscriptions to our Dot Cloud SaaS platform and expand use cases with our existing customers. Our ability to sell subscriptions to our Dot Cloud SaaS platform will depend in significant part on our ability to anticipate industry evolution, practices and standards. Additionally, we will need to continue to enhance existing solutions and introduce new solutions and features on a timely basis to keep pace with technological developments both within our industry and in related industries, and to remain compliant with any federal, state, local, or foreign regulations that apply to us or our customers. However, we may prove unsuccessful either in developing new solutions or in expanding the set of third-party applications and devices with which our solutions integrate, particularly as we expand our solutions into use cases that have not been our historical focus and as we continue to refine our efforts to hire, develop, and retain engineering talent. In addition, the success of any enhancement or new solution depends on several factors, including the timely completion, introduction and market acceptance of the enhancement or solution. Any new solutions we develop or acquire might not be introduced in a timely or cost -effective manner and might not achieve the broad market acceptance necessary to generate significant revenue, particularly with respect to use cases that have not been our historical focus. If any of our competitors implements new technologies before we are able to implement them or better anticipates the innovation and integration opportunities in related industries, our business may be adversely affected.</w:t>
      </w:r>
    </w:p>
    <w:p>
      <w:pPr>
        <w:spacing w:after="0" w:line="16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Another part of our growth strategy is to sell additional subscriptions to existing customers as they increase their number of connected assets, such as vehicles, warehouses, and yards. However, our customers may not continue to grow and expand their operations, or may opt not to purchase additional subscriptions from us to cover their expanded operations. A decrease in our ability to sell additional subscriptions to our Dot Cloud SaaS platform to our existing customers could have an adverse effect on our business, financial condition, and results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estimates of market opportunity and forecasts of market growth included in this prospectus may prove to be inaccurate.</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Market opportunity estimates and growth forecasts are subject to significant uncertainty and are based on assumptions and estimates that may not prove to be accurate. The estimates and forecasts in this prospectus relating to the size and expected growth of our target markets may prove to be inaccurate. Even if the markets in which we compete meet the size estimates and growth forecasted in this prospectus, we may not successfully penetrate these markets and our business could fail to grow at a similar pace, if at all.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successfully execute our strategic initiatives or meet our long-term financial goals.</w:t>
      </w:r>
    </w:p>
    <w:p>
      <w:pPr>
        <w:spacing w:after="0" w:line="18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A significant part of our business strategy is to focus on long-term growth over short-term financial results. We expect to continue making significant expenditures on engineering talent, sales, hiring and marketing efforts and expenditures to develop new features, integrations, capabilities, and enhancements to our solution and further expand the use cases addressed by our solutions. We have been engaged in strategic initiatives to expand the scope of our core business to improve long-term stockholder value, to improve our cost structure and efficiency, and to increase our selling efforts and develop new business. We may not be able to successfully execute these or other strategic initiatives or execute these initiatives on our expected timetable. If we are not successful in expanding our use cases and obtaining operational efficiencies, our business, financial condition, and results of operations could be harmed.</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dependence on a limited number of joint design manufacturers and suppliers of manufacturing services and critical components within our supply chain for our IoT devices may adversely affect our results of operations.</w:t>
      </w:r>
    </w:p>
    <w:p>
      <w:pPr>
        <w:spacing w:after="0" w:line="13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Our devices are made using an outsourced manufacturing business model that utilizes joint design manufacturers. We depend on a limited number of joint design manufacturers to allocate sufficient manufacturing capacity to meet our needs, to produce devices, or components thereof, of acceptable quality at acceptable yields, and to deliver those devices or components to us on a timely basis. We are subject to the risk of shortages and long lead times in the supply of these devices and components. In addition, the lead times associated with certain components are lengthy and preclude rapid changes in quantities and delivery schedules. We may in the future experience component shortages, and the predictability of the availability of these components may be limited. We cannot assure you that our inventory will be sufficient for our needs or that future disruptions to our supply of devices or materials will not occur. Any delay in the shipment of devices or any other necessary materials delays our ability to recognize revenue for subscriptions purchased by our customers.</w:t>
      </w:r>
    </w:p>
    <w:p>
      <w:pPr>
        <w:spacing w:after="0" w:line="158"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14"/>
          <w:szCs w:val="14"/>
          <w:color w:val="auto"/>
        </w:rPr>
        <w:t>In addition, some of our suppliers, joint design manufacturers, and logistics providers may have more established relationships with larger volume device manufacturers, and as a result of such relationships, such suppliers may choose to limit or terminate their relationship with us. Developing suitable alternate sources of supply for these</w:t>
      </w:r>
    </w:p>
    <w:p>
      <w:pPr>
        <w:sectPr>
          <w:pgSz w:w="11900" w:h="16840" w:orient="portrait"/>
          <w:cols w:equalWidth="0" w:num="1">
            <w:col w:w="10580"/>
          </w:cols>
          <w:pgMar w:left="660" w:top="557" w:right="660" w:bottom="102" w:gutter="0" w:footer="0" w:header="0"/>
        </w:sectPr>
      </w:pPr>
    </w:p>
    <w:bookmarkStart w:id="9" w:name="page10"/>
    <w:bookmarkEnd w:id="9"/>
    <w:p>
      <w:pPr>
        <w:jc w:val="both"/>
        <w:spacing w:after="0" w:line="241" w:lineRule="auto"/>
        <w:rPr>
          <w:sz w:val="20"/>
          <w:szCs w:val="20"/>
          <w:color w:val="auto"/>
        </w:rPr>
      </w:pPr>
      <w:r>
        <w:rPr>
          <w:rFonts w:ascii="Times New Roman" w:cs="Times New Roman" w:eastAsia="Times New Roman" w:hAnsi="Times New Roman"/>
          <w:sz w:val="16"/>
          <w:szCs w:val="16"/>
          <w:color w:val="auto"/>
        </w:rPr>
        <w:t>devices and components may be time -consuming, difficult, and costly, and we may not be able to source these devices and components on terms that are favorable to us, or at all, which may adversely affect our ability to meet our requirements or provide our customers with needed devices in a timely or cost-effective manner. Because our customers often must install devices before being able to fully utilize our Dot Cloud SaaS platform, any interruption or delay in the supply of any of these devices or components, or the inability to obtain these devices or components from alternate sources at acceptable prices and within a reasonable amount of time, would harm our ability to onboard new customers. In addition, increased device or component costs would negatively impact our results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dependence on a key supplier in Israel and the possibility of having to switch suppliers may adversely affect our results of operations.</w:t>
      </w:r>
    </w:p>
    <w:p>
      <w:pPr>
        <w:spacing w:after="0" w:line="18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We have a key component for one of our products that is made and supported in Israel. While this supplier has remained stable for us to date, there is a risk that the situation may change. We have developed an alternative path that we can use to obtain similar functionality, but switching costs include delays in delivery and some feature disruption in our operations.</w:t>
      </w:r>
    </w:p>
    <w:p>
      <w:pPr>
        <w:spacing w:after="0" w:line="148"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we are not able to develop and timely introduce new solutions and features for our Dot Cloud SaaS platform that achieve market acceptance, keep pace with technological developments, and meet emerging regulatory requirements, our business, financial condition, and results of operations would be harmed.</w:t>
      </w:r>
    </w:p>
    <w:p>
      <w:pPr>
        <w:spacing w:after="0" w:line="13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Our ability to attract new customers and increase revenue from existing customers depends in large part on our ability to enhance and improve our existing solutions and to introduce compelling new solutions and features that reflect the changing nature of our customers’ needs and the regulations to which they are subject. The success of any enhancement to our Dot Cloud SaaS platform depends on several factors, including timely completion and delivery, competitive pricing, adequate quality testing, integration with existing technologies, and overall market acceptance. Factors outside of our control, such as developing laws and regulations, regulatory orders, competitive product offerings, and changes in demand for our solution may also materially impact the successful implementation of new solutions. Any new solution that we develop may not be introduced in a timely or cost-effective manner, may contain bugs or other defects, or may not achieve the market acceptance necessary to generate significant revenue.</w:t>
      </w:r>
    </w:p>
    <w:p>
      <w:pPr>
        <w:spacing w:after="0" w:line="15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Further, the development of new solutions can be difficult, time -consuming and costly. There are inherent risks and uncertainties associated with offering new solutions, especially when new markets are not fully developed, related technology standards are not mature, or when the laws and regulations regarding a new solution are evolving. If we are unable to successfully develop and timely introduce new solutions, enhance our existing Dot Cloud SaaS platform to meet customer requirements, or otherwise gain market acceptance, our business, financial condition, and results of operations would be harmed.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sales pipeline is immature, and as such, revenue forecasts and projections are likely to be unstable through fiscal year 2025.</w:t>
      </w:r>
    </w:p>
    <w:p>
      <w:pPr>
        <w:spacing w:after="0" w:line="18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We anticipate typical sales cycles to be nine to twelve months for most of our opportunities and are only six months into an aggressive pivot to active sales and marketing. As such, revenue forecasts and projections are likely to be unstable through fiscal year 2025, as we mature our best opportunities and add depth to our pipeline. While we will provide our best forecast and communicate changes as they occur, investors should be warned that this instability in revenue is the nature of emerging from a startup mode into a more mature growth organization.</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length of our sales cycle can be unpredictable, particularly with respect to sales to large customers, and our sales efforts may require considerable time and expense.</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It is difficult to predict exactly when, or even if, we will make a sale to a potential customer or if we can increase sales to our existing customers. Customers with substantial or complex organizations may choose to deploy our solutions in large increments on a periodic basis. Accordingly, customers may purchase subscriptions for significant dollar amounts on an irregular and unpredictable basis. Because of our limited operating history and the nature of our business, we cannot predict the timing or cost of these sales and deployment cycles. Variations in the sales cycles among our customers based on the size and complexity of their operations, as well as the possibility that customers may purchase new subscriptions sporadically with short lead times, which may adversely impact our ability to anticipate the timing and amount of revenue and contract value from new customers.</w:t>
      </w:r>
    </w:p>
    <w:p>
      <w:pPr>
        <w:spacing w:after="0" w:line="16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particular, part of our strategy is to target sales to larger customers. Sales to larger customers involve risks that may not be present or that are present to a lesser extent with sales to smaller organizations, such as longer sales cycles (which typically last several months and in some cases have exceeded one year), more complex customer product requirements and expectations related to invoicing and payment terms, substantial upfront sales costs, and less predictability in completing some of our sales. For example, large customers may require considerable time to evaluate and test our solution prior to purchasing a subscription. A number of factors influence the length and variability of our sales cycle, including the need to educate potential customers about the uses and benefits of our solution, the discretionary nature of purchasing and budget cycles, the competitive nature of evaluation and purchasing approval processes, the customer’s contemplated use case, the specific deployment plan of each customer, the complexity of the customer’s organization, and the difficulty of such deployment, as well as whether a sale is made directly by us or through other partners. Moreover, large customers often begin to deploy our solution on a limited basis but nevertheless may require a greater level of support from our customer support personnel and negotiate pricing discounts, which increases our upfront investment in the sales effort with no guarantee that sales to these customers will justify our substantial upfront investment. If we fail to effectively manage these risks associated with sales cycles, sales timing uncertainty, sales to large customers and collection of payment from our customers, our business, financial condition, and results of operations may be adversely affected.</w:t>
      </w:r>
    </w:p>
    <w:p>
      <w:pPr>
        <w:spacing w:after="0" w:line="3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we fail to adapt and respond effectively to rapidly changing technology, evolving industry standards, changing regulations, or changing customer needs, requirements or preferences, our Dot Cloud SaaS platform may become less competitive.</w:t>
      </w:r>
    </w:p>
    <w:p>
      <w:pPr>
        <w:spacing w:after="0" w:line="1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The industries in which we participate are subject to rapid technological change. The introduction of new technologies will continue to have a significant effect on competitive conditions to which we are subject. In order to continue to provide value for our customers, we must offer innovative solutions that allow our customers to track and manage their equipment, employees, sites and other connected assets on a timely basis. Certain technologies and industry developments may negatively impact our ability to compete within certain industry segments. If we are unable to develop new solutions that provide utility to our customers and provide enhancements and new features for our existing solutions that keep pace with rapid technological and regulatory change, our revenues and results of operations could be adversely affected.</w:t>
      </w:r>
    </w:p>
    <w:p>
      <w:pPr>
        <w:spacing w:after="0" w:line="12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To keep pace with technological and competitive developments, we have in the past invested, and may continue to invest, in complementary businesses, technologies, products, services, and other assets that expand the solutions that we can offer our customers. We may make these investments without being certain that they will result in products or enhancements that will be accepted by existing or prospective customers or that will achieve market acceptance. If we are unable to successfully enhance our Dot Cloud SaaS platform to meet evolving customer requirements, increase adoption and use cases of our solution, and develop new solutions and features, then our business, financial condition, and results of operations would be adversely affected.</w:t>
      </w:r>
    </w:p>
    <w:p>
      <w:pPr>
        <w:spacing w:after="0" w:line="15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We rely on industry standards and technology developed and maintained outside of our control. For example, many of our solutions depend on cellular, GPS, and Wi-Fi technology and are built upon such technologies. We do not control the development of such technologies, and so it may be possible in the future that the components of the underlying technologies that interface with or are built into our solution develop in ways that are not beneficial to our growth and technological capabilities. If these technologies do not continue to be improved or are replaced with alternative technologies that we do not effectively adapt to, our ability to innovate may be diminished and our market appeal and value to customers may be harmed.</w:t>
      </w:r>
    </w:p>
    <w:p>
      <w:pPr>
        <w:sectPr>
          <w:pgSz w:w="11900" w:h="16840" w:orient="portrait"/>
          <w:cols w:equalWidth="0" w:num="1">
            <w:col w:w="10580"/>
          </w:cols>
          <w:pgMar w:left="660" w:top="557" w:right="660" w:bottom="206" w:gutter="0" w:footer="0" w:header="0"/>
        </w:sect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557" w:right="660" w:bottom="206" w:gutter="0" w:footer="0" w:header="0"/>
          <w:type w:val="continuous"/>
        </w:sectPr>
      </w:pPr>
    </w:p>
    <w:bookmarkStart w:id="10" w:name="page11"/>
    <w:bookmarkEnd w:id="10"/>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face intense and increasing competition, and we may not be able to compete effectively, which could reduce demand for our solution and adversely affect our business, revenue growth, and market share.</w:t>
      </w:r>
    </w:p>
    <w:p>
      <w:pPr>
        <w:spacing w:after="0" w:line="1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markets for the solutions and use cases for which we compete are new and rapidly evolving. Our historical competition has been specific to the individual solution sets that we target, or specific to operational groupings. For example, certain of our solution compete with historical RFID and Barcode companies such as Zebra, Honeywell, Smartrac and HID Global.</w:t>
      </w:r>
    </w:p>
    <w:p>
      <w:pPr>
        <w:spacing w:after="0" w:line="15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Competition in these markets is based on several factors, including the comprehensiveness of a solution; feature set breadth and extensibility; analytical capability; ease of adoption; platform reliability, security and scalability; customer support; ability to realize cost savings; brand awareness and reputation; and the strength of sales, marketing and channel partnerships.</w:t>
      </w:r>
    </w:p>
    <w:p>
      <w:pPr>
        <w:spacing w:after="0" w:line="1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Some of our competitors may have greater financial resources, greater brand recognition, larger sales forces and marketing budgets than us, as well as broader distribution networks. Large corporations, in particular, may be able to utilize their distribution networks and existing relationships to offer new solutions, in addition to solutions in other verticals already being provided to customers. We expect additional competition as our market grows and rapidly changes, and we may choose to enter or expand into new markets as well. We expect competition to increase as other established and emerging companies enter the markets in which we compete, as customer requirements evolve and as new products and services and technologies are introduced. Certain of our current and potential competitors have longer operating histories, significantly greater financial, technical, marketing, distribution, professional services, or other resources and greater name recognition than we do. In addition, certain of our current and potential competitors have strong relationships with current and potential customers and extensive knowledge of industries with physical operations. As a result, our current and potential competitors may be able to respond more quickly and effectively than we can to new or changing opportunities, technologies, standards, or customer requirements or devote greater resources than we can to the development, promotion, and sale of their products and services. Moreover, certain of these companies are bundling their products and services into larger deals or subscription renewals, often at significant discounts as part of a larger sale. In addition, some current and potential competitors may offer products or services that address one or a limited number of functions at lower prices or with greater depth than our solution. Our current and potential competitors may develop and market new technologies with comparable functionality to our solution. As a result, we may experience reduced gross margins, longer sales cycles, and loss of market share. This could lead us to decrease prices, implement alternative pricing structures, or introduce products and services available for free or a nominal price in order to remain competitive. We may not be able to compete successfully against current and future competitors, and our business, financial condition, and results of operations will be harmed if we fail to meet these competitive pressures.</w:t>
      </w:r>
    </w:p>
    <w:p>
      <w:pPr>
        <w:spacing w:after="0" w:line="31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Moreover, current and future competitors may also make strategic acquisitions or establish cooperative relationships among themselves or with others, including our current or future channel partners, OEM partners, and other strategic technology companies. By doing so, these competitors may increase their ability to meet the needs of our existing or potential customers. In addition, our current or prospective indirect sales channel partners may establish cooperative relationships with our current or future competitors. These relationships may limit our ability to sell or certify our solution through specific distributors, technology providers, database companies, and distribution channels and allow our competitors to rapidly gain significant market share. These developments could limit our ability to obtain revenue from existing and new customers. If we are unable to compete successfully against current and future competitors, our business, financial condition, and results of operations would be harmed.</w:t>
      </w:r>
    </w:p>
    <w:p>
      <w:pPr>
        <w:spacing w:after="0" w:line="15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we do not develop devices that are compatible with third -party hardware, software and infrastructure, including the many evolving wireless industry standards, our ability to introduce and sell new subscriptions to access our Dot Cloud SaaS platform could suffer.</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In order to support customers’ adoption of our Dot Cloud SaaS platform, we develop devices that are compatible with a wide variety of hardware, software and infrastructure. Not only must we ensure our devices are compatible with applications and technologies developed by our partners and vendors, but we must also ensure that our devices can interface with third -party hardware, software or infrastructure that our customers may choose to adopt. To the extent that a third party were to develop software applications or devices that compete with ours, that provider may choose not to support our solution. In particular, our ability to accurately anticipate evolving wireless technology standards and ensure that our devices comply with these standards in relevant respects is critical to the functionality of our devices. Any failure of our devices to be compatible or comply with the hardware, software, or infrastructure — including wireless communications standards — utilized by our customers could prevent or delay their implementation of our Dot Cloud SaaS platform and require costly and time-consuming engineering changes. Additionally, if an insufficient number of wireless operators or subscribers adopt the standards to which we design our devices, our ability to introduce and sell subscriptions to our Dot Cloud SaaS platform would be harmed.</w:t>
      </w: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The competitive position of our Dot Cloud SaaS platform depends in part on its ability to operate with a wide variety of data sources and infrastructure, and if we are not successful in maintaining and expanding the compatibility of our solutions with such data sources and infrastructure, our business, financial condition, and results of operations could be adversely impacted.</w:t>
      </w:r>
    </w:p>
    <w:p>
      <w:pPr>
        <w:spacing w:after="0" w:line="15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The competitive position of our Dot Cloud SaaS platform depends in part on its ability to operate with a wide array of physical sensors and devices — including devices manufactured by us and by third parties, other software and database technologies, and communications, networking, computing and other infrastructure. As such, we must continuously modify and enhance our Dot Cloud SaaS platform to be compatible with evolving hardware, software, and infrastructure that are used by our current and potential partners, vendors and customers. In the future, one or more technology companies may choose not to support the interoperation of their hardware, software, or infrastructure with solutions such as ours, or our solutions may not otherwise support the capabilities needed to operate with such hardware, software, or infrastructure. We intend to facilitate the compatibility of our Dot Cloud SaaS platform with a wide variety of hardware, software, and infrastructure by maintaining and expanding our business and technical relationships. If we are not successful in achieving this goal, our business, financial condition, and results of operations could be adversely impacted.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grow our business is dependent in part on strategic relationships we develop and maintain with third parties.</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We believe that our ability to increase our sales depends in part on maintaining and strengthening relationships with parties such as channel partners, OEM partners, and other strategic technology companies. Once a relationship is established, we likely will dedicate significant time and resources to it in an effort to advance our business interests, and there is no assurance that any strategic relationship will achieve our business purposes or that the resources we use to develop the relationship will be cost-effective. Parties with whom we establish strategic relationships also work with companies that compete with us. We have limited, if any, control as to whether these parties devote adequate resources to our strategic relationships. Further, companies with whom we maintain strategic relationships may de- emphasize their dealings with us or become competitors in the future. We also have limited, if any, control as to other business activities of these parties and we could experience reputational harm because of our association with such parties if they fail to execute on business initiatives, are accused of breaking the law or suffer reputational harm for other reasons. All of these factors could materially and adversely impact our business and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our subscription or pricing models could adversely affect our business, financial condition and results of operations.</w:t>
      </w:r>
    </w:p>
    <w:p>
      <w:pPr>
        <w:spacing w:after="0" w:line="18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The sales price for subscriptions to access our Dot Cloud SaaS platform may decline for a variety of reasons, including competitive pricing pressures, discounts, anticipation of the introduction of new solutions and features, changes in pricing models for existing solutions and access to our solutions (including changes as to the timing of customers’ payments over the course of their subscriptions) or promotional programs. As we expand our offerings, new competitors introduce new solutions or</w:t>
      </w:r>
    </w:p>
    <w:p>
      <w:pPr>
        <w:sectPr>
          <w:pgSz w:w="11900" w:h="16840" w:orient="portrait"/>
          <w:cols w:equalWidth="0" w:num="1">
            <w:col w:w="10580"/>
          </w:cols>
          <w:pgMar w:left="660" w:top="1153" w:right="660" w:bottom="101" w:gutter="0" w:footer="0" w:header="0"/>
        </w:sectPr>
      </w:pPr>
    </w:p>
    <w:bookmarkStart w:id="11" w:name="page12"/>
    <w:bookmarkEnd w:id="11"/>
    <w:p>
      <w:pPr>
        <w:jc w:val="both"/>
        <w:spacing w:after="0" w:line="243" w:lineRule="auto"/>
        <w:rPr>
          <w:sz w:val="20"/>
          <w:szCs w:val="20"/>
          <w:color w:val="auto"/>
        </w:rPr>
      </w:pPr>
      <w:r>
        <w:rPr>
          <w:rFonts w:ascii="Times New Roman" w:cs="Times New Roman" w:eastAsia="Times New Roman" w:hAnsi="Times New Roman"/>
          <w:sz w:val="16"/>
          <w:szCs w:val="16"/>
          <w:color w:val="auto"/>
        </w:rPr>
        <w:t>services that compete with ours, or we enter into new international markets, we may be unable to attract new customers using the same pricing models as we have historically used. Larger competitors, including new entrants to our market, may reduce the price of offerings that compete with ours or may bundle them with other offerings and provide them for free. Any decrease in the sales prices for access to our Dot Cloud SaaS platform, without a corresponding decrease in costs or increase in sales volume, would adversely affect our revenue and gross profit.</w:t>
      </w:r>
    </w:p>
    <w:p>
      <w:pPr>
        <w:spacing w:after="0" w:line="15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We may also have difficulty determining the appropriate price structure for new solutions. Regardless of the pricing model used, larger customers may demand higher price discounts than have been given in the past, or are given to other customers. As a result, we may be required to reduce our prices, offer shorter contract durations or offer alternative pricing models. If we do not maintain our prices and gross profits at levels that will allow us to achieve and maintain profitability, our business, financial condition, and results of operations will be harmed.</w:t>
      </w:r>
    </w:p>
    <w:p>
      <w:pPr>
        <w:spacing w:after="0" w:line="15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results of operations and our business metrics are likely to fluctuate significantly on a quarterly basis in future periods and may not fully reflect the underlying performance of our business, which makes our future results difficult to predict and could cause our results of operations to fall below expectations.</w:t>
      </w:r>
    </w:p>
    <w:p>
      <w:pPr>
        <w:spacing w:after="0" w:line="1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Our results of operations and business metrics have fluctuated from quarter-to -quarter in the past and may continue to vary significantly in the future so that period-to-period comparisons of our results of operations and business metrics may not be meaningful. Accordingly, our financial results in any one quarter should not be relied upon as indicative of future performance.</w:t>
      </w: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Our quarterly results of operations and business metrics may fluctuate as a result of a variety of factors, many of which are outside of our control, may be difficult to predict, and may or may not fully reflect the underlying performance of our business. Among the factors that may cause fluctuations in our quarterly financial results and our business metrics are those listed below:</w:t>
      </w:r>
    </w:p>
    <w:p>
      <w:pPr>
        <w:spacing w:after="0" w:line="152" w:lineRule="exact"/>
        <w:rPr>
          <w:sz w:val="20"/>
          <w:szCs w:val="20"/>
          <w:color w:val="auto"/>
        </w:rPr>
      </w:pPr>
    </w:p>
    <w:p>
      <w:pPr>
        <w:ind w:left="580" w:hanging="286"/>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new customers, particularly large customers;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and expand our relationships with existing customers;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expand our business domestically and internationally;</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gain new channel partners and retain existing channel partners;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key employees and other qualified personnel;</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growth rate of the overall market that our solution addresses;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effectively manage our growth;</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mix of our revenue;</w:t>
      </w:r>
    </w:p>
    <w:p>
      <w:pPr>
        <w:spacing w:after="0" w:line="176" w:lineRule="exact"/>
        <w:rPr>
          <w:rFonts w:ascii="Times New Roman" w:cs="Times New Roman" w:eastAsia="Times New Roman" w:hAnsi="Times New Roman"/>
          <w:sz w:val="16"/>
          <w:szCs w:val="16"/>
          <w:color w:val="auto"/>
        </w:rPr>
      </w:pPr>
    </w:p>
    <w:p>
      <w:pPr>
        <w:ind w:left="580" w:hanging="286"/>
        <w:spacing w:after="0" w:line="259"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and timing of operating expenses related to the maintenance and expansion of our business and operations, including continued investments in sales and marketing, research and development and general and administrative resources;</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Network outages or performance degradation of our cloud service;</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security or cybersecurity breaches;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industry and market conditions;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 and regulations affecting our and our customers’ businesses or product requirements;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or decreases in the number of subscriptions or pricing changes upon any renewals of customer agreements;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pricing policies or those of our competitors;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budgeting cycles and purchasing practices of customers;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Decisions by potential customers to purchase alternative solutions from other vendors;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Insolvency or credit difficulties confronting our customers, which could adversely affect their ability to purchase or pay for a subscription to use our solution;</w:t>
      </w:r>
    </w:p>
    <w:p>
      <w:pPr>
        <w:spacing w:after="0" w:line="199" w:lineRule="exact"/>
        <w:rPr>
          <w:rFonts w:ascii="Times New Roman" w:cs="Times New Roman" w:eastAsia="Times New Roman" w:hAnsi="Times New Roman"/>
          <w:sz w:val="14"/>
          <w:szCs w:val="14"/>
          <w:color w:val="auto"/>
        </w:rPr>
      </w:pPr>
    </w:p>
    <w:p>
      <w:pPr>
        <w:ind w:left="580" w:hanging="286"/>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and potential outcomes of future litigation or other disputes;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accounting pronouncements or changes in our accounting policies;</w:t>
      </w:r>
    </w:p>
    <w:p>
      <w:pPr>
        <w:spacing w:after="0" w:line="176"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overall effective tax rate, including impacts caused by any reorganization in our corporate tax structure and any new legislation or regulatory developments;</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stock-based compensation expense;</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Trade protection measures (such as tariffs and duties) and import or export licensing requirements;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foreign currency exchange rates;</w:t>
      </w:r>
    </w:p>
    <w:p>
      <w:pPr>
        <w:spacing w:after="0" w:line="176"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timing and success in introducing new features and Applications to the market, including integrations of our solution with additional third-party software and devices;</w:t>
      </w:r>
    </w:p>
    <w:p>
      <w:pPr>
        <w:spacing w:after="0" w:line="143"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actions of our competitors or any other change in the competitive dynamics of our industry, including consolidation among competitors, customers or strategic partners;</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557" w:right="660" w:bottom="386" w:gutter="0" w:footer="0" w:header="0"/>
        </w:sectPr>
      </w:pPr>
    </w:p>
    <w:bookmarkStart w:id="12" w:name="page13"/>
    <w:bookmarkEnd w:id="12"/>
    <w:p>
      <w:pPr>
        <w:ind w:left="580" w:hanging="286"/>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manage and realize the anticipated benefits of any future acquisitions of businesses, solutions, or technologies;</w:t>
      </w:r>
    </w:p>
    <w:p>
      <w:pPr>
        <w:spacing w:after="0" w:line="176" w:lineRule="exact"/>
        <w:rPr>
          <w:rFonts w:ascii="Times New Roman" w:cs="Times New Roman" w:eastAsia="Times New Roman" w:hAnsi="Times New Roman"/>
          <w:sz w:val="16"/>
          <w:szCs w:val="16"/>
          <w:color w:val="auto"/>
        </w:rPr>
      </w:pPr>
    </w:p>
    <w:p>
      <w:pPr>
        <w:ind w:left="580" w:right="40" w:hanging="286"/>
        <w:spacing w:after="0" w:line="259"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expenses related to the development or acquisition of businesses, solutions, or technologies and potential future charges for impairment of goodwill from acquired companies; or</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 factors described in this prospectus.</w:t>
      </w:r>
    </w:p>
    <w:p>
      <w:pPr>
        <w:spacing w:after="0" w:line="172"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achieve and sustain a level of liquidity sufficient to support our operations and fulfill our obligations, our business, financial condition, and results of operations could be adversely affected.</w:t>
      </w:r>
    </w:p>
    <w:p>
      <w:pPr>
        <w:spacing w:after="0" w:line="139"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We actively monitor and manage our cash and cash equivalents so that sufficient liquidity is available to fund our operations and other corporate purposes. In the future, increased levels of liquidity may be required to adequately support our operations and initiatives and to mitigate the effects of business challenges or unforeseen circumstances. If we are unable to achieve and sustain such increased levels of liquidity, we may suffer adverse consequences, including reduced investment in our platform development, difficulties in executing our business plan and fulfilling our obligations, and other operational challenges. Any of these developments could adversely affect our business, financial condition, and results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exposed to risks related to third-party financing of our customers’ subscriptions to our Dot Cloud SaaS platform.</w:t>
      </w:r>
    </w:p>
    <w:p>
      <w:pPr>
        <w:spacing w:after="0" w:line="180"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4"/>
          <w:szCs w:val="14"/>
          <w:color w:val="auto"/>
        </w:rPr>
        <w:t>Historically, some of our customers have relied on third parties to finance their purchase of subscriptions to our Dot Cloud SaaS platform. This need to arrange third-party credit may lengthen our sales cycles or otherwise lengthen the amount of time required to negotiate customer agreements. Our channel may provide customers seeking financing with contact information for lenders that are known to them through their financing of other customers’ subscriptions. These arrangements can create challenging dynamics for us when disputes arise between a customer and a lender to whom we have introduced a customer. In the event that financing is not available to those of our customers who require it, on commercially reasonable terms or at all, we could experience reduced sales, extended sales cycles, and increased churn. In the event of a dispute between a customer and a lender, we could suffer reputational harm and damage to our relationships with customers and those that provide financing to our customers. The occurrence of any of these would adversely impact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maintain and expand our business if we are not able to hire, retain and manage qualified personnel, and in particular, our key personnel.</w:t>
      </w:r>
    </w:p>
    <w:p>
      <w:pPr>
        <w:spacing w:after="0" w:line="180"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the success of any future acquisitions depends in part on our retention and integration of key personnel from the acquired company or business.</w:t>
      </w:r>
    </w:p>
    <w:p>
      <w:pPr>
        <w:spacing w:after="0" w:line="155"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Although we may enter into employment agreements with members of our senior management and other key personnel, these arrangements are at-will and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spacing w:after="0" w:line="15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Further, we rely in part on direct sales employees to sell our products in the United States and internationally. We are focused on increasing the size and effectiveness of our sales force, marketing activities, sales management team and corporate infrastructure, as well as exploring further relationships with third- party resellers. At present, we intend to significantly increase the size of our current direct sales organization and to more efficiently leverage our expanded sales force to increase sales coverage for our solution and to support significant channel growth. We cannot assure you that we will be able to attract and retain the additional personnel necessary to grow and expand our business and operations. Further, we expect that the onboarding of new sales and marketing personnel will take considerable time to enable new employees to ramp up to full productivity. If we are unable to expand our sales force at sufficiently high levels and onboard new sales personnel successfully, our ability to attract new customers may be harmed, and our business, financial condition and results of operations would be adversely affected. In addition, any failure to adequately train our employees on how to communicate the uses and benefits of our solution to potential and existing customers may prevent us from increasing our market share and revenue. If we fail to identify, attract, retain and motivate these highly skilled personnel, we will be unable to achieve our growth expectations, and our business, financial condition, and results of operations may be harmed.</w:t>
      </w: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ability to achieve customer renewals and increase sales of our products is dependent on the quality of our customer success and support teams, and our failure to offer high quality support would have an adverse effect on our business, reputation, and results of operations.</w:t>
      </w:r>
    </w:p>
    <w:p>
      <w:pPr>
        <w:spacing w:after="0" w:line="13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4"/>
          <w:szCs w:val="14"/>
          <w:color w:val="auto"/>
        </w:rPr>
        <w:t>Our customers depend on our customer support team to resolve issues and our customer success team to realize the full benefits relating to our Dot Cloud SaaS platform. If we do not succeed in helping our customers quickly resolve post-deployment issues or provide effective ongoing support and education on our Dot Cloud SaaS platform, our ability to sell additional subscriptions to, or renew subscriptions with, existing customers or expand the value of existing customers’ subscriptions would be adversely affected and our reputation with potential customers could be damaged. Many large customers have more complex IT environments and require higher levels of support than smaller customers. If we fail to meet the requirements of these larger customers, it may be more difficult to grow sales with them.</w:t>
      </w:r>
    </w:p>
    <w:p>
      <w:pPr>
        <w:spacing w:after="0" w:line="12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Additionally, it can take several months to recruit, hire, and train qualified engineering- level customer support employees. We may not be able to hire such employees fast enough to keep up with demand, particularly if the sales of our products exceed our internal forecasts. To the extent that we are unsuccessful in hiring, training, and retaining adequate customer support employees, our ability to provide adequate and timely support to our customers, and our customers’ satisfaction with our products, will be adversely affected. Our failure to provide and maintain high-quality support services would have an adverse effect on our business, reputation, and results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not able to maintain and enhance our brand, our business, financial condition, and results of operations may be harmed.</w:t>
      </w:r>
    </w:p>
    <w:p>
      <w:pPr>
        <w:spacing w:after="0" w:line="180"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4"/>
          <w:szCs w:val="14"/>
          <w:color w:val="auto"/>
        </w:rPr>
        <w:t>We believe that maintaining and enhancing our reputation as a differentiated and category-defining company is critical to our relationships with our existing customers and to our ability to attract new customers. We also believe that the importance of brand recognition will increase as competition in our market increases, and that brand and reputation are particularly important in the physical operations industry given the potential impact of any failure of our solution on the physical operations of our customers. The successful promotion of our brand attributes will depend on a number of factors, including our and our channel partners’ marketing efforts, our ability to continue to develop high-quality solutions and our ability to successfully differentiate our solutions and devices from those of competitors. In addition, independent industry analysts may provide reviews of our solution and our competitors’ products, which could influence the perception of the relative value of our Dot Cloud SaaS platform in the marketplace. If these reviews are negative, or less positive as compared to those of our competitors’ products, our brand may be harmed.</w:t>
      </w:r>
    </w:p>
    <w:p>
      <w:pPr>
        <w:spacing w:after="0" w:line="135" w:lineRule="exact"/>
        <w:rPr>
          <w:sz w:val="20"/>
          <w:szCs w:val="20"/>
          <w:color w:val="auto"/>
        </w:rPr>
      </w:pPr>
    </w:p>
    <w:p>
      <w:pPr>
        <w:jc w:val="both"/>
        <w:ind w:right="40"/>
        <w:spacing w:after="0" w:line="241" w:lineRule="auto"/>
        <w:rPr>
          <w:sz w:val="20"/>
          <w:szCs w:val="20"/>
          <w:color w:val="auto"/>
        </w:rPr>
      </w:pPr>
      <w:r>
        <w:rPr>
          <w:rFonts w:ascii="Times New Roman" w:cs="Times New Roman" w:eastAsia="Times New Roman" w:hAnsi="Times New Roman"/>
          <w:sz w:val="16"/>
          <w:szCs w:val="16"/>
          <w:color w:val="auto"/>
        </w:rPr>
        <w:t>The promotion of our brand requires us to make substantial expenditures, and we anticipate that the expenditures will increase as our market becomes more competitive, as we expand into new markets, and as more sales are generated through our channel partners. Our brand promotion activities may not generate customer awareness or yield increased revenue, and even if they do, any increased revenue may not offset the expenses we incur in building our brand. If we do not successfully maintain and enhance our brand, our business may not grow, we may have reduced pricing power relative to competitors, and we could lose customers or fail to attract potential customers, any of which would harm our business, financial condition, and results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cannot maintain our company culture as we grow, our success and our business and competitive position may be harmed.</w:t>
      </w:r>
    </w:p>
    <w:p>
      <w:pPr>
        <w:sectPr>
          <w:pgSz w:w="11900" w:h="16840" w:orient="portrait"/>
          <w:cols w:equalWidth="0" w:num="1">
            <w:col w:w="10600"/>
          </w:cols>
          <w:pgMar w:left="660" w:top="737" w:right="640" w:bottom="42" w:gutter="0" w:footer="0" w:header="0"/>
        </w:sectPr>
      </w:pPr>
    </w:p>
    <w:bookmarkStart w:id="13" w:name="page14"/>
    <w:bookmarkEnd w:id="13"/>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We believe that our success to date has been driven in part by our company’s cultural principles of focusing on customer success, building for the long term, adopting a growth mindset, being inclusive and winning as a team. As we grow and develop the infrastructure of a public company, we may find it difficult to maintain these important aspects of our culture. Any failure to preserve our culture could negatively affect our ability to retain and recruit personnel, which is critical to our growth, and to effectively focus on and pursue our corporate objectives. As a result, if we fail to maintain our company culture, our business and competitive position may be harmed.</w:t>
      </w: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5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Our subscription agreements typically contain service-level commitments, and our agreements with larger customers may carry higher service-level commitments than those provided to customers generally.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We offer multiple tiers of subscriptions to our products and, as such, our service-level commitments will increase if more customers choose higher tier subscriptions. Any service-level failures could also damage our reputation, which could also adversely affect our business, financial condition, and results of operations.</w:t>
      </w:r>
    </w:p>
    <w:p>
      <w:pPr>
        <w:spacing w:after="0" w:line="15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 real or perceived defect, security vulnerability, error, or performance failure in our Dot Cloud SaaS platform could cause us to lose revenue, damage our reputation, and expose us to liability, and our product liability insurance may not adequately protect us.</w:t>
      </w:r>
    </w:p>
    <w:p>
      <w:pPr>
        <w:spacing w:after="0" w:line="1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Our Dot Cloud SaaS platform is inherently complex and, despite extensive testing and quality control, has in the past contained and may in the future contain defects or errors, especially when first introduced, or not perform as contemplated. These defects, security vulnerabilities, errors, or performance failures could cause damage to our reputation, loss of customers or revenue, order cancellations, service terminations, or lack of market acceptance of our software. Our customers within the physical operations industry are particularly sensitive to the reliability of our products because a failure of a vehicle or piece of machinery connected to our solution could have a significant impact on their business or employees, including leading to death or serious bodily injury. As the use of our solution, including features and solutions that were recently developed, continues to expand to even more sensitive, secure, or mission-critical uses by our customers, we may be subject to increased scrutiny, potential reputational risk, or potential liability should our solution fail to perform as intended in such deployments. We have in the past needed, and may in the future need, to issue corrective releases to fix these defects, security vulnerabilities, errors or performance failures, which could require us to allocate significant research and development and customer support resources to address these problems. When required to correct device bugs or to implement proactive firmware updates to our devices, we have implemented over-the- air firmware updates to devices that are deployed in the field. If such updates do not perform as anticipated, they may prolong interruptions and performance problems and otherwise impact our reputation and relationship with our customers. Additionally, an improperly configured or deployed update may cause performance issues or disable certain devices in the field, as has occurred in the past. Such an error would require us to fix or replace such devices and may harm our relationship with the impacted customer or customers.</w:t>
      </w:r>
    </w:p>
    <w:p>
      <w:pPr>
        <w:spacing w:after="0" w:line="15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In addition, any data that we license from third parties for potential use in our solution may contain errors or defects, which could negatively impact the analytics that our customers perform on or with such data. This may have a negative impact on how our solution is perceived by our current and potential customers and could materially damage our reputation and brand.</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Any limitation of liability provisions that may be contained in our customer, user, third- party vendor, service provider, and partner agreements may not be enforceable or adequate or effective as a result of existing or future applicable laws or unfavorable judicial decisions, and they may not function to limit our liability arising from regulatory enforcement or otherwise. The sale and support of our solution entail the risk of liability claims, which could be substantial in light of the use of our solution in enterprise-wide environments.</w:t>
      </w:r>
    </w:p>
    <w:p>
      <w:pPr>
        <w:spacing w:after="0" w:line="155"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In addition, our insurance against this liability may not be adequate to cover a potential claim and may be subject to exclusions, including the possibility that the insurer will deny coverage as to any future claim or exclude from our coverage such claims in policy renewals. The denial of our claims by our insurers or the successful assertion of claims by others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reputation. Further, there are no assurances that adequate product liability insurance will continue to be available to us in the future on commercially reasonable terms or at all.</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Challenges in implementation or incorrect use of, or our customers’ failure to update, our solution could result in customer dissatisfaction and negatively affect our business and growth prospects.</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Our solution is often operated in large scale, distributed IT environments, including across a wide array of devices and connected assets. Implementing our solutions in such environments can be a complex and lengthy process, particularly for certain of our customers who are less experienced with respect to the implementation of cloud-based platforms such as ours. Our customers and some partners require training and experience in the proper use of and the benefits that can be derived from our solution to maximize its potential. If users of our Dot Cloud SaaS platform do not implement, use, or update our Dot Cloud SaaS platform correctly or as intended, then inadequate performance and/or security vulnerabilities may result. Because our customers rely on our software and hardware to manage a wide range of operations, the incorrect implementation, use of, or our customers’ failure to update, our software and hardware or our failure to train customers on how to use our solution productively may result in customer dissatisfaction and negative publicity and may adversely affect our reputation and brand. Our failure to effectively provide training and implementation services to our customers could result in lost opportunities for follow-on sales to these customers and decreased subscriptions by new customers, which would adversely affect our business and growth prospects.</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3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We have in the past and may in the future seek to acquire or invest in businesses, joint ventures, and technologies that we believe could complement or expand our Dot Cloud SaaS platform, enhance our technology, or otherwise offer growth opportunities. Further, our anticipated proceeds from this offering increase the likelihood that we will devote resources to exploring larger and more complex acquisitions and investments than we have previously attempted.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their software is not easily adapted to work with our solution, or we have difficulty retaining the customers of any acquired business due to changes in ownership,</w:t>
      </w:r>
    </w:p>
    <w:p>
      <w:pPr>
        <w:sectPr>
          <w:pgSz w:w="11900" w:h="16840" w:orient="portrait"/>
          <w:cols w:equalWidth="0" w:num="1">
            <w:col w:w="10580"/>
          </w:cols>
          <w:pgMar w:left="660" w:top="737" w:right="660" w:bottom="0" w:gutter="0" w:footer="0" w:header="0"/>
        </w:sectPr>
      </w:pPr>
    </w:p>
    <w:bookmarkStart w:id="14" w:name="page15"/>
    <w:bookmarkEnd w:id="14"/>
    <w:p>
      <w:pPr>
        <w:jc w:val="both"/>
        <w:spacing w:after="0" w:line="247" w:lineRule="auto"/>
        <w:rPr>
          <w:sz w:val="20"/>
          <w:szCs w:val="20"/>
          <w:color w:val="auto"/>
        </w:rPr>
      </w:pPr>
      <w:r>
        <w:rPr>
          <w:rFonts w:ascii="Times New Roman" w:cs="Times New Roman" w:eastAsia="Times New Roman" w:hAnsi="Times New Roman"/>
          <w:sz w:val="16"/>
          <w:szCs w:val="16"/>
          <w:color w:val="auto"/>
        </w:rPr>
        <w:t>management, or otherwise. Any such transactions that we are able to complete may not result in the synergies or other benefits we expect to achieve, which could result in substantial impairment charges. These transactions could also result in dilutive issuances of equity securities or the incurrence of debt, which could adversely affect our financial position, costs, and financial flexibility.</w:t>
      </w:r>
    </w:p>
    <w:p>
      <w:pPr>
        <w:spacing w:after="0" w:line="148"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require additional capital to fund our business and support our growth, and any inability to generate or obtain such capital may adversely affect our business and financial condition.</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In order to support our growth and respond to business challenges, such as developing new solutions or devices to stay competitive, acquiring new technologies, and improving our infrastructure, we have made significant financial investments in our business and we intend to continue to make such investments. As a result, we may or debt financings to provide the funds required for these investments and other business endeavors. If we raise additional funds through equity or convertible debt issuances, our existing stockholders may suffer significant dilution and these securities could have rights, preferences, and privileges that are superior to that of holders of our common stock. If we obtain additional funds through debt financing, the terms of such indebtedness may involve restrictive covenants making it difficult to engage in capital raising activities and pursue business opportunities, including potential acquisitions. If we are unable to obtain adequate financing or financing on terms satisfactory to us when we require it, our ability to continue to support our business growth and to respond to business challenges could be significantly impaired and our business and financial condition may be adversely affected.</w:t>
      </w:r>
    </w:p>
    <w:p>
      <w:pPr>
        <w:spacing w:after="0" w:line="157"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product liability, warranty and recall claims that may increase the costs of doing business and adversely affect our business, financial condition, and results of operations.</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We are subject to a risk of product liability or warranty claims if our Dot Cloud SaaS platform and our devices actually or allegedly fail to perform as expected or result, or are alleged to result, in bodily injury and/or property damage. Certain technologies incorporated in our devices may increase the risk profile of such devices. While we maintain what we believe to be reasonable insurance coverage to appropriately respond to such liability exposures, large product liability claims, if made, could exceed our insurance coverage limits and insurance may not continue to be available on commercially acceptable terms, if at all. There can be no assurance that we will not incur significant costs to defend these claims or that we will not experience any product liability losses in the future. In addition, if any of our devices are, or are alleged to be, defective, we may be required to participate in recalls and exchanges of such devices or customer claims against us. The future cost associated with providing product warranties and/or bearing the cost of repair or replacement of our products, or a refund of customer expenses, could exceed our historical experience and have a material adverse effect on our business, financial condition, and results of operations.</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As we launch our first family of hardware products, there is a heightened risk of product quality issues. As such, we are subject to a risk of product liability or warranty claims if our Dot Cloud Saas platform and our devices actually or allegedly fail to perform as expected or result, or are alleged to result, in bodily injury and/or property damage. Certain technologies incorporated in our devices may increase the risk profile of such devices. Our experienced team is working to mitigate any product quality issues but despite best efforts, it is historically most likely that issues will arise during this initial launch and stabilization period which extends through fiscal year 2025. While we maintain what we believe to be reasonable insurance coverage to appropriately respond to such liability exposures, large product liability claims, if made, could exceed our insurance coverage limits and insurance may not continue to be available on commercially acceptable terms, if at all. There can be no assurance that we will not incur significant costs to defend these claims or that we will not experience any product liability losses in the future. In addition, if any of our devices are, or are alleged to be, defective, we may be required to participate in recalls and exchanges of such devices or customer claims against us. The future cost associated with providing product warranties and/or bearing the cost of repair or replacement of our products, or a refund of customer expenses, could exceed our historical experience and have a material adverse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currency exchange rates fluctuate substantially in the future, the results of our operations, which are reported in U.S. dollars, could be adversely affected.</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As we continue to expand our international operations, we become more exposed to the effects of fluctuations in currency exchange rates. Our international customer contracts are denominated in currencies other than the U.S. dollar. Changes in currency exchange rates over the course of customers’ contract terms may impact the amount of revenue we recognize from a customer from period to period, even in the absence of changes to that customer’s subscriptions. Additionally, currency fluctuations in certain countries and regions may negatively impact actual prices that customers and partners are willing to pay in those countries and regions. Further, we incur expenses for employee compensation and other operating expenses at our non-U.S. locations in the local currency. Fluctuations in the exchange rates between the U.S. dollar and other currencies could result in the dollar equivalent of such expenses being higher, which could have a negative impact on our results of operations. Although we may in the future decide to undertake foreign exchange hedging transactions to cover a portion of our foreign currency exchange exposure, we currently do not hedge our exposure to foreign currency exchange risks.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Managing the supply of our devices is complex. Insufficient supply and inventory may result in lost sales opportunities or delayed revenue, while excess inventory may harm our gross margins.</w:t>
      </w:r>
    </w:p>
    <w:p>
      <w:pPr>
        <w:spacing w:after="0" w:line="1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Our third-party manufacturers and suppliers procure components for our devices based on our forecasts, and we generally do not hold significant inventory for extended periods of time. These forecasts are based on estimates of future demand for our products, which can be adjusted based on historical trends and analysis and for overall market conditions, and we cannot guarantee the accuracy of our forecasts. In order to reduce manufacturing lead times and plan for adequate component supply, from time to time we may issue forecasts for components and products that are non cancelable and nonreturnable.</w:t>
      </w:r>
    </w:p>
    <w:p>
      <w:pPr>
        <w:spacing w:after="0" w:line="155"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6"/>
          <w:szCs w:val="16"/>
          <w:color w:val="auto"/>
        </w:rPr>
        <w:t>Our inventory management systems and related supply chain visibility tools may be inadequate to enable us to forecast accurately and effectively manage supply of our devices. Supply management remains an increased area of focus as we balance the need to maintain supply levels that are sufficient to ensure competitive lead times against the risk of obsolescence because of rapidly changing technology and end-customer requirements. If we ultimately determine that we have excess supply, we may have to record a reserve for excess manufacturing costs or reduce our prices and write-down inventory, either of which in turn could result in lower gross margins. Alternatively, insufficient supply levels may lead to shortages that result in delayed revenue or loss of sales opportunities altogether as potential end customers are unable to access our Dot Cloud SaaS platform and, as a result, turn to competitors’ products that are readily available. Additionally, any increases in the time required to manufacture our devices or ship these devices could result in supply shortfalls. If we are unable to effectively manage our supply and inventory, our results of operations could be adversely affected.</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business may be materially and adversely impacted by U.S. and global market and economic conditions adverse to industries that depend on physical operations.</w:t>
      </w:r>
    </w:p>
    <w:p>
      <w:pPr>
        <w:spacing w:after="0" w:line="1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We generate our revenue from selling subscriptions to our solutions to industries that depend on physical operations. These industries include transportation, wholesale and retail trade, healthcare, transportation, aviation, construction, field services, logistics, utilities and energy, government, manufacturing, and others. Given the concentration of our business activities in these industries, we will be particularly exposed to certain economic downturns affecting these industries, in particular with respect to our fleet-focused solutions. U.S. and global market and economic conditions have been, and continue to be, disrupted and volatile. General business and economic conditions that could affect us and our customers include fluctuations in economic growth, debt and equity capital markets, liquidity of the global financial</w:t>
      </w:r>
    </w:p>
    <w:p>
      <w:pPr>
        <w:sectPr>
          <w:pgSz w:w="11900" w:h="16840" w:orient="portrait"/>
          <w:cols w:equalWidth="0" w:num="1">
            <w:col w:w="10580"/>
          </w:cols>
          <w:pgMar w:left="660" w:top="557" w:right="660" w:bottom="0" w:gutter="0" w:footer="0" w:header="0"/>
        </w:sectPr>
      </w:pPr>
    </w:p>
    <w:bookmarkStart w:id="15" w:name="page16"/>
    <w:bookmarkEnd w:id="15"/>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markets, the availability and cost of credit, investor and consumer confidence, and the strength of the economies in which we and our customers operate. A poor economic environment could result in significant decreases in demand for our Dot Cloud SaaS platform, including the delay or cancellation of current or anticipated customer engagements.</w:t>
      </w:r>
    </w:p>
    <w:p>
      <w:pPr>
        <w:spacing w:after="0" w:line="15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Operational challenges and volatile economic conditions have presented and may in the future present difficulties in our ability to timely collect accounts receivables from our customers due to their deteriorating financial condition. In addition, our existing customers may be acquired by or merged into other entities that use our competitors’ products, they may decide to terminate their relationships with us for other reasons, or they may go out of business, each of which would have an adverse effect on our future revenue.</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Business disruptions could have serious adverse consequences on our future revenue and financial condition and result in losses that may not be covered by insurance.</w:t>
      </w:r>
    </w:p>
    <w:p>
      <w:pPr>
        <w:spacing w:after="0" w:line="13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Our operations, particularly our operations in Puerto Rico, could be subject to the impact of natural or man-made disasters or other business disruptions, which include, but are not limited to, earthquakes, hurricanes, typhoons, floods, water shortages, wildfires and fires, blizzards and other extreme weather conditions as well as power outages, telecommunications, transportation or infrastructure failure, cybersecurity incidents or physical security breaches related to such catastrophes, public health crises, such as pandemics and epidemics, and geopolitical conflicts, including acts of terrorism, war and civil disorder. We carry insurance against certain risks and in such amounts as we believe are customary for businesses of our kind. However, as the costs and availability of insurance change, we may decide not to be covered against certain losses, including losses resulting from such natural and man-made disasters or environmental liabilities where, in the judgment of management, the insurance is not warranted due to cost or availability of coverage or the remoteness of perceived risk. Furthermore, there are certain types of losses that are generally not insured because they are either uninsurable or not economically insurable. Moreover, the cost of insurance has increased significantly, including as a result of the impact of climate change and inflation, and we may not be able to obtain sufficient coverage at a reasonable cost to protect us against losses.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current operations are international in scope, and we plan further geographic expansion, creating a variety of operational challenges.</w:t>
      </w:r>
    </w:p>
    <w:p>
      <w:pPr>
        <w:spacing w:after="0" w:line="180"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A component of our growth strategy involves the further expansion of our operations and customer base internationally.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We intend to increase the scope of our international activities as we continue to pursue opportunities in existing and new international markets, which will require significant dedication of management attention and financial resources.</w:t>
      </w: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current and future international business and operations involve a variety of risks, including:</w:t>
      </w:r>
    </w:p>
    <w:p>
      <w:pPr>
        <w:spacing w:after="0" w:line="176" w:lineRule="exact"/>
        <w:rPr>
          <w:sz w:val="20"/>
          <w:szCs w:val="20"/>
          <w:color w:val="auto"/>
        </w:rPr>
      </w:pPr>
    </w:p>
    <w:p>
      <w:pPr>
        <w:ind w:left="580" w:hanging="286"/>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slower than anticipated availability and adoption of cloud and hybrid infrastructures by international businesses;</w:t>
      </w:r>
    </w:p>
    <w:p>
      <w:pPr>
        <w:spacing w:after="0" w:line="176" w:lineRule="exact"/>
        <w:rPr>
          <w:rFonts w:ascii="Times New Roman" w:cs="Times New Roman" w:eastAsia="Times New Roman" w:hAnsi="Times New Roman"/>
          <w:sz w:val="16"/>
          <w:szCs w:val="16"/>
          <w:color w:val="auto"/>
        </w:rPr>
      </w:pPr>
    </w:p>
    <w:p>
      <w:pPr>
        <w:jc w:val="both"/>
        <w:ind w:left="580" w:hanging="286"/>
        <w:spacing w:after="0" w:line="247"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 specific country’s or region’s political, economic, or legal and regulatory environment, including Brexit, pandemics, tariffs, export quotas, custom duties, trade disputes, tax laws and treaties, particularly due to economic tensions and trade negotiations or other trade restrictions, trade wars, or long-term environmental risks;</w:t>
      </w:r>
    </w:p>
    <w:p>
      <w:pPr>
        <w:spacing w:after="0" w:line="15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need to adapt and localize our solution for specific countries;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greater difficulty collecting accounts receivable, longer sales and payment cycles, and different pricing environments;</w:t>
      </w:r>
    </w:p>
    <w:p>
      <w:pPr>
        <w:spacing w:after="0" w:line="176" w:lineRule="exact"/>
        <w:rPr>
          <w:rFonts w:ascii="Times New Roman" w:cs="Times New Roman" w:eastAsia="Times New Roman" w:hAnsi="Times New Roman"/>
          <w:sz w:val="16"/>
          <w:szCs w:val="16"/>
          <w:color w:val="auto"/>
        </w:rPr>
      </w:pPr>
    </w:p>
    <w:p>
      <w:pPr>
        <w:ind w:left="580" w:right="40" w:hanging="286"/>
        <w:spacing w:after="0" w:line="259"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evolving, potentially inconsistent and often more stringent regulations relating to privacy, data protection and data security and the unauthorized use of, or access to, commercial, biometric, and/or personal information, particularly in Europe;</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differing labor regulations, including with respect to wage and hour laws, that make it harder to do business in certain regions such as Europe;</w:t>
      </w:r>
    </w:p>
    <w:p>
      <w:pPr>
        <w:spacing w:after="0" w:line="176"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143"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managing a business in new markets with diverse cultures, languages, customs, legal systems, alternative dispute systems, and regulatory systems;</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travel, real estate, infrastructure, legal and compliance costs associated with international operations;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financial accounting and reporting burdens and complexities;</w:t>
      </w:r>
    </w:p>
    <w:p>
      <w:pPr>
        <w:spacing w:after="0" w:line="176"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currency exchange rate fluctuations and the resulting effect on our revenue and expenses, and the cost and risk of entering into hedging transactions if we chose to do so in the future;</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on our ability to reinvest earnings from operations in one country to fund the capital needs of our operations in other countries;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and different sources of competition;</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laws and business practices favoring local competitors or general market preferences for local vendors;</w:t>
      </w:r>
    </w:p>
    <w:p>
      <w:pPr>
        <w:spacing w:after="0" w:line="176"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limited or insufficient intellectual property protection or difficulties obtaining, maintaining, protecting, or enforcing our intellectual property rights, including our trademarks and patents, or obtaining necessary intellectual property licenses from third parties;</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instability or terrorist activities;</w:t>
      </w:r>
    </w:p>
    <w:p>
      <w:pPr>
        <w:spacing w:after="0" w:line="176" w:lineRule="exact"/>
        <w:rPr>
          <w:rFonts w:ascii="Times New Roman" w:cs="Times New Roman" w:eastAsia="Times New Roman" w:hAnsi="Times New Roman"/>
          <w:sz w:val="16"/>
          <w:szCs w:val="16"/>
          <w:color w:val="auto"/>
        </w:rPr>
      </w:pPr>
    </w:p>
    <w:p>
      <w:pPr>
        <w:ind w:left="580" w:hanging="286"/>
        <w:spacing w:after="0" w:line="259"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pandemics or epidemics that could result in decreased economic activity in certain markets, decreased use of our products and services, or in our decreased ability to import, export, or sell our products and services to existing or new customers in international markets;</w:t>
      </w:r>
    </w:p>
    <w:p>
      <w:pPr>
        <w:spacing w:after="0" w:line="143" w:lineRule="exact"/>
        <w:rPr>
          <w:rFonts w:ascii="Times New Roman" w:cs="Times New Roman" w:eastAsia="Times New Roman" w:hAnsi="Times New Roman"/>
          <w:sz w:val="16"/>
          <w:szCs w:val="16"/>
          <w:color w:val="auto"/>
        </w:rPr>
      </w:pPr>
    </w:p>
    <w:p>
      <w:pPr>
        <w:ind w:left="580" w:right="40" w:hanging="286"/>
        <w:spacing w:after="0" w:line="259"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to liabilities under anti-corruption and anti-money laundering laws, including the U.S. Foreign Corrupt Practices Act (FCPA), U.S. domestic bribery laws, the UK Bribery Act, and similar laws and regulations in other jurisdictions;</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burdens of complying with U.S. and non-U.S. export control laws and regulations, including Export Administration Regulations (EAR); or</w:t>
      </w:r>
    </w:p>
    <w:p>
      <w:pPr>
        <w:spacing w:after="0" w:line="176"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burdens of complying with laws and regulations related to taxation; and regulations, adverse tax burdens, and foreign exchange controls that could make it difficult to repatriate earnings and cash.</w:t>
      </w:r>
    </w:p>
    <w:p>
      <w:pPr>
        <w:sectPr>
          <w:pgSz w:w="11900" w:h="16840" w:orient="portrait"/>
          <w:cols w:equalWidth="0" w:num="1">
            <w:col w:w="10580"/>
          </w:cols>
          <w:pgMar w:left="660" w:top="557" w:right="660" w:bottom="5" w:gutter="0" w:footer="0" w:header="0"/>
        </w:sectPr>
      </w:pPr>
    </w:p>
    <w:bookmarkStart w:id="16" w:name="page17"/>
    <w:bookmarkEnd w:id="16"/>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If we invest substantial time and resources to further expand our international operations and are unable to do so successfully and in a timely manner, our business and results of operations will suffer.</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wholly-owned subsidiary in Puerto Rico has been granted certain incentives under Act 60 (described below), and the validity of these incentives are conditioned on our continuous compliance with the terms and conditions of the grant.</w:t>
      </w:r>
    </w:p>
    <w:p>
      <w:pPr>
        <w:spacing w:after="0" w:line="139"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Our Puerto Rican subsidiary has been granted various incentives under Act 60, including a reduced 1% income tax rate on its industrial development income and a 15 year exemption term from (i) December 23, 2024 for income tax purposes, (ii) January 1, 2024 for real and personal property tax purposes, and (iii) January 1, 2025 for municipal license tax purposes. The validity of these tax incentives is conditioned on our Puerto Rican subsidiary’s continuous compliance with the terms and conditions of the grant.</w:t>
      </w:r>
    </w:p>
    <w:p>
      <w:pPr>
        <w:spacing w:after="0" w:line="151"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have entered into, or expect to enter into, various arrangements with our subsidiary in Puerto Rico regarding the intercompany provision of services. Applicable taxing authorities could challenge the prices for these services.</w:t>
      </w:r>
    </w:p>
    <w:p>
      <w:pPr>
        <w:spacing w:after="0" w:line="139"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6"/>
          <w:szCs w:val="16"/>
          <w:color w:val="auto"/>
        </w:rPr>
        <w:t>We have entered into, or intend to enter into, several contractual arrangements with our Puerto Rican subsidiary. We have made, or intend to make, loans to our Puerto Rican subsidiary and charge market-rate interest on those loans. Our Puerto Rican subsidiary is expected to pay us for corporate services and to pay us royalties in exchange for the use of certain intellectual property. We intend to use valid pricing methodologies to establish arm’s length prices for these arrangements. However, a taxing authority could challenge whether the terms of these arrangements are arm’s length and could require us to make a “transfer pricing” adjustment and assess us for additional taxes. Additionally, under applicable United States tax laws, income of the Puerto Rican subsidiary may be taxable to us on a current basis, even if cash is not distributed from the subsidiary. If our “transfer pricing” is challenged, it could increase the amount of such taxable income. Similar concerns should be expected to apply to our planned subsidiaries in Europe and India, if and when established.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Regulatory or Compliance Risks</w:t>
      </w:r>
    </w:p>
    <w:p>
      <w:pPr>
        <w:spacing w:after="0" w:line="174"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Changes in applicable tax laws, regulations or administrative interpretations thereof may materially adversely affect our financial condition, results of operations and cash flows.</w:t>
      </w:r>
    </w:p>
    <w:p>
      <w:pPr>
        <w:spacing w:after="0" w:line="139"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6"/>
          <w:szCs w:val="16"/>
          <w:color w:val="auto"/>
        </w:rPr>
        <w:t xml:space="preserve">We could be adversely affected by changes in applicable tax laws, regulations, or administrative interpretations thereof. For example, the U.S. federal tax legislation commonly referred to as the Tax Cuts and Jobs Act (the “ </w:t>
      </w:r>
      <w:r>
        <w:rPr>
          <w:rFonts w:ascii="Times New Roman" w:cs="Times New Roman" w:eastAsia="Times New Roman" w:hAnsi="Times New Roman"/>
          <w:sz w:val="16"/>
          <w:szCs w:val="16"/>
          <w:b w:val="1"/>
          <w:bCs w:val="1"/>
          <w:i w:val="1"/>
          <w:iCs w:val="1"/>
          <w:color w:val="auto"/>
        </w:rPr>
        <w:t>TCJA</w:t>
      </w:r>
      <w:r>
        <w:rPr>
          <w:rFonts w:ascii="Times New Roman" w:cs="Times New Roman" w:eastAsia="Times New Roman" w:hAnsi="Times New Roman"/>
          <w:sz w:val="16"/>
          <w:szCs w:val="16"/>
          <w:color w:val="auto"/>
        </w:rPr>
        <w:t xml:space="preserve">”), enacted in December 2017, resulted in fundamental changes to the Code, including, among many other things, a reduction to the federal corporate income tax rate, a limitation on the deductibility of business interest expense, a limitation on the deductibility of certain director and officer compensation expense, limitations on the use of net operating loss carrybacks and carryovers and changes relating to the scope and timing of U.S. taxation on earnings from international business operations. Subsequent legislation, the Coronavirus Aid, Relief, and Economic Security Act (the “ </w:t>
      </w:r>
      <w:r>
        <w:rPr>
          <w:rFonts w:ascii="Times New Roman" w:cs="Times New Roman" w:eastAsia="Times New Roman" w:hAnsi="Times New Roman"/>
          <w:sz w:val="16"/>
          <w:szCs w:val="16"/>
          <w:b w:val="1"/>
          <w:bCs w:val="1"/>
          <w:i w:val="1"/>
          <w:iCs w:val="1"/>
          <w:color w:val="auto"/>
        </w:rPr>
        <w:t>CARES Act</w:t>
      </w:r>
      <w:r>
        <w:rPr>
          <w:rFonts w:ascii="Times New Roman" w:cs="Times New Roman" w:eastAsia="Times New Roman" w:hAnsi="Times New Roman"/>
          <w:sz w:val="16"/>
          <w:szCs w:val="16"/>
          <w:color w:val="auto"/>
        </w:rPr>
        <w:t>”), enacted on March 27, 2020, relaxed certain of the limitations imposed by the TCJA for certain taxable years, including the limitation on the use and carryback of net operating losses and the limitation on the deductibility of business interest expense. The exact impact of the TCJA and the CARES Act for future years is difficult to quantify, but these changes could materially adversely affect holders of our Common Stock or the Company. In addition, on August 16, 2022, President Biden signed into law the Inflation Reduction Act of 2022, which among other things, imposes a 1% excise tax on the fair market value of stock repurchased by “covered corporations” beginning in 2023. Other changes could be enacted in the future to increase the corporate tax rate, limit further the deductibility of interest or effect other changes that could have a material adverse effect on the Company’s business, results of operations and financial condition. Such changes could also include increases in state taxes and other changes to state tax laws to replenish state and local government finances depleted by costs attributable to the COVID-19 pandemic and the reduction in tax revenues due to the accompanying economic downturn.</w:t>
      </w:r>
    </w:p>
    <w:p>
      <w:pPr>
        <w:spacing w:after="0" w:line="159" w:lineRule="exact"/>
        <w:rPr>
          <w:sz w:val="20"/>
          <w:szCs w:val="20"/>
          <w:color w:val="auto"/>
        </w:rPr>
      </w:pPr>
    </w:p>
    <w:p>
      <w:pPr>
        <w:jc w:val="both"/>
        <w:ind w:right="40"/>
        <w:spacing w:after="0" w:line="241" w:lineRule="auto"/>
        <w:rPr>
          <w:sz w:val="20"/>
          <w:szCs w:val="20"/>
          <w:color w:val="auto"/>
        </w:rPr>
      </w:pPr>
      <w:r>
        <w:rPr>
          <w:rFonts w:ascii="Times New Roman" w:cs="Times New Roman" w:eastAsia="Times New Roman" w:hAnsi="Times New Roman"/>
          <w:sz w:val="16"/>
          <w:szCs w:val="16"/>
          <w:color w:val="auto"/>
        </w:rPr>
        <w:t>In addition, our effective tax rate and tax liability are based on the application of current income tax laws, regulations, and treaties. These laws, regulations and treaties are complex, and the manner in which they apply to us and our diverse set of business arrangements is often open to interpretation. Significant management judgment is required in determining the Company’s provision for income taxes, its deferred tax assets and liabilities and any valuation allowance recorded against its net deferred tax assets. The tax authorities could challenge our interpretation of laws, regulations, and treaties, resulting in additional tax liability or adjustment to its income tax provision that could increase its effective tax rate. Changes to tax laws may also adversely affect our ability to attract and retain key personnel.</w:t>
      </w:r>
    </w:p>
    <w:p>
      <w:pPr>
        <w:spacing w:after="0" w:line="15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We operate a global business and may have direct or indirect interactions with officials and employees of government agencies or state -owned or affiliated entities. We are subject to the Foreign Corrupt Practices Act, or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 -party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parties or representatives fail to comply with these laws and governmental authorities in the United States and elsewhere could seek to impose substantial civil and/or criminal fines and penalties which could have a material adverse effect on our business, reputation, results of operations and financial condition.</w:t>
      </w:r>
    </w:p>
    <w:p>
      <w:pPr>
        <w:spacing w:after="0" w:line="3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We have begun to implement an anti-corruption compliance program and policies, procedures and training designed to foster compliance with these laws; however, our employees, contractors, and agents, and companies to which we outsource some of our business operations, may take actions in violation of our policies or applicable law. Any such violation could have an adverse effect on our reputation, business, operating results and prospects.</w:t>
      </w:r>
    </w:p>
    <w:p>
      <w:pPr>
        <w:spacing w:after="0" w:line="152"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Any violation of the FCPA, other applicable anti-corruption laws, or anti -money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15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federal government or independent standards organizations may implement significant regulations or standards that could adversely affect our ability to produce or market our products.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products transmit radio frequency waves, the transmission of which is governed by the rules and regulations of the Federal Communications Commission (FCC), as</w:t>
      </w:r>
    </w:p>
    <w:p>
      <w:pPr>
        <w:sectPr>
          <w:pgSz w:w="11900" w:h="16840" w:orient="portrait"/>
          <w:cols w:equalWidth="0" w:num="1">
            <w:col w:w="10600"/>
          </w:cols>
          <w:pgMar w:left="660" w:top="737" w:right="640" w:bottom="49" w:gutter="0" w:footer="0" w:header="0"/>
        </w:sectPr>
      </w:pPr>
    </w:p>
    <w:bookmarkStart w:id="17" w:name="page18"/>
    <w:bookmarkEnd w:id="17"/>
    <w:p>
      <w:pPr>
        <w:jc w:val="both"/>
        <w:spacing w:after="0" w:line="259" w:lineRule="auto"/>
        <w:rPr>
          <w:sz w:val="20"/>
          <w:szCs w:val="20"/>
          <w:color w:val="auto"/>
        </w:rPr>
      </w:pPr>
      <w:r>
        <w:rPr>
          <w:rFonts w:ascii="Times New Roman" w:cs="Times New Roman" w:eastAsia="Times New Roman" w:hAnsi="Times New Roman"/>
          <w:sz w:val="16"/>
          <w:szCs w:val="16"/>
          <w:color w:val="auto"/>
        </w:rPr>
        <w:t>well as other federal and state agencies. Our ability to design, develop and sell our products will continue to be subject to these rules and regulations, as well as many other federal, state, local and foreign rules and regulations, for the foreseeable future.</w:t>
      </w:r>
    </w:p>
    <w:p>
      <w:pPr>
        <w:spacing w:after="0" w:line="14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In addition, our Dot Cloud SaaS platform may become subject to independent industry standards. The implementation of unfavorable regulations or industry standards, or unfavorable interpretations of existing regulations by courts or regulatory bodies, could require us to incur significant compliance costs, cause the development of the affected products to become impractical, or otherwise adversely affect our ability to produce or market our solution. The adoption of new industry standards applicable to our products may require us to engage in rapid product development efforts that would cause us to incur higher expenses than we anticipated. In some circumstances, we may not be able to comply with such standards, which could materially and adversely affect our ability to generate revenues through the sale of our products.</w:t>
      </w:r>
    </w:p>
    <w:p>
      <w:pPr>
        <w:spacing w:after="0" w:line="12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Failure to comply with laws and regulations applicable to our business could subject us to fines and penalties and could also cause us to lose customers or otherwise harm our business.</w:t>
      </w:r>
    </w:p>
    <w:p>
      <w:pPr>
        <w:spacing w:after="0" w:line="139"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Our business is subject to regulation by various federal, state, local, and foreign governmental agencies, including agencies responsible for monitoring and enforcing compliance with various legal obligations, covering topics including privacy and data protection, telecommunications, intellectual property, employment and labor, workplace safety, the environment, consumer protection, governmental trade sanctions, import and export controls, anti-corruption and anti-bribery, securities, and tax. In certain jurisdictions, these regulatory requirements may be more stringent than in the United States. These laws and regulations impose added costs on our business. Noncompliance with applicable regulations or requirements could subject us to:</w:t>
      </w:r>
    </w:p>
    <w:p>
      <w:pPr>
        <w:spacing w:after="0" w:line="157" w:lineRule="exact"/>
        <w:rPr>
          <w:sz w:val="20"/>
          <w:szCs w:val="20"/>
          <w:color w:val="auto"/>
        </w:rPr>
      </w:pPr>
    </w:p>
    <w:p>
      <w:pPr>
        <w:ind w:left="580" w:hanging="286"/>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investigations, enforcement actions, and sanctions;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mandatory changes to our solutions and services;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disgorgement of profits, fines, and damages;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civil and criminal penalties or injunctions;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claims for damages by our customers or channel partners;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of contracts;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intellectual property rights; and</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temporary or permanent debarment from sales to government organizations.</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If any governmental sanctions are imposed, or if we do not prevail in any possible civil or criminal litigation, our business, financial condition, and results of operations could be adversely affected. In addition, responding to any action will likely result in a significant diversion of our management’s attention and resources and an increase in professional fees. Enforcement actions and sanctions could materially harm our business, financial condition, and results of operations.</w:t>
      </w:r>
    </w:p>
    <w:p>
      <w:pPr>
        <w:spacing w:after="0" w:line="15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Additionally, companies in the technology industry have recently experienced increased regulatory scrutiny. Any reviews by regulatory agencies or legislatures may result in substantial regulatory fines, changes to our business practices, and other penalties, which could negatively affect our business and results of operations. Changes in social, political, and regulatory conditions or in laws and policies governing a wide range of topics may cause us to change our business practices. Further, our expansion into a variety of new use cases for our solutions could also raise a number of new regulatory issues. These factors could materially and adversely affect our business, financial condition, and results of operations.</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failure to comply with the requirements of applicable environmental legislation and regulation could have a material adverse effect on our revenue and profitability.</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Production and marketing of products in certain states and countries may subject us to environmental and other regulations. In addition, certain states and countries may pass new regulations requiring our products to meet certain requirements to use environmentally friendly components. For example, the European Union has issued two directives relating to chemical substances in electronic products. The Waste Electrical and Electronic Equipment Directive (WEEE) makes producers of certain electrical and electronic equipment financially responsible for the collection, reuse, recycling, treatment and disposal of equipment placed in the European Union market. The Restrictions of Hazardous Substances Directive (RoHS) bans the use of certain hazardous materials in electrical and electronic equipment which are put on the market in the European Union. In the future, various countries, including the United States or other state or local governments, may adopt further environmental compliance programs and requirements. If we fail to comply with these regulations in connection with the manufacture of our devices, we may face regulatory fines, changes to our business practices, and other penalties, and may not be able to sell our devices in jurisdictions where these regulations apply, which could have a material adverse effect on our revenue and profitability.</w:t>
      </w:r>
    </w:p>
    <w:p>
      <w:pPr>
        <w:spacing w:after="0" w:line="15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We are subject to stringent and changing laws, regulations, standards, and contractual obligations related to privacy, data protection, and data security. Any actual or perceived failure to comply with such obligations could harm our business. We receive, collect, store, process, transfer, and use personal information and other data relating to users of our solutions, our employees and contractors, and other persons. For example, certain of our solutions collect and store facial recognition data, which is subject to heightened sensitivity and regulation. We have legal and contractual obligations regarding the protection of confidentiality and appropriate use of certain data, including facial recognition data and other personal information. We are subject to numerous federal, state, local, and international laws, directives, and regulations regarding privacy, data protection, and data security and the collection, storing, sharing, use, processing, transfer, disclosure, and protection of personal information and other data, the scope of which are changing, subject to differing interpretations, and may be inconsistent across jurisdictions or conflict with other legal and regulatory requirements. We are also subject to certain contractual obligations to third parties related to privacy, data protection and data security. We strive to comply with our applicable policies and applicable laws, regulations, contractual obligations, and other legal obligations relating to privacy, data protection, and data security to the extent possible. However, the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legal obligations or our practices. Further, any significant change to applicable laws, regulations or industry practices regarding the collection, use, retention, security or disclosure of data, or their interpretation, or any changes regarding the manner in which the consent of users or other data subjects for the collection, use, retention or disclosure of such data must be obtained, could increase our costs and require us to modify our solutions, possibly in a material manner, which we may be unable to complete, and may limit our ability to store and process user data or develop new solutions and features.</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14"/>
          <w:szCs w:val="14"/>
          <w:color w:val="auto"/>
        </w:rPr>
        <w:t>We also expect that there will continue to be new laws, regulations, and industry standards concerning privacy, data protection, and information security proposed and enacted in various jurisdictions. For example, the data protection landscape in Europe is currently evolving, resulting in possible significant operational costs for internal</w:t>
      </w:r>
    </w:p>
    <w:p>
      <w:pPr>
        <w:sectPr>
          <w:pgSz w:w="11900" w:h="16840" w:orient="portrait"/>
          <w:cols w:equalWidth="0" w:num="1">
            <w:col w:w="10580"/>
          </w:cols>
          <w:pgMar w:left="660" w:top="557" w:right="660" w:bottom="0" w:gutter="0" w:footer="0" w:header="0"/>
        </w:sectPr>
      </w:pPr>
    </w:p>
    <w:bookmarkStart w:id="18" w:name="page19"/>
    <w:bookmarkEnd w:id="18"/>
    <w:p>
      <w:pPr>
        <w:jc w:val="both"/>
        <w:spacing w:after="0" w:line="238" w:lineRule="auto"/>
        <w:rPr>
          <w:sz w:val="20"/>
          <w:szCs w:val="20"/>
          <w:color w:val="auto"/>
        </w:rPr>
      </w:pPr>
      <w:r>
        <w:rPr>
          <w:rFonts w:ascii="Times New Roman" w:cs="Times New Roman" w:eastAsia="Times New Roman" w:hAnsi="Times New Roman"/>
          <w:sz w:val="16"/>
          <w:szCs w:val="16"/>
          <w:color w:val="auto"/>
        </w:rPr>
        <w:t>compliance and risks to our business. The European Union adopted the General Data Protection Regulation (GDPR), which became effective in May 2018, and contains numerous requirements and changes from previously existing European Union laws, including more robust obligations on data processors and heavier documentation requirements for data protection compliance programs by companies. Among other requirements, the GDPR regulates the transfer of personal data subject to the GDPR to third countries that have not been found to provide adequate protection to such personal data, including the United States. Failure to comply with the GDPR could result in penalties for noncompliance. The United Kingdom enacted legislation that substantially implements the GDPR and provides for substantial penalties in a manner similar to the GDPR. It is unclear how United Kingdom data protection laws or regulations will develop in the medium to longer term and how data transfers to and from the United Kingdom will be regulated. Further, some countries also are considering or have enacted legislation requiring local storage and processing of data that could increase the cost and complexity of delivering our services.</w:t>
      </w:r>
    </w:p>
    <w:p>
      <w:pPr>
        <w:spacing w:after="0" w:line="161"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Various United States privacy laws are potentially relevant to our business, including the Federal Trade Commission Act, Controlling the Assault of Non-Solicited Pornography and Marketing Act (CAN-SPAM Act), and the Telephone Consumer Protection Act. Any actual or perceived failure to comply with these laws could result in a costly investigation or litigation resulting in potentially significant liability, loss of trust by our users, and a material and adverse impact on our reputation and business.</w:t>
      </w:r>
    </w:p>
    <w:p>
      <w:pPr>
        <w:spacing w:after="0" w:line="155"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6"/>
          <w:szCs w:val="16"/>
          <w:color w:val="auto"/>
        </w:rPr>
        <w:t>Additionally, in June 2018, California passed the California Consumer Privacy Act (CCPA), which provides new data privacy rights for California consumers and new operational requirements for covered companies. Specifically, the CCPA provides that covered companies must provide new disclosures to California consumers and afford such consumers new data privacy rights that include the right to request a copy from a covered company of the personal information collected about them, the right to request deletion of such personal information, and the right to request to opt-out of certain sales of such personal information. The CCPA became operative on January 1, 2020. The California Attorney General can enforce the CCPA, including seeking an injunction and civil penalties for violations. The CCPA also provides a private right of action for certain data breaches that is expected to increase data breach litigation. The CCPA may require us to modify our data practices and policies and to incur substantial costs and expenses in an effort to comply. A new privacy law, the California Privacy Rights Act (CPRA), was approved by California voters in the November 3, 2020 election and went into effect on January 1, 2023. The CPRA significantly modified the CCPA, resulting in further uncertainty and requiring us to incur additional costs and expenses in an effort to comply. A number of other states, such as Illinois, Texas, Washington, Virginia and Colorado, have implemented, or are considering implementing, their own versions of privacy legislation, which could increase our potential liability and cause us to incur substantial costs and expenses in an effort to comply and otherwise adversely affect our business. Some of those laws, including Illinois’ Biometric Information Privacy Act, also provide consumers with a private right of action for certain violations and large potential statutory damages awards.</w:t>
      </w:r>
    </w:p>
    <w:p>
      <w:pPr>
        <w:spacing w:after="0" w:line="16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Any failure or perceived failure by us to comply with our posted privacy policies, our privacy-related obligations to users or other third parties, or any other legal obligations or regulatory requirements relating to privacy, data protection, or data security, may result in governmental investigations or enforcement actions, litigation, claims, or public statements against us by consumer advocacy groups or others and could result in significant liability, cause our users to lose trust in us, and otherwise materially and adversely affect our reputation and business. Furthermore, the costs of compliance with, and other burdens imposed by, the laws, regulations, other obligations, and policies that are applicable to the businesses of our users may limit the adoption and use of, and reduce the overall demand for, our solution. Additionally, if third parties we work with violate applicable laws, regulations or contractual obligations,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portion of our revenue is generated by sales to government entities, which are subject to a number of challenges and risks.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Sales to government entities are subject to a number of risks. Selling to government entities can be highly competitive, expensive, and time-consuming, often requiring significant upfront time and expense without any assurance that these efforts will generate a sale. Despite our efforts, we may not be able to obtain the requisite certifications to sell to certain government entities, and government certification requirements for products like ours may change, thereby restricting our ability to sell to the U.S. federal government, state governments, or non-U.S. government sectors until we have attained the appropriate certification. Government demand and payment for our products may be affected by public sector budgetary cycles and funding authorizations, with funding reductions or delays adversely affecting public sector demand for our products. Additionally, any actual or perceived privacy, data protection, or data security incident, or even any perceived defect with regard to our practices or measures in these areas, may negatively impact public sector demand for our products.</w:t>
      </w:r>
    </w:p>
    <w:p>
      <w:pPr>
        <w:spacing w:after="0" w:line="1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Government entities may have statutory, contractual, or other legal rights to terminate contracts with us for convenience or due to a default, and any such termination may adversely affect our future results of operations. Governments routinely investigate and audit government contractors, and any unfavorable audit could result in the government refusing to continue buying our subscriptions, a reduction of revenue, or fines or civil or criminal liability if the audit uncovers improper or illegal activities, which could materially and adversely affect our business, financial condition, and results of operations.</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Failure to comply with laws, regulations, or contractual provisions applicable to our business could cause us to lose government customers or our ability to contract with the U.S. and other governments.</w:t>
      </w:r>
    </w:p>
    <w:p>
      <w:pPr>
        <w:spacing w:after="0" w:line="13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As a government 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audits and internal investigations which may prove costly to our business financially, divert management time, or limit our ability to continue selling subscriptions to our solution to our government customers. These laws and regulations may impose other added costs on our business, and failure to comply with these or other applicable regulations and requirements, including non-compliance in the past, could lead to claims for damages from our channel partners, penalties, and termination of contracts and suspension or debarment from government contracting for a period of time with government agencies. Any such damages, penalties, disruption, or limitation in our ability to do business with a government could materially and adversely impact our business, results of operations, financial condition, public perception, and growth prospects.</w:t>
      </w:r>
    </w:p>
    <w:p>
      <w:pPr>
        <w:spacing w:after="0" w:line="31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required to comply with governmental export control, economic sanctions and import laws and regulations. Our failure to comply with these laws and regulations could have an adverse effect on our business, financial condition, and results of operations.</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Exports, reexports and certain transfers of our solution, including the underlying technology and source code and products, may be subject to governmental, including United States and European Union, export control and economic sanctions laws and regulations. Certain of our products, technologies, and services are, and may in the future be, subject to the EAR. U.S. export control laws and regulations and economic sanctions include various restrictions and license requirements, including prohibiting the shipment of certain products, technology, software and services to U.S. embargoed or sanctioned countries, governments, and persons. Complying with export control, economic sanctions and import laws and regulations for a particular sale may be time-consuming and may result in the delay or loss of sales opportunities. While we take precautions to prevent our platform, products, services, technology and software from being exported, reexported or transferred in violation of these laws,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privileges.</w:t>
      </w:r>
    </w:p>
    <w:p>
      <w:pPr>
        <w:spacing w:after="0" w:line="158"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14"/>
          <w:szCs w:val="14"/>
          <w:color w:val="auto"/>
        </w:rPr>
        <w:t>Additionally, the export control laws and regulations impose licensing, filing and reporting requirements on encryption and products, technologies and software that incorporate or use certain encryption. We incorporate encryption technology into certain of our products and our products, software and technology may require export</w:t>
      </w:r>
    </w:p>
    <w:p>
      <w:pPr>
        <w:sectPr>
          <w:pgSz w:w="11900" w:h="16840" w:orient="portrait"/>
          <w:cols w:equalWidth="0" w:num="1">
            <w:col w:w="10580"/>
          </w:cols>
          <w:pgMar w:left="660" w:top="557" w:right="660" w:bottom="0" w:gutter="0" w:footer="0" w:header="0"/>
        </w:sectPr>
      </w:pPr>
    </w:p>
    <w:bookmarkStart w:id="19" w:name="page20"/>
    <w:bookmarkEnd w:id="19"/>
    <w:p>
      <w:pPr>
        <w:jc w:val="both"/>
        <w:spacing w:after="0" w:line="239" w:lineRule="auto"/>
        <w:rPr>
          <w:sz w:val="20"/>
          <w:szCs w:val="20"/>
          <w:color w:val="auto"/>
        </w:rPr>
      </w:pPr>
      <w:r>
        <w:rPr>
          <w:rFonts w:ascii="Times New Roman" w:cs="Times New Roman" w:eastAsia="Times New Roman" w:hAnsi="Times New Roman"/>
          <w:sz w:val="16"/>
          <w:szCs w:val="16"/>
          <w:color w:val="auto"/>
        </w:rPr>
        <w:t>authorization including by license, a license exception or other appropriate government authorization for export, reexport or transfer outside of the United States.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We cannot assure you that inadvertent violations of such laws have not occurred or will not occur in connection with the distribution of our products and services despite the precautions we take. Governmental regulation of encryption technology and regulation of imports or exports, or our failure to obtain any required import or export approval for our products, technology, software, services or platform could harm our international sales and adversely affect our results of operations.</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Further, if our channel or other partners fail to obtain any appropriate import, export, or re -export licenses or permits, we may also be harmed, become the subject of government investigations or penalties, and incur reputational harm. In addition, access to our supply chain in China may be further restricted by future U.S. actions taken against China, such as Chinese suppliers being targeted by U.S. sanctions or being added to lists of denied persons maintained by the U.S. Department of Commerce Bureau of Industry and Security (BIS). Changes in our platform, products, services, technology and software or changes in export and import regulations may create delays in the introduction of our Dot Cloud SaaS platform in international markets, prevent our customers with international operations from deploying our platform globally or, in some cases, prevent the export or import of our platform to certain countries, governments, or persons altogether. Any change in export or import laws or regulations, economic sanctions, or related legislation, shift in the enforcement or scope of existing laws and regulations, or change in the countries, governments, persons, or technologies targeted by such laws and regulations, could result in decreased use of our platform by, or in our decreased ability to export or sell subscriptions to our platform to, existing or potential customers with international operations. Any decreased use of our platform, products, services, technology and software or limitation on our ability to export or sell our platform would likely harm our business, financial condition, and results of operations.</w:t>
      </w:r>
    </w:p>
    <w:p>
      <w:pPr>
        <w:spacing w:after="0" w:line="16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We are subject to requirements under the Dodd-Frank Wall Street Reform and Consumer Protection Act of 2010 that require us to conduct due diligence on and disclose whether or not our products contain conflict minerals as defined under these provisions. The implementation of these requirements could adversely affect the sourcing, availability, and pricing of the materials used in the manufacture of components used in our devices. In addition, we incur additional costs to comply with the disclosure requirements, including costs related to conducting diligence procedures to determine the sources of minerals that may be used in or necessary for the production of our devices and, if applicable, potential changes to devices, processes, or sources of supply as a consequence of such due diligence activities. It is also possible that we may face reputational harm if we determine that certain of our devices contain minerals not determined to be conflict-free or if we are unable to alter our products, processes, or sources of supply to avoid such materials.</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Regulation changes in the use of artificial intelligence are unpredictable and therefore we are not able to accurately predict how potential regulatory changes in artificial intelligence space may affect our current and future offerings.</w:t>
      </w:r>
    </w:p>
    <w:p>
      <w:pPr>
        <w:spacing w:after="0" w:line="139"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Artificial intelligence (“AI”) is enabled by or integrated into some of our existing solutions and may play an increased role in our future offerings. The use of AI is a topic that has attracted the attention of lawmakers and regulators recently. It is hard to predict, especially in a presidential election year, what changes may come in this area in the near future. We encourage all investors to be vigilant to public policy developments in this area and will report on applicable constraints as they potentially emerge.</w:t>
      </w:r>
    </w:p>
    <w:p>
      <w:pPr>
        <w:spacing w:after="0" w:line="15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face fines, penalties, or other costs, either directly or vicariously, if any of our partners, resellers, contractors, vendors or other third parties fail to adhere to their compliance obligations under our policies and applicable law.</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We use a number of third parties to perform services or act on our behalf in areas like sales, network infrastructure, administration, research, and marketing. It may be the case that one or more of those third parties fail to adhere to our policies or violate applicable federal, state, local, and international laws, including but not limited to, those related to corruption, bribery, economic sanctions, and export/import controls. Despite the significant efforts in asserting and maintaining control and compliance by these third parties, we may be held fully liable for third parties’ actions as fully as if they were a direct employee of ours. Such liabilities may create harm to our reputation, inhibit our plans for expansion, or lead to extensive liability either to private parties or government regulators, which could adversely impact our business, financial condition, and results of operations.</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Cybersecurity and Technology</w:t>
      </w:r>
    </w:p>
    <w:p>
      <w:pPr>
        <w:spacing w:after="0" w:line="17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Security incidents or real or perceived errors, failures or bugs in our systems or our website could impair our operations, result in loss of personal customer information, damage our reputation, and brand, and harm our business and operating results.</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Our continued success is dependent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may contain material errors, failures, vulnerabilities or bugs, particularly when new features or capabilities are released, and may be subject to computer viruses or malicious code, break-ins, phishing impersonation attacks, attempts to overload our servers with denial -of-service or other attacks, ransomware and similar incidents or disruptions from unauthorized use of our computer systems, as well as unintentional incidents causing data leakage, any of which could lead to interruptions, delays or website or online app shutdowns, or could cause loss of critical data or the unauthorized disclosure, access, acquisition, alteration or use of personal or other confidential information.</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If we experience compromises to our security that result in technology performance, integrity, or availability problems, the complete shutdown of our website or the loss or unauthorized disclosure, access, acquisition, alteration or use of confidential information, customers may lose trust and confidence in us, and customers may decrease the use of our website or stop using our website entirely. Because the techniques used to obtain unauthorized access, disable, or degrade service, or sabotage systems change frequently, often they are not recognized until launched against a target, and may originate from less regulated and remote areas around the world, we may be unable to proactively address these techniques or to implement adequate preventative measures. Even if we take steps that we believe are adequate to protect us from cyber threats, hacking against our competitors or other companies could create the perception among our customers or potential customers that our website is not safe to use.</w:t>
      </w:r>
    </w:p>
    <w:p>
      <w:pPr>
        <w:spacing w:after="0" w:line="158"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 significant impact on the performance, reliability, security, and availability of our systems, software, or services may harm our reputation, impair our ability to operate, retain existing customers or attract new customers, and expose us to legal claims and government action, each of which could have a material adverse impact on our financial condition, results of operations, and growth prospects.</w:t>
      </w:r>
    </w:p>
    <w:p>
      <w:pPr>
        <w:spacing w:after="0" w:line="152"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We are fundamentally in the data business, and as such have taken steps to use leading edge encryption and security measures in our IT deployments. However, the risk is real that our systems could be penetrated and cause business disruption and damage our brand in the marketplace.</w:t>
      </w:r>
    </w:p>
    <w:p>
      <w:pPr>
        <w:sectPr>
          <w:pgSz w:w="11900" w:h="16840" w:orient="portrait"/>
          <w:cols w:equalWidth="0" w:num="1">
            <w:col w:w="10580"/>
          </w:cols>
          <w:pgMar w:left="660" w:top="557" w:right="660" w:bottom="173" w:gutter="0" w:footer="0" w:header="0"/>
        </w:sectPr>
      </w:pPr>
    </w:p>
    <w:bookmarkStart w:id="20" w:name="page21"/>
    <w:bookmarkEnd w:id="20"/>
    <w:p>
      <w:pPr>
        <w:jc w:val="both"/>
        <w:spacing w:after="0" w:line="239" w:lineRule="auto"/>
        <w:rPr>
          <w:sz w:val="20"/>
          <w:szCs w:val="20"/>
          <w:color w:val="auto"/>
        </w:rPr>
      </w:pPr>
      <w:r>
        <w:rPr>
          <w:rFonts w:ascii="Times New Roman" w:cs="Times New Roman" w:eastAsia="Times New Roman" w:hAnsi="Times New Roman"/>
          <w:sz w:val="16"/>
          <w:szCs w:val="16"/>
          <w:color w:val="auto"/>
        </w:rPr>
        <w:t>Our continued success is dependent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may contain material errors, failures, vulnerabilities or bugs, particularly when new features or capabilities are released, and may be subject to computer viruses or malicious code, break-ins, phishing impersonation attacks, attempts to overload our servers with denial -of-service or other attacks, ransomware and similar incidents or disruptions from unauthorized use of our computer systems, as well as unintentional incidents causing data leakage, any of which could lead to interruptions, delays or website or online app shutdowns, or could cause loss of critical data or the unauthorized disclosure, access, acquisition, alteration or use of personal or other confidential information.</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If we experience compromises to our security that result in technology performance, integrity, or availability problems, the complete shutdown of our website or the loss or unauthorized disclosure, access, acquisition, alteration or use of confidential information, customers may lose trust and confidence in us, and customers may decrease the use of our website or stop using our website entirely. Because the techniques used to obtain unauthorized access, disable, or degrade service, or sabotage systems change frequently, often they are not recognized until launched against a target, and may originate from less regulated and remote areas around the world, we may be unable to proactively address these techniques or to implement adequate preventative measures. Even if we take steps that we believe are adequate to protect us from cyber threats, hacking against our competitors or other companies could create the perception among our customers or potential customers that our website is not safe to use.</w:t>
      </w:r>
    </w:p>
    <w:p>
      <w:pPr>
        <w:spacing w:after="0" w:line="158"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 significant impact on the performance, reliability, security, and availability of our systems, software, or services may harm our reputation, impair our ability to operate, retain existing customers or attract new customers, and expose us to legal claims and government action, each of which could have a material adverse impact on our financial condition, results of operations, and growth prospects.</w:t>
      </w: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we experience a security breach or incident affecting our customers’ assets or data, our data or devices, our Dot Cloud SaaS platform, or other systems, our Dot Cloud SaaS platform may be perceived as not being secure, our reputation may be harmed and our business could be materially and adversely affected.</w:t>
      </w:r>
    </w:p>
    <w:p>
      <w:pPr>
        <w:spacing w:after="0" w:line="13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As part of our business, we process, store, and transmit our customers’ information and data as well as our own, including in our Dot Cloud SaaS platform, networks, and other systems, and we rely on third parties that are not directly under our control to do so as well. We and many of our third-party partners, including our service providers, have security measures and disaster response plans in place to help protect our customers’ data, our data, our solution, and other systems against unauthorized access. However, we cannot assure you that these security measures and disaster response plans will be adequate or effective against all security threats, including those from malicious insiders, ransomware and other malware, denial of service and other attacks, and natural disasters and other sources of disruptions to the operation of our Dot Cloud SaaS platform or our or our third -party partners’ other operations, including power outages and telecommunications and other failures. Our or our third-party partners’ systems and security measures may be breached or otherwise fail as a result of malicious insiders or third-party action, including intentional misconduct by computer hackers, phishing and other means of social engineering, including fraudulent inducement of employees or customers to disclose sensitive information such as usernames or passwords, and employee error or malfeasance. Advances in computer capabilities, new technological discoveries or other developments may result in cyberattacks becoming more sophisticated and more difficult to detect. Any such breach or failure could result in the loss, corruption, or unavailability of data or someone acquiring our or our customers’ data or obtaining unauthorized access to our customers’ data, our data, our Dot Cloud SaaS platform, or other systems. Because a security breach could materialize and techniques used by malicious actors continue to evolve, we and our third-party partners may be unable to anticipate security breaches and implement adequate preventative measures. We incur significant costs in our efforts to detect and prevent security breaches and other security-related incidents and we expect to incur additional costs in connection with improvements to our systems and processes to prevent further breaches and incidents. In the event of a future breach or incident, we could be required to expend additional significant capital and other resources in an effort to prevent further breaches or incidents, which may require us to divert substantial resources. Moreover, we could be required or otherwise find it appropriate to expend significant capital and other resources to respond to, notify third parties of, and otherwise address the incident or breach and its root cause. Each of these could require us to divert substantial resources.</w:t>
      </w:r>
    </w:p>
    <w:p>
      <w:pPr>
        <w:spacing w:after="0" w:line="32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Third parties may also conduct attacks designed to temporarily deny customers access to our Dot Cloud SaaS platform or to disrupt or otherwise impede such access or our solutions’ performance. Any actual or perceived security breach or incident affecting our Dot Cloud SaaS platform or operations, or data we or our service providers process or maintain, denial of service attack or other disruption to our Dot Cloud SaaS platform could result in a loss of customer confidence in the security or integrity of our solution and damage to our brand and reputation, reduce the demand for our solution, disrupt our normal business operations, require us to spend material resources to correct the breach or incident and otherwise respond to it, expose us to legal liabilities including claims and litigation by private parties, regulatory investigations and other proceedings, and indemnity obligations, and materially and adversely affect our financial condition and results of operations. These risks will increase as we continue to grow the scale and functionality of our Dot Cloud SaaS platform and as we process, store, and transmit increasingly large amounts of information and data, which may include proprietary or confidential data or personal or identifying information. Our liability in connection with any security breaches, incidents, cyberattacks or other disruptions to our solution or operations may not be adequately covered by insurance, and such events may result in an increase in our costs for insurance or insurance not being available to us on economically feasible terms, or at all. Insurers may also deny us coverage as to any future claim. Any of these results could harm our growth prospects, financial condition, business and reputation.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Abuse or misuse of our internal platform controls and system tools could cause significant harm to our business and reputation.</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In order to provide real -time support to our customers, we have created internal platform controls and system tools that are used by our employees to diagnose and correct customer issues. If our employees were to intentionally abuse these platform controls and system tools, for example, by interfering with or altering our devices or our customers’ connected assets and accessing our customers’ data, or otherwise violate company policies, our customers could be significantly harmed. For example, our employees have historically had access to customers’ data, and although we have implemented greater access controls over time, such controls may not ensure that our employees’ use of customers’ data is in all cases appropriate. Any abuse or misuse by our employees of our internal platform controls and system tools, even if inadvertent, could result in potential legal liability and reputational damage to both our customers and us. Accordingly, any improper conduct, abuse or misuse, intentional or otherwise, of our platform controls and system tools could significantly and adversely harm our business and reputation.</w:t>
      </w: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Business disruptions or performance problems associated with our technology and infrastructure, including interruptions, delays, or failures in service from our third-party data center hosting facilities and other third-party services, could adversely affect our results of operations.</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Continued adoption of our solution depends in part on the ability of our existing and potential customers to access our solution within a reasonable amount of time. We have experienced, and may in the future experience, disruptions, data loss, outages, and other performance problems with our solution and infrastructure due to a variety of factors, including infrastructure changes, introductions of new functionality, human or software errors, capacity constraints, or other security-related incidents. If our solution is unavailable or if our users and customers are unable to access our solution within a reasonable amount of time, or at all, we may experience a decline in renewals, damage to our brand, or other harm to our business. The impact upon our customers may be further heightened by the nature of our solution connecting to their physical infrastructure, which may impede or harm their fleet, equipment, sites or other physical operations.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could be adversely affected.</w:t>
      </w:r>
    </w:p>
    <w:p>
      <w:pPr>
        <w:sectPr>
          <w:pgSz w:w="11900" w:h="16840" w:orient="portrait"/>
          <w:cols w:equalWidth="0" w:num="1">
            <w:col w:w="10580"/>
          </w:cols>
          <w:pgMar w:left="660" w:top="557" w:right="660" w:bottom="191" w:gutter="0" w:footer="0" w:header="0"/>
        </w:sectPr>
      </w:pPr>
    </w:p>
    <w:bookmarkStart w:id="21" w:name="page22"/>
    <w:bookmarkEnd w:id="21"/>
    <w:p>
      <w:pPr>
        <w:jc w:val="both"/>
        <w:spacing w:after="0" w:line="284" w:lineRule="auto"/>
        <w:rPr>
          <w:sz w:val="20"/>
          <w:szCs w:val="20"/>
          <w:color w:val="auto"/>
        </w:rPr>
      </w:pPr>
      <w:r>
        <w:rPr>
          <w:rFonts w:ascii="Times New Roman" w:cs="Times New Roman" w:eastAsia="Times New Roman" w:hAnsi="Times New Roman"/>
          <w:sz w:val="14"/>
          <w:szCs w:val="14"/>
          <w:color w:val="auto"/>
        </w:rPr>
        <w:t>A significant portion of our critical business operations are concentrated in the United States and are supported by third -party hosting facilities. We are an automated business, and a disruption or failure of our systems, or of the third-party hosting facilities and other third-party services that we use, could cause delays in completing sales and providing services. For example, from time to time, our data center hosting facilities have experienced outages. Such disruptions or failures could also include a major earthquake, blizzard, fire, cyber-attack, act of terrorism, or other catastrophic event, or a decision by one of our third-party service providers to close facilities that we use without adequate notice, or other unanticipated problems with the third-party services that we use, including a failure to meet service standards.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Interruptions or performance problems with either our technology and infrastructure or our data center hosting facilities could, among other things:</w:t>
      </w:r>
    </w:p>
    <w:p>
      <w:pPr>
        <w:spacing w:after="0" w:line="176" w:lineRule="exact"/>
        <w:rPr>
          <w:sz w:val="20"/>
          <w:szCs w:val="20"/>
          <w:color w:val="auto"/>
        </w:rPr>
      </w:pPr>
    </w:p>
    <w:p>
      <w:pPr>
        <w:ind w:left="580" w:hanging="286"/>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the destruction or disruption of any of our critical business operations, controls, or procedures or information technology systems;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severely affect our ability to conduct normal business operations;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a material weakness in our internal control over financial reporting;</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our customers to terminate their subscriptions;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our issuing credits or paying penalties or fines;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harm our brand and reputation;</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adversely affect our renewal rates or our ability to attract new customers; or</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our solution to be perceived as not being secure.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of the above could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unable to prevent or address the misappropriation of our data.</w:t>
      </w:r>
    </w:p>
    <w:p>
      <w:pPr>
        <w:spacing w:after="0" w:line="1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From time to time, third parties may misappropriate our data through website scraping, robots or other means and aggregate this data on their websites with data from other companies. In addition, copycat websites or online apps may misappropriate data and attempt to imitate our brand or the functionality of our website. If we become aware of such websites or online apps, we intend to employ technological or legal measures in an attempt to halt their operations. However, we may be unable to detect all such websites or online apps in a timely manner and, even if we could, technological and legal measures may be insufficient to halt their operations. In some cases, particularly in the case of websites or online apps operating outside of the United States, our available remedies may not be adequate to protect us against the effect of the operation of such websites or online apps. Regardless of whether we can successfully enforce our rights against the operators of these websites or online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rely on third- party software for certain essential financial and operational services, and a failure or disruption in these services could materially and adversely affect our ability to manage our business effectively.</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We rely on third-party software to provide many essential financial and operational services to support our business, including enterprise resource planning, customer relationship management, and human capital management. Many of these vendors are less established and have shorter operating histories than traditional software vendors. Moreover, many of these vendors provide their services to us via a cloud- based model instead of software that is installed on our premises. As a result, we depend upon these vendors to provide us with services that are always available and are free of errors or defects that could cause disruptions in our business processes. Any failure by these vendors to do so, or any disruption in our ability to access the Internet, would materially and adversely affect our ability to effectively manage our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protect our proprietary technology and intellectual property rights could substantially harm our business and results of operations.</w:t>
      </w:r>
    </w:p>
    <w:p>
      <w:pPr>
        <w:spacing w:after="0" w:line="1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Our success depends to a significant degree on our ability to protect our proprietary technology, methodologies, know-how, and branding. We rely on a combination of trademarks, copyrights, patents, trade secrets and other intellectual property laws, contractual restrictions, and technical organizational security and confidentiality procedures to establish and protect our proprietary rights. However, the steps we take to protect our intellectual property rights may be limited or inadequate. For instance, we will not be able to protect our intellectual property rights if we are unable to enforce our rights or if we do not detect unauthorized use of our intellectual property rights, or unauthorized or unlawful use of our software, technology or intellectual property rights. We also cannot guarantee that our intellectual property rights will provide competitive advantages to us, that our ability to assert our intellectual property rights against potential competitors or to settle current or future disputes will not be limited by our relationships with third parties, that any of our pending or future patent applications will have the coverage originally sought, or that we will not lose the ability to assert our intellectual property rights against or to license our technology to others and collect royalties or other payments. Further, the laws of some countries may not be as protective of intellectual property rights as those in the United States, and mechanisms for enforcement of intellectual property rights may be inadequate.</w:t>
      </w:r>
    </w:p>
    <w:p>
      <w:pPr>
        <w:spacing w:after="0" w:line="164"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In addition, despite our precautions, it may be possible for unauthorized third parties to copy our products, use information that we regard as proprietary to create offerings that compete with ours, or infringe upon or misappropriate our intellectual property. There is also no guarantee that third parties will abide by the terms of our agreements or that we will be able to adequately enforce our contractual rights. We may also be unable to prevent third parties from acquiring or using domain names or trademarks that are similar to, infringe upon, or diminish the value of our trademarks and other proprietary rights, thereby impeding our ability to build brand identity and possibly leading to potential confusion in the market and damage to our reputation and business.</w:t>
      </w:r>
    </w:p>
    <w:p>
      <w:pPr>
        <w:spacing w:after="0" w:line="15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If we fail to protect our intellectual property rights adequately, our competitors or other third parties may gain access to our proprietary technology and our business may be harmed. In addition, defending our intellectual property rights might entail significant resources and expenses, as detailed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can be no assurance that our patents or patent applications will be enforceable or otherwise upheld as valid.</w:t>
      </w:r>
    </w:p>
    <w:p>
      <w:pPr>
        <w:spacing w:after="0" w:line="18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Any patents, trademarks, or other intellectual property rights that we have obtained or may obtain may be challenged by others or invalidated, circumvented, abandoned or lapse. As of September 30, 2024, our patent portfolio consisted of 2 issued U.S. patents, and 1 U.S. patent applications pending for examination. As of September 30, 2024, we did not have any non-U.S. patents or patent applications. There can be no assurance that our patent applications will result in issued patents. Even if we continue to seek patent protection in the future, we may be unable to obtain further patent protection for our technology. There can also be no assurance that our patents or application will be equally enforceable or otherwise protected by the laws of non-U.S. jurisdictions.</w:t>
      </w:r>
    </w:p>
    <w:p>
      <w:pPr>
        <w:spacing w:after="0" w:line="1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In addition, given the costs, effort, risks and downside of obtaining patent protection, including the requirement to ultimately disclose the invention to the public, we may choose not to seek patent protection for certain innovations; however, such patent protection could later on prove to be important to our business. Further, any patents may not provide us with competitive advantages, or may be successfully challenged by third parties. Furthermore, legal standards relating to the validity, enforceability, and scope of protection of intellectual property rights are uncertain.</w:t>
      </w:r>
    </w:p>
    <w:p>
      <w:pPr>
        <w:sectPr>
          <w:pgSz w:w="11900" w:h="16840" w:orient="portrait"/>
          <w:cols w:equalWidth="0" w:num="1">
            <w:col w:w="10580"/>
          </w:cols>
          <w:pgMar w:left="660" w:top="557" w:right="660" w:bottom="17" w:gutter="0" w:footer="0" w:header="0"/>
        </w:sectPr>
      </w:pPr>
    </w:p>
    <w:bookmarkStart w:id="22" w:name="page23"/>
    <w:bookmarkEnd w:id="22"/>
    <w:p>
      <w:pPr>
        <w:jc w:val="center"/>
        <w:ind w:right="2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Confidentiality agreements with employees and others may not adequately prevent disclosure of trade secrets and other proprietary information.</w:t>
      </w:r>
    </w:p>
    <w:p>
      <w:pPr>
        <w:spacing w:after="0" w:line="1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To protect our trade secrets, confidential information and distribution of our proprietary information, we generally enter into confidentiality, non-compete, proprietary, and invention assignment agreements with our employees and consultants and enter into confidentiality agreements with other parties. We also have entered into confidentiality agreements to protect our confidential information delivered to third parties for research and other purposes. No assurance can be given that these agreements will be effective in controlling access to trade secrets, confidential information and distribution of our proprietary information, especially in certain U.S. states and countries that are less willing to enforce such agreements. Further, these agreements may not prevent our competitors from independently developing technologies that are substantially equivalent or superior to our products. In addition, others may independently discover our trade secrets and confidential information, and in such cases we could not assert any trade secret rights against such parties. Costly and time-consuming litigation could be necessary to enforce and determine the scope of our trade secret rights and related confidentiality and nondisclosure provisions, and failure to obtain or maintain trade secret protection, or our competitors’ obtainment of our trade secrets or independent development of unpatented technology similar to ours or competing technologies, could adversely affect our competitive business position.</w:t>
      </w:r>
    </w:p>
    <w:p>
      <w:pPr>
        <w:spacing w:after="0" w:line="164"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6"/>
          <w:szCs w:val="16"/>
          <w:color w:val="auto"/>
        </w:rPr>
        <w:t>In order to protect our intellectual property rights and proprietary technology,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intellectual property rights and proprietary technology against unauthorized copying or use, as well as any costly litigation or diversion of our management’s attention and resources, could delay further sales or the implementation of our products, impair the functionality of our products, delay introductions of new products, result in our substituting inferior or more costly technologies into our products, or injure our brand and reputation.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become subject to intellectual property disputes, which are costly and may subject us to significant liability and increased costs of doing business.</w:t>
      </w:r>
    </w:p>
    <w:p>
      <w:pPr>
        <w:spacing w:after="0" w:line="18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Third parties may in the future claim that our operations and solutions infringe their intellectual property rights, and such claims may result in legal claims against our customers and us. These claims may damage our brand and reputation, harm our customer relationships, and result in liability for us. We expect the number of such claims will increase as the number of solutions and the level of competition in our market grows, the functionality of our solution overlaps with that of other products and services, and the volume of issued patents and patent applications continues to increase. We may have agreed in certain customer contracts to indemnify customers, and have accepted tenders for indemnification from certain of such customers, for expenses or liabilities they incur as a result of third-party intellectual property infringement claims associated with our solution. To the extent that any claim arises as a result of third-party technology we use in our solutions, we may be unable to recover from the appropriate third party any expenses or other liabilities that we incur.</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Companies in the software and technology industries, including some of our current and potential competitors, own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than we do. Furthermore, patent holding companies, non-practicing entities, and other patent owners that are not deterred by our existing intellectual property protections may seek to assert patent claims against us. Third parties may assert patent, copyright, trademark, or other intellectual property rights against us, our channel partners, our technology partners, or our customers. We may be subject to litigation in the future, that claims we have misappropriated, misused, or infringed other parties’ intellectual property rights, and, to the extent we gain greater market visibility, we face a higher risk of being the subject of intellectual property infringement claims, which is not uncommon in our industry. These and other possible disagreements could lead to delays in the collaborative research, development or commercialization of our solutions, or could require or result in costly and time-consuming litigation that may not be decided in our favor. Any such event could materially and adversely affect our financial condition and results of operations.</w:t>
      </w:r>
    </w:p>
    <w:p>
      <w:pPr>
        <w:spacing w:after="0" w:line="16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There may be third-party intellectual property rights, including issued or pending patents, that cover significant aspects of our technologies or business methods. In addition, if we acquire or license technologies from third parties, we may be exposed to increased risk of being the subject of intellectual property infringement due to, among other things, our lower level of visibility into the development process with respect to such technology and the care taken to safeguard against infringement risks. These claims may damage our brand and reputation, harm our customer relationships, and create liability for us.</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and may require us to indemnify our customers for liabilities they incur as a result of such claims. These claims could also result in our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solution. If we cannot license or develop alternative non-infringing substitutes for any infringing technology used in any aspect of our business, we would be forced to limit or stop sales of our solution and may be unable to compete effectively. Any of these results would adversely affect our business operations and financial condition.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exposure to risks associated with the use of intellectual property may be increased as a result of acquisitions.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Our exposure to risks associated with the use of intellectual property may be increased as a result of acquisitions, as we have a lower level of visibility into the development process with respect to acquired technology or the care taken to safeguard against infringement risks. Third parties may make infringement and similar or related claims after we have acquired technology that had not been asserted prior to our acquisition. Any of these results would harm our business, results of operations and financial condition. These risks have been amplified by the increase in third parties whose sole or primary business is to assert such claims.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Issues in the use of artificial intelligence (“AI”) in our solution may result in reputational harm or liability.</w:t>
      </w:r>
    </w:p>
    <w:p>
      <w:pPr>
        <w:spacing w:after="0" w:line="18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AI is enabled by or integrated into some of our existing solutions and may play an increased role in our future offerings. As with many developing technologies, AI presents risks and challenges that could affect its further development, adoption, and use, and therefore our business. AI algorithms may be flawed. Datasets may be insufficient, of poor quality, or contain biased information. Inappropriate or controversial data practices by data scientists, engineers, and end -users of our systems could impair the acceptance of AI solutions. If the recommendations, forecasts, or analyses that AI applications assist in producing are or are alleged to be deficient or inaccurate, we could be subjected to competitive harm, potential legal liability, and brand or reputational harm. Some AI scenarios may also present ethical issues. Though our business practices are designed to mitigate many of these risks, if we enable or offer AI solutions that are controversial because of their purported or real impact on human rights, privacy, employment, or other social issues, we may experience brand or reputational harm.</w:t>
      </w:r>
    </w:p>
    <w:p>
      <w:pPr>
        <w:sectPr>
          <w:pgSz w:w="11900" w:h="16840" w:orient="portrait"/>
          <w:cols w:equalWidth="0" w:num="1">
            <w:col w:w="10580"/>
          </w:cols>
          <w:pgMar w:left="660" w:top="929" w:right="660" w:bottom="8"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i w:val="1"/>
          <w:iCs w:val="1"/>
          <w:color w:val="auto"/>
        </w:rPr>
        <w:t>Our use of open source software could negatively affect our ability to sell subscriptions to our Dot Cloud SaaS platform and subject us to possible litigation.</w:t>
      </w:r>
    </w:p>
    <w:p>
      <w:pPr>
        <w:spacing w:after="0" w:line="18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Our Dot Cloud SaaS platform incorporates open source software, and we expect to continue to incorporate open source software in our Dot Cloud SaaS platform in the future. Few of the licenses applicable to open source software have been interpreted by courts, and there is a risk that these licenses could be construed in a manner that could impose unanticipated conditions or restrictions on our ability to commercialize our solution or other products we may develop in the future. We also rely upon third-party, non- employee contractors to perform certain development services on our behalf, and we cannot be certain that such contractors will comply with our review processes or not incorporate software code made available under open source licenses into our proprietary code base.</w:t>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We may be found to have used open source software in our software in a manner that is inconsistent with the terms of the applicable license or our current policies and procedures. For example, certain kinds of open source licenses may require that any person who creates a product or service that contains, links to, or is derived from software that was subject to an open source license must also make their own product or service subject to the same open source license. If these requirements are found to apply to our products and we fail to comply with them, we may be subject to certain requirements, including requirements that we offer additional portions of our solutions for no cost, that we make available additional source code for modifications or derivative works we create based upon, incorporating or using the open source software, and that we license such modifications or derivative works under the terms of applicable open source licenses.</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or required to comply with onerous conditions or restrictions on these products, which could disrupt the distribution and sale of these products. In addition, there have been claims challenging the ownership rights in open source software against companies that incorporate open source software into their products, and the licensors of such open source software provide no warranties or indemnities with respect to such claims. Moreover, we cannot assure you that our processes for controlling our use of open source software in our solution will be effective. In any of these events, we and our customers could be required to seek licenses from third parties in order to continue offering our products, to re-engineer our products, or to discontinue the sale of our products in the event re-engineering cannot be accomplished on a timely basis. We and our customers may also be subject to suits by parties claiming infringement, misappropriation or violation due to the reliance by our solutions on certain open source software, and such litigation could be costly for us to defend or subject us to an injunction.</w:t>
      </w:r>
    </w:p>
    <w:p>
      <w:pPr>
        <w:spacing w:after="0" w:line="13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Some open source projects provided on an “as-is” basis have known vulnerabilities and architectural instabilities which, if used in our product and not properly addressed, could negatively affect the security or performance of our product. Any of the foregoing could require us to devote additional research and development resources to re-engineer our solutions, could result in customer dissatisfaction, and may adversely affect our business, financial condition, and results of operations.</w:t>
      </w:r>
    </w:p>
    <w:p>
      <w:pPr>
        <w:spacing w:after="0" w:line="1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Indemnity provisions in various agreements potentially expose us to substantial liability for intellectual property infringement, misappropriation, violation, and other losses.</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Our agreements with customers and other third parties have in some cases included indemnification provisions under which we agree to indemnify them for losses suffered or incurred as a result of claims of intellectual property infringement, misappropriation or violation, damages caused by us to property or persons, or other liabilities relating to or arising from our solution or other contractual obligations. Large indemnity payments could harm our business, financial condition, and results of operations. Pursuant to certain agreements, we do not have a cap on our liability and any payments under such agreements would harm our business, financial condition, and results of operations. Although we normally contractually limit our liability with respect to some of these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5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rely on the availability of licenses to third-party technology that may be difficult to replace or that may cause errors or delay implementation of our solution should we not be able to continue or obtain a commercially reasonable license to such technology.</w:t>
      </w:r>
    </w:p>
    <w:p>
      <w:pPr>
        <w:spacing w:after="0" w:line="1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Our Dot Cloud SaaS platform relies on software or other intellectual property licensed from third parties. It may be necessary in the future to renew licenses relating to various aspects of these solutions or to seek new licenses for existing or new solutions. There can be no assurance that the necessary licenses would be available on commercially acceptable terms, if at all. Third parties may terminate their licenses with us for a variety of reasons, including actual or perceived failures or breaches of contractual commitments, or they may choose not to renew their licenses with us. In addition, we may be subject to liability if third-party software that we license is found to infringe, misappropriate, or otherwise violate intellectual property or privacy rights of others. The loss of, or inability to obtain, certain third-party licenses or other rights or to obtain such licenses or rights on favorable terms, or the need to engage in litigation regarding these matters, could result in product roll-backs or delays in product releases until equivalent technology can be identified, licensed or developed, if at all, and integrated into our solutions, and it may have a material adverse effect on our business, financial condition, and results of operations. Moreover, the use by our solution of software or other intellectual property licensed from third parties on a nonexclusive basis could limit our ability to differentiate our solution from products of our competitors and could inhibit our ability to provide the current level of service to existing customers.</w:t>
      </w:r>
    </w:p>
    <w:p>
      <w:pPr>
        <w:spacing w:after="0" w:line="1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Changes in or the loss of third-party licenses could lead to our solutions becoming inoperable or the performance of our solutions being materially reduced, resulting in the potential need to incur additional research and development costs to ensure continued performance of our solutions or a material increase in the costs of licensing, and we may experience decreased demand for our solutions.</w:t>
      </w: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Being a Public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market price and trading volume of our Common Stock and Public Warrants may be highly volatile and could decline significantly.</w:t>
      </w:r>
    </w:p>
    <w:p>
      <w:pPr>
        <w:spacing w:after="0" w:line="18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Securities markets worldwide experience significant price and volume fluctuations. This market volatility, as well as general economic, market or political conditions, could reduce the market price of our Common Stock and Public Warrants in spite of our operating performance. We cannot assure you that the market price of our Common Stock and Public Warrants will not fluctuate widely or decline significantly in the future in response to a number of factors, including any of the risks presented under this section entitled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or presented elsewhere in this proxy statement/prospectus, and, among others, the following:</w:t>
      </w:r>
    </w:p>
    <w:p>
      <w:pPr>
        <w:spacing w:after="0" w:line="155" w:lineRule="exact"/>
        <w:rPr>
          <w:sz w:val="20"/>
          <w:szCs w:val="20"/>
          <w:color w:val="auto"/>
        </w:rPr>
      </w:pPr>
    </w:p>
    <w:p>
      <w:pPr>
        <w:ind w:left="580" w:hanging="286"/>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operating and financial performance, quarterly or annual earnings relative to similar companies;</w:t>
      </w:r>
    </w:p>
    <w:p>
      <w:pPr>
        <w:spacing w:after="0" w:line="176"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publication of research reports or news stories about the us, our competitors or our industry, or positive or negative recommendations or withdrawal of research coverage by securities analysts;</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public’s reaction to our press-releases, other public announcements and filings with the SEC;</w:t>
      </w:r>
    </w:p>
    <w:p>
      <w:pPr>
        <w:sectPr>
          <w:pgSz w:w="11900" w:h="16840" w:orient="portrait"/>
          <w:cols w:equalWidth="0" w:num="1">
            <w:col w:w="10580"/>
          </w:cols>
          <w:pgMar w:left="660" w:top="733" w:right="660" w:bottom="206" w:gutter="0" w:footer="0" w:header="0"/>
        </w:sectPr>
      </w:pPr>
    </w:p>
    <w:bookmarkStart w:id="24" w:name="page25"/>
    <w:bookmarkEnd w:id="24"/>
    <w:p>
      <w:pPr>
        <w:ind w:left="580" w:hanging="28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or our competitors of acquisitions, business plans or commercial relationships;</w:t>
      </w:r>
    </w:p>
    <w:p>
      <w:pPr>
        <w:spacing w:after="0" w:line="188"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major change in the Board or senior management;</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Common Stock by the Company, our directors, executive officers, principal shareholders;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market reaction to any indebtedness we may incur or securities we may issue in the future;</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 sales, hedging and other derivative transactions in our Common Stock;</w:t>
      </w:r>
    </w:p>
    <w:p>
      <w:pPr>
        <w:spacing w:after="0" w:line="176"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to capital market risks related to changes in interest rates, realized investment losses, credit spreads, equity prices, foreign exchange rates and performance of insurance-linked investments;</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creditworthiness, financial condition, performance and prospects;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dividend policy and whether dividends on our Common Stock have been, and are likely to be, declared and paid from time to time;</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perceptions of the investment opportunity associated with our Common Stock relative to other investment alternatives;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or legal developments;</w:t>
      </w:r>
    </w:p>
    <w:p>
      <w:pPr>
        <w:spacing w:after="0" w:line="176" w:lineRule="exact"/>
        <w:rPr>
          <w:rFonts w:ascii="Times New Roman" w:cs="Times New Roman" w:eastAsia="Times New Roman" w:hAnsi="Times New Roman"/>
          <w:sz w:val="16"/>
          <w:szCs w:val="16"/>
          <w:color w:val="auto"/>
        </w:rPr>
      </w:pPr>
    </w:p>
    <w:p>
      <w:pPr>
        <w:ind w:left="580" w:hanging="286"/>
        <w:spacing w:after="0" w:line="259"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general market, economic, and political conditions, such as inflationary pressures, rising interest rates, potential recession, local and national elections, fuel prices, international currency fluctuations, corruption, political instability and acts of war or terrorism;</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conditions or trends in our industry, geographies or customers;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accounting standards, policies, guidance, interpretations, or principles; and</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threatened or actual litigation or government investigations.</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In addition, broad market and industry factors may negatively affect the market price of our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results of operations or prospects. Any adverse determination in litigation could also subject us to significant liabilities.</w:t>
      </w:r>
    </w:p>
    <w:p>
      <w:pPr>
        <w:spacing w:after="0" w:line="157"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Broad market and industry factors may materially harm the market price of our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following the business combination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management team has limited experience managing a public company.</w:t>
      </w:r>
    </w:p>
    <w:p>
      <w:pPr>
        <w:spacing w:after="0" w:line="18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and financial condition.</w:t>
      </w:r>
    </w:p>
    <w:p>
      <w:pPr>
        <w:spacing w:after="0" w:line="15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reports about our business, if they adversely change their recommendations regarding our shares or if our results of operations do not meet their expectations, our share price and trading volume could decline.</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trading market for our Common Stock will be influenced by the research and reports that industry or securities analysts publish about us or our business. We do not have any control over these analysts. Securities and industry analysts do not currently, and may never, publish research on us. If no securities or industry analysts commence coverage of us, the trading price of our shares would likely be negatively impacted. In the event securities or industry analysts-initiated coverage, and one or more of these analysts cease coverage of us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157"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As a public company, we are subject to additional laws, regulations, and stock exchange listing standards, which impose additional costs on us and may strain our resources and divert our management’s attention.</w:t>
      </w:r>
    </w:p>
    <w:p>
      <w:pPr>
        <w:spacing w:after="0" w:line="13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As a company with publicly traded securities, we are subject to the reporting requirements of the Exchange Act, the Sarbanes-Oxley Act, the Dodd-Frank Wall Street Reform and Consumer Protection Act of 2010, the listing requirements of the Nasdaq and other applicable securities laws and regulations.</w:t>
      </w:r>
    </w:p>
    <w:p>
      <w:pPr>
        <w:spacing w:after="0" w:line="143"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4"/>
          <w:szCs w:val="14"/>
          <w:color w:val="auto"/>
        </w:rPr>
        <w:t>These rules and regulations require that we adopt additional controls and procedures and disclosure, corporate governance and other practices thereby significantly increasing our legal, financial, and other compliance costs. These obligations make other aspects of our business more difficult, time-consuming, or costly and increase demand on our personnel, systems, and other resources. For example, to maintain and improve the effectiveness of our disclosure controls and procedures and internal control over financial reporting, we need to commit significant resources, hire additional staff, and provide additional management oversight. Furthermore, as a result of the disclosure of information in this prospectus and in our Exchange Act and other filings required of a public company, our business and financial condition will become more visible, which we believe may give some of our competitors who may not be similarly required to disclose this type of information a competitive advantage. In addition to these added costs and burdens, if we are unable to satisfy our obligations as a public company, we could be subject to delisting of our Common Stock, fines, sanctions, other regulatory actions, and civil litigation, any of which could negatively affect the price of our Common Stock.</w:t>
      </w:r>
    </w:p>
    <w:p>
      <w:pPr>
        <w:spacing w:after="0" w:line="311"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Our Charter provides that the Court of Chancery of the State of Delaware, or the federal district courts within the State of Delaware if the Court of Chancery does not have jurisdiction, will be the exclusive forum for substantially all disputes between us and our stockholders, which could limit our stockholders’ ability to obtain a favorable judicial forum for disputes with us or our directors, officers, or employees. These exclusive-forum provisions do not apply to claims under the Securities Act or the Exchange Act.</w:t>
      </w:r>
    </w:p>
    <w:p>
      <w:pPr>
        <w:sectPr>
          <w:pgSz w:w="11900" w:h="16840" w:orient="portrait"/>
          <w:cols w:equalWidth="0" w:num="1">
            <w:col w:w="10580"/>
          </w:cols>
          <w:pgMar w:left="660" w:top="557" w:right="660" w:bottom="186" w:gutter="0" w:footer="0" w:header="0"/>
        </w:sectPr>
      </w:pPr>
    </w:p>
    <w:bookmarkStart w:id="25" w:name="page26"/>
    <w:bookmarkEnd w:id="25"/>
    <w:p>
      <w:pPr>
        <w:jc w:val="both"/>
        <w:spacing w:after="0" w:line="273" w:lineRule="auto"/>
        <w:rPr>
          <w:sz w:val="20"/>
          <w:szCs w:val="20"/>
          <w:color w:val="auto"/>
        </w:rPr>
      </w:pPr>
      <w:r>
        <w:rPr>
          <w:rFonts w:ascii="Times New Roman" w:cs="Times New Roman" w:eastAsia="Times New Roman" w:hAnsi="Times New Roman"/>
          <w:sz w:val="14"/>
          <w:szCs w:val="14"/>
          <w:color w:val="auto"/>
        </w:rPr>
        <w:t>Our Charter provides provide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directors, officers, employees or agents or our stockholders, (3) any action asserting a claim against us or any director or officer arising pursuant to any provision of the DGCL, our Charter or Bylaws, or (4) any other action asserting a claim that is governed by the internal affairs doctrine shall be the Court of Chancery of the State of Delaware or federal court located within the State of Delaware if the Court of Chancery does not have jurisdiction, in all cases subject to the court’s having jurisdiction over indispensable parties named as defendants. Section 22 of the Securities Act creates concurrent jurisdiction for federal and state courts over all suits brought to enforce any duty or liability created by the Securities Act, and accordingly, both state and federal courts have jurisdiction to entertain such Securities Act claims. To prevent having to litigate claims in multiple jurisdictions and the threat of inconsistent or contrary rulings by different courts, among other considerations, unless we consent in writing to the selection of an alternate forum, the federal courts will be the exclusive forum for the resolution of any complaint asserting a cause of action arising under the Securities Act. Our Charter does not address or apply to claims that arise under the Exchange Act; however, Section 27 of the Exchange Act creates exclusive federal jurisdiction over all suits brought to enforce any duty or liability created by the Exchange Act or the rules and regulations thereunder. The enforceability of similar choice of forum provisions in other companies’ certificates of incorporation and bylaws has been challenged in legal proceedings, and it is possible that, in connection with any action, a court could find the choice of forum provisions contained in our Charter and Bylaws to be inapplicable or unenforceable in such action.</w:t>
      </w:r>
    </w:p>
    <w:p>
      <w:pPr>
        <w:spacing w:after="0" w:line="200" w:lineRule="exact"/>
        <w:rPr>
          <w:sz w:val="20"/>
          <w:szCs w:val="20"/>
          <w:color w:val="auto"/>
        </w:rPr>
      </w:pP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Charter and Bylaws to be inapplicable or unenforceable in an action, we may incur additional costs associated with resolving such action in other jurisdictions, which could harm our business, financial condition, and operating results.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w:t>
      </w:r>
    </w:p>
    <w:p>
      <w:pPr>
        <w:spacing w:after="0" w:line="157"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 significant portion of our total outstanding shares of Common Stock are restricted from immediate resale but may be sold into the market in the near future. This could cause the market price of our Common Stock to drop significantly, even if our business is doing well.</w:t>
      </w:r>
    </w:p>
    <w:p>
      <w:pPr>
        <w:spacing w:after="0" w:line="13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At the Closing, we entered into the Registration Rights and Lock -Up Agreement with each of SEE ID and certain of the holders party thereto, pursuant to, and on the terms and conditions of which, subject to certain exceptions, such holders shall not transfer or make any announcement of any intention to effect a transfer of any of the equity interests of securities of the Company beneficially owned by the holder during the period ending 180 days following the Closing.</w:t>
      </w:r>
    </w:p>
    <w:p>
      <w:pPr>
        <w:spacing w:after="0" w:line="152"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Following the applicable expiration of the lock-up period, the holders subject to the Registration Rights and Lock-Up Agreement will not be restricted from selling shares of our Common Stock held by them, other than by applicable securities laws. As such,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55"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As restrictions on resale end and registration statements for the sale of shares of Common Stock by the parties to the registration rights agreement are available for use, the sale or possibility of sale of these shares of Common Stock, could have the effect of increasing the volatility in the market price of our Common Stock, or decreasing the market price itself.</w:t>
      </w:r>
    </w:p>
    <w:p>
      <w:pPr>
        <w:spacing w:after="0" w:line="148"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Warrants will become exercisable for Common Stock, which will increase the number of shares eligible for future resale in the public market and result in dilution to our stockholders.</w:t>
      </w:r>
    </w:p>
    <w:p>
      <w:pPr>
        <w:spacing w:after="0" w:line="139"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4"/>
          <w:szCs w:val="14"/>
          <w:color w:val="auto"/>
        </w:rPr>
        <w:t>There are 15,654,983 outstanding Warrants to purchase 15,654,983 shares of Common Stock at an exercise price of $11.50 per share, which Warrants became exercisable 30 days after the completion of the Business Combination. To the extent such Warrants are exercised, additional shares of Common Stock will be issued, which will result in dilution to the holders of our Common Stock and increase the number of shares eligible for resale in the public market. Sales of substantial numbers of such shares of Common Stock in the public market or the fact that such Warrants may be exercised could adversely affect the market price of our Common Stock.</w:t>
      </w:r>
    </w:p>
    <w:p>
      <w:pPr>
        <w:spacing w:after="0" w:line="3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quarterly operating results and other operating metrics may fluctuate from quarter to quarter, which makes these metrics difficult to predict.</w:t>
      </w:r>
    </w:p>
    <w:p>
      <w:pPr>
        <w:spacing w:after="0" w:line="180"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Our quarterly operating results and other operating metrics have fluctuated in the past and may continue to fluctuate from quarter to quarter.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155" w:lineRule="exact"/>
        <w:rPr>
          <w:sz w:val="20"/>
          <w:szCs w:val="20"/>
          <w:color w:val="auto"/>
        </w:rPr>
      </w:pPr>
    </w:p>
    <w:p>
      <w:pPr>
        <w:ind w:left="580" w:hanging="286"/>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and attract new customers;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continued development and upgrading of our technology platform;</w:t>
      </w:r>
    </w:p>
    <w:p>
      <w:pPr>
        <w:spacing w:after="0" w:line="176" w:lineRule="exact"/>
        <w:rPr>
          <w:rFonts w:ascii="Times New Roman" w:cs="Times New Roman" w:eastAsia="Times New Roman" w:hAnsi="Times New Roman"/>
          <w:sz w:val="16"/>
          <w:szCs w:val="16"/>
          <w:color w:val="auto"/>
        </w:rPr>
      </w:pPr>
    </w:p>
    <w:p>
      <w:pPr>
        <w:ind w:left="580" w:right="40" w:hanging="286"/>
        <w:spacing w:after="0" w:line="259" w:lineRule="auto"/>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success of new product, service, feature, and content introductions by us or our competitors or any other change in the competitive landscape of our market;</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pricing pressure as a result of competition or otherwise;</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disruptions in our supply chain;</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errors in our forecasting of the demand for our products and services, which could lead to lower revenue or increased costs, or both;</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marketing, sales, and other operating expenses that we may incur to grow and expand our operations and to remain competitive;</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 expansion into international markets;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diversification and growth of our revenue sources;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gross margins and operating margins;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constraints on the availability of consumer financing or increased down payment requirements to finance purchases of our products;</w:t>
      </w:r>
    </w:p>
    <w:p>
      <w:pPr>
        <w:sectPr>
          <w:pgSz w:w="11900" w:h="16840" w:orient="portrait"/>
          <w:cols w:equalWidth="0" w:num="1">
            <w:col w:w="10600"/>
          </w:cols>
          <w:pgMar w:left="660" w:top="557" w:right="640" w:bottom="206" w:gutter="0" w:footer="0" w:header="0"/>
        </w:sectPr>
      </w:pPr>
    </w:p>
    <w:bookmarkStart w:id="26" w:name="page27"/>
    <w:bookmarkEnd w:id="26"/>
    <w:p>
      <w:pPr>
        <w:ind w:left="580" w:hanging="286"/>
        <w:spacing w:after="0"/>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 failures or breaches of security or privacy;</w:t>
      </w:r>
    </w:p>
    <w:p>
      <w:pPr>
        <w:spacing w:after="0" w:line="188"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litigation judgments, settlements, or other litigation-related costs, including content costs for past use;</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legislative or regulatory environment, including with respect to insurance and consumer product regulations;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currency exchange rates and changes in the proportion of our revenue and expenses denominated in foreign currencies;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effective tax rate;</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accounting standards, policies, guidance, interpretations, or principles; and</w:t>
      </w:r>
    </w:p>
    <w:p>
      <w:pPr>
        <w:spacing w:after="0" w:line="176"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business or macroeconomic conditions, including lower consumer confidence, recessionary conditions, increased unemployment rates, or stagnant or declining wages.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one of the factors above or the cumulative effect of some of the factors above may result in significant fluctuations in our operating results.</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Common Stock could fall substantially, and we could face costly lawsuits, including securities class action suits.</w:t>
      </w: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139"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We are not currently required to comply with the rules of the SEC implementing Section 404 of the Sarbanes-Oxley Act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controls over financial reporting.</w:t>
      </w:r>
    </w:p>
    <w:p>
      <w:pPr>
        <w:spacing w:after="0" w:line="15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Although we will be required to disclose changes made in our internal controls and procedures on a quarterly basis, we will not be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will not be required to formally attest to the effectiveness of our internal control over financial reporting pursuant to Section 404 until the later of (i) the year following our first annual report required to be filed with the SEC or (ii)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16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We could also become subject to investigations by the SEC, the stock exchange on which our securities are listed or other regulatory authorities, which could require additional financial and management resources. In addition, if we fail to remedy any material weakness, our financial statements could be inaccurate, and we could face restricted access to capital markets.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Taking advantage of the reduced disclosure requirements applicable to “emerging growth companies” may make our Common Stock less attractive to investors.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JOBS Act provides that, so long as a company qualifies as an “emerging growth company,” it will, among other things:</w:t>
      </w:r>
    </w:p>
    <w:p>
      <w:pPr>
        <w:spacing w:after="0" w:line="176" w:lineRule="exact"/>
        <w:rPr>
          <w:sz w:val="20"/>
          <w:szCs w:val="20"/>
          <w:color w:val="auto"/>
        </w:rPr>
      </w:pPr>
    </w:p>
    <w:p>
      <w:pPr>
        <w:ind w:left="580" w:right="20" w:hanging="286"/>
        <w:spacing w:after="0" w:line="259" w:lineRule="auto"/>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143"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exempt from the “say on pay” and “say on golden parachute” advisory vote requirements of the Dodd-Frank Wall Street Reform and Consumer Protection Act (the “</w:t>
      </w:r>
      <w:r>
        <w:rPr>
          <w:rFonts w:ascii="Times New Roman" w:cs="Times New Roman" w:eastAsia="Times New Roman" w:hAnsi="Times New Roman"/>
          <w:sz w:val="16"/>
          <w:szCs w:val="16"/>
          <w:b w:val="1"/>
          <w:bCs w:val="1"/>
          <w:i w:val="1"/>
          <w:iCs w:val="1"/>
          <w:color w:val="auto"/>
        </w:rPr>
        <w:t>Dodd-Frank Act</w:t>
      </w:r>
      <w:r>
        <w:rPr>
          <w:rFonts w:ascii="Times New Roman" w:cs="Times New Roman" w:eastAsia="Times New Roman" w:hAnsi="Times New Roman"/>
          <w:sz w:val="16"/>
          <w:szCs w:val="16"/>
          <w:color w:val="auto"/>
        </w:rPr>
        <w:t>”);</w:t>
      </w:r>
    </w:p>
    <w:p>
      <w:pPr>
        <w:spacing w:after="0" w:line="143"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143" w:lineRule="exact"/>
        <w:rPr>
          <w:rFonts w:ascii="Times New Roman" w:cs="Times New Roman" w:eastAsia="Times New Roman" w:hAnsi="Times New Roman"/>
          <w:sz w:val="16"/>
          <w:szCs w:val="16"/>
          <w:color w:val="auto"/>
        </w:rPr>
      </w:pPr>
    </w:p>
    <w:p>
      <w:pPr>
        <w:ind w:left="580" w:hanging="286"/>
        <w:spacing w:after="0" w:line="259" w:lineRule="auto"/>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exempt from any requirement that may be adopted by the PCAOB regarding mandatory audit firm rotation or be required to deliver a supplement to the auditor’s report providing additional information about the audit and the financial statements (i.e., an auditor discussion and analysis).</w:t>
      </w:r>
    </w:p>
    <w:p>
      <w:pPr>
        <w:spacing w:after="0" w:line="14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We currently take advantage of each of the exemptions described above.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 We could be an emerging growth company for up to five years following the effectiveness of the registration statement for the Business Combination, though we may cease to be an emerging growth company earlier if (1) we have more than $1.07 billion in annual gross revenue, (2) we qualify as a “large accelerated filer” as defined in Rule 12b-2 under the Exchange Act, or (3) we issue, in any three-year period, more than $ 1.0 billion in non -convertible debt securities held by non-affiliates. We cannot predict if investors will find our Common Stock less attractive if we elect to rely on these exemptions, or if taking advantage of these exemptions would result in less active trading or more volatility in the price of our Common Stock.</w:t>
      </w: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557" w:right="660" w:bottom="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requirements of being a public company, including maintaining adequate internal control over our financial and management systems, may strain our</w:t>
      </w:r>
    </w:p>
    <w:p>
      <w:pPr>
        <w:sectPr>
          <w:pgSz w:w="11900" w:h="16840" w:orient="portrait"/>
          <w:cols w:equalWidth="0" w:num="1">
            <w:col w:w="10580"/>
          </w:cols>
          <w:pgMar w:left="660" w:top="557" w:right="660" w:bottom="18"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i w:val="1"/>
          <w:iCs w:val="1"/>
          <w:color w:val="auto"/>
        </w:rPr>
        <w:t>resources, divert management’s attention, and affect our ability to attract and retain executive management and qualified board members.</w:t>
      </w:r>
    </w:p>
    <w:p>
      <w:pPr>
        <w:spacing w:after="0" w:line="18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As a public company we incur significant legal, accounting, and other expenses that we did not incur as a private company. We are currently subject to or may become subject to the reporting requirements of the Exchange Act, the Sarbanes-Oxley Act of 2002, or the Sarbanes-Oxley Act, the rules subsequently implemented by the SEC, the rules and regulations of the listing standards of the Nasdaq, and other applicable securities rules and regulations. Compliance with these rules and regulations will likely strain our financial and management systems, internal controls, and employees.</w:t>
      </w:r>
    </w:p>
    <w:p>
      <w:pPr>
        <w:spacing w:after="0" w:line="155"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6"/>
          <w:szCs w:val="16"/>
          <w:color w:val="auto"/>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If we have material weaknesses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spacing w:after="0" w:line="161"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6"/>
          <w:szCs w:val="16"/>
          <w:color w:val="auto"/>
        </w:rPr>
        <w:t>In addition, we will be required to comply with the auditor attestation requirements of Section 404 of the Sarbanes-Oxley Act when we cease to be an emerging growth company. We expect to incur significant expenses and devote substantial management effort toward ensuring compliance with the auditor attestation requirements of Section 404 of the Sarbanes -Oxley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engaged additional resources to assist us in complying with these requirements, our finance team is small and we may need to hire more employees in the future, or engage outside consultants, which will increase our operating expenses.</w:t>
      </w:r>
    </w:p>
    <w:p>
      <w:pPr>
        <w:spacing w:after="0" w:line="161"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These factors could also make it more difficult for us to attract and retain qualified members of the Board and qualified executive officers.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raise capital in the future may be limited.</w:t>
      </w:r>
    </w:p>
    <w:p>
      <w:pPr>
        <w:spacing w:after="0" w:line="18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6"/>
          <w:szCs w:val="16"/>
          <w:color w:val="auto"/>
        </w:rPr>
        <w:t>Our business and operations may consume resources faster than we anticipate. In the future, we may need to raise additional funds through the issuance of new equity securities, debt, or a combination of both. However, the lapse or waiver of any lock up restrictions or any sale or perception of a possible sale by our stockholders, and any related decline in the market price of our Common Stock, could impair our ability to raise capital. Separately, additional financing may not be available on favorable terms, or at all. If adequate funds are not available on acceptable terms, we may be unable to fund our capital requirements. If we issue new debt securities, the debt holders would have rights senior to our Common Stock stockholders to make claims on our assets, and the terms of any debt could restrict our operations, including our ability to pay dividends on our Common Stock. If we issue additional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3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forecasts of market growth and other projections included in this proxy statement/prospectus may prove to be inaccurate, and even if the markets in which we compete achieve the forecasted growth, we cannot assure you that our business will grow at a similar rate, if at all.</w:t>
      </w:r>
    </w:p>
    <w:p>
      <w:pPr>
        <w:spacing w:after="0" w:line="13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Growth forecasts and projections are subject to significant uncertainty and are based on assumptions and estimates that may not prove to be accurate. The forecasts in this proxy statement/prospectus relating to the expected growth in the direct to consumer vehicle and consumer product protection plan market, including estimates based on our own internal survey data, as well as any corresponding projections related to our potential performance, may prove to be inaccurate. Even if the markets experience the forecasted growth described in this proxy statement/prospectus, we may not grow our business at a similar rate,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57"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business and operations could be negatively affected if it becomes subject to any securities litigation or stockholder activism, which could cause us to incur significant expense, hinder execution of business and growth strategy and impact its stock price.</w:t>
      </w:r>
    </w:p>
    <w:p>
      <w:pPr>
        <w:spacing w:after="0" w:line="13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6"/>
          <w:szCs w:val="16"/>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its relationships with service providers and make it more difficult to attract and retain qualified personnel. Also, we may be required to incur significant legal fees and other expenses related to any securities litigation and activist stockholder matters. Further, its stock price could be subject to significant fluctuation or otherwise be adversely affected by the events, risks and uncertainties of any securities litigation and stockholder activism.</w:t>
      </w:r>
    </w:p>
    <w:p>
      <w:pPr>
        <w:spacing w:after="0" w:line="157"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may amend the terms of the Public Warrants in a manner that may be adverse to holders of our Public Warrants with the approval by the holders of at least 50% of the then outstanding Public Warrants. As a result, the exercise price of your warrants could be increased, the exercise period could be shortened and the number of shares of Common Stock purchasable upon exercise of a Public Warrant could be decreased, all without a warrant holder’s approval.</w:t>
      </w:r>
    </w:p>
    <w:p>
      <w:pPr>
        <w:spacing w:after="0" w:line="15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The Public Warrants are issued in registered form under a warrant agreement, which provides that the terms of the Public Warrants may be amended without the consent of any holder to cure any ambiguity or correct any defective provision, and that all other modifications or amendments will require the vote or written consent of the holders of at least 50% of the then outstanding Public Warrants, and, solely with respect to any amendment to the terms of the Private Placement Warrants, a majority of the then outstanding Private Placement Warrants.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Public Warrants, convert the Public Warrants into cash or Common Stock, shorten the exercise period or decrease the number of shares of Common Stock purchasable upon exercise of a Public Warrant.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Your unexpired Public Warrants may be redeemed prior to their exercise at a time that is disadvantageous to you, thereby making your Public Warrants worthless.</w:t>
      </w:r>
    </w:p>
    <w:p>
      <w:pPr>
        <w:spacing w:after="0" w:line="203"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4"/>
          <w:szCs w:val="14"/>
          <w:color w:val="auto"/>
        </w:rPr>
        <w:t>Outstanding Public Warrants may be redeemed at any time after they become exercisable and prior to their expiration, at a price of $ 0.01 per Public Warrant, provided that the last reported sales price of the Common Stock equals or exceeds $18.00 per share for any 20 trading days within a 30 trading-day period ending on the third trading day prior to the date we send the notice of Redemption to the Public Warrantholders. If and when the Public Warrants become redeemable by us, we may not exercise its Redemption Rights if the issuance of shares of Common Stock upon exercise of the Public Warrants is not exempt from registration or qualification under applicable state blue sky laws or we are unable to effect such registration or qualification, subject to our obligation in such case to use our best efforts to register or qualify the shares of Common Stock under the blue sky laws of the state of residence in those states in which the Public Warrants were initially offered. Redemption of the outstanding Public Warrants could force you to (i) exercise your Public Warrants and pay the exercise price at a time when it may be disadvantageous for you to do</w:t>
      </w:r>
    </w:p>
    <w:p>
      <w:pPr>
        <w:sectPr>
          <w:pgSz w:w="11900" w:h="16840" w:orient="portrait"/>
          <w:cols w:equalWidth="0" w:num="1">
            <w:col w:w="10600"/>
          </w:cols>
          <w:pgMar w:left="660" w:top="553" w:right="640" w:bottom="0" w:gutter="0" w:footer="0" w:header="0"/>
        </w:sectPr>
      </w:pPr>
    </w:p>
    <w:bookmarkStart w:id="28" w:name="page29"/>
    <w:bookmarkEnd w:id="28"/>
    <w:p>
      <w:pPr>
        <w:jc w:val="both"/>
        <w:spacing w:after="0" w:line="247" w:lineRule="auto"/>
        <w:rPr>
          <w:sz w:val="20"/>
          <w:szCs w:val="20"/>
          <w:color w:val="auto"/>
        </w:rPr>
      </w:pPr>
      <w:r>
        <w:rPr>
          <w:rFonts w:ascii="Times New Roman" w:cs="Times New Roman" w:eastAsia="Times New Roman" w:hAnsi="Times New Roman"/>
          <w:sz w:val="16"/>
          <w:szCs w:val="16"/>
          <w:color w:val="auto"/>
        </w:rPr>
        <w:t>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Public Warrants. None of the Private Placement Warrants will be redeemable by us so long as they are held by their initial purchasers or their permitted transferees.</w:t>
      </w: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not selling any securities under this prospectus and we will not receive any proceeds from the sale of securities by the Selling Securityholders.</w:t>
      </w:r>
    </w:p>
    <w:p>
      <w:pPr>
        <w:spacing w:after="0" w:line="176"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Assuming the exercise of all outstanding Public Warrants for cash, we will receive an aggregate of approximately $ 172,499,805 but will not receive any proceeds from the sale of the shares of Common Stock issuable upon such exercise. We expect to use the net proceeds from the exercise of the Public Warrants, if any, for general corporate purposes. We will have broad discretion over the use of any proceeds from the exercise of the Public Warrants. There is no assurance that the holders of the Public Warrants will elect to exercise for cash any or all of such Public Warrants. To the extent that any Public Warrants are exercised on a “cashless basis,” the amount of cash we would receive from the exercise of the Public Warrants will decrease.</w:t>
      </w:r>
    </w:p>
    <w:p>
      <w:pPr>
        <w:spacing w:after="0" w:line="1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DETERMINATION OF OFFERING PRICE</w:t>
      </w:r>
    </w:p>
    <w:p>
      <w:pPr>
        <w:spacing w:after="0" w:line="178"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The offering price of the shares of Common Stock underlying the Public Warrants offered hereby is determined by reference to the exercise price of the Warrants of $11.50 per share. The Public Warrants are listed on the Nasdaq under the symbol “DAICW.”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cannot currently determine the price or prices at which shares of our Common Stock or Warrants may be sold by the Selling Securityholders under this prospectus.</w:t>
      </w: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MARKET INFORMATION FOR SECURITIES AND DIVIDEND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Information</w:t>
      </w:r>
    </w:p>
    <w:p>
      <w:pPr>
        <w:spacing w:after="0" w:line="17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Our Common Stock and Warrants are currently listed on the Nasdaq under the symbols “DAIC” and “DAICW,” respectively. Prior to the consummation of the Business Combination, SUAC’s Common Stock and warrants were listed on the Markets Group, Inc. stock exchange under the symbols “SUAC” and “SUAC.WS,” respectively. As of September 18, 2025, there were 27,636,939 shares of Common Stock issued and outstanding held of record by 284 holders, and warrants to purchase an aggregate of 15,654,983 shares of Common Stock outstanding held of record by 4 holders.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17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We have not paid any cash dividends on our Common Stock to date. The payment of cash dividends in the future will be dependent upon our revenues and earnings, if any, capital requirements and general financial condition. The payment of any cash dividends will be within the discretion of our Board at such time. In addition, we are not currently contemplating and do not anticipate declaring any stock dividends in the foreseeable future as it is currently expected that available cash resources will be utilized in connection with our ongoing operations and development.</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i w:val="1"/>
          <w:iCs w:val="1"/>
          <w:color w:val="auto"/>
        </w:rPr>
        <w:t>Please read the following discussion and analysis of our financial condition and results of operations together with our consolidated financial statements and related notes included in this filing. Some of the information contained in the following discussion and analysis, including information with respect to our plans and strategy for our business, includes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“Risks Relating to CID HoldCo, Inc.” or included elsewhere in this Report.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These statements, like all statements in this report, speak only as of their date (unless another date is indicated), and we undertake no obligation to update or revise these statements in light of future developments.</w:t>
      </w:r>
    </w:p>
    <w:p>
      <w:pPr>
        <w:spacing w:after="0" w:line="16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i w:val="1"/>
          <w:iCs w:val="1"/>
          <w:color w:val="auto"/>
        </w:rPr>
        <w:t>This section generally discusses our financial condition and results of operations for fiscal years 2023 and 2024, and year- to-year comparisons between Q2 results in 2024 and 2025 in accordance with U.S. Generally Accepted Accounting Principles (“GAAP”). A discussion of our financial condition and results of operations and our liquidity and capital resources for fiscal year 2024, and year -to -year comparisons between fiscal years 2023 and 2024 can be found under the heading “Management’s Discussion and Analysis of Financial Condition and Results of Operations” for the fiscal year ended December 31, 2024 and for the three and six months ended June 30,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CID Holdco, Inc. (the “Company”, “CID” or “CID Holdco”), formerly known as SEE ID Inc, dba Dot AI (the “Legacy Company” or “SEE ID”), was incorporated in</w:t>
      </w:r>
    </w:p>
    <w:p>
      <w:pPr>
        <w:sectPr>
          <w:pgSz w:w="11900" w:h="16840" w:orient="portrait"/>
          <w:cols w:equalWidth="0" w:num="1">
            <w:col w:w="10580"/>
          </w:cols>
          <w:pgMar w:left="660" w:top="557" w:right="660" w:bottom="205" w:gutter="0" w:footer="0" w:header="0"/>
        </w:sectPr>
      </w:pPr>
    </w:p>
    <w:bookmarkStart w:id="29" w:name="page30"/>
    <w:bookmarkEnd w:id="29"/>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Delaware with the headquarters in Las Vegas, Nevada. CID helps businesses digitally transform their operations using IoT and AI technology. With significant innovations in radio frequency networking, use of vision system overlays and a cloud -based AI engine, the Company offers a differentiated asset tracking and workflow management solutions for industrial enterprises. Through its technological solutions, CID serves multiple industries including aviation, construction, delivery, military, mining, retail, seaports, medical logistics, warehousing and manufacturing.</w:t>
      </w:r>
    </w:p>
    <w:p>
      <w:pPr>
        <w:spacing w:after="0" w:line="155"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We are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(“DFM”) capability is built around our CTO in Worcester, MA and our core software team is in Bangalore, India.</w:t>
      </w:r>
    </w:p>
    <w:p>
      <w:pPr>
        <w:spacing w:after="0" w:line="152"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4"/>
          <w:szCs w:val="14"/>
          <w:color w:val="auto"/>
        </w:rPr>
        <w:t>Throughout the notes to the condensed consolidated financial statements, unless otherwise noted or otherwise suggested by context, the “Company”, “we”, “us”, “our” refers to the Legacy Company prior to the consummation of the Business Combination, and the Company after the consummation of the Business Combination.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Combination</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On June 18, 2025 (the “Closing Date”) the Company consummated the Business Combination transactions by and among the Company, ShoulderUp Technology Acquisition Corp (“SUAC” or “ShoulderUp”),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In connection with the Business Combination, CID Holdco filed a registration statement on Form S- 4 (File No. 333 -282600) (as amended, the “Registration Statement”) with the U.S. Securities and Exchange Commission (the “SEC”). On June 18, 2025, the Registration Statement was declared effective by the SEC. At Closing, the assets and liabilities of Legacy Company were combined with the assets and liabilities ShoulderUp Technology Acquisition Corp on a historical cost basis. All Legacy Company common stock was exchanged for common stock of the Company based upon the exchange ratio as defined in the Business Combination Agreement as Aggregate Merger Consideration (13,000,000 CID Holdco shares) divided by the Company Fully Diluted Common Stock (160,015,641) or 8.124% Stock options of Legacy Company were not exercised and remain outstanding after giving into effect the exchange ratio. In connection with the Business Combination, we incurred transaction costs, settled certain SUAC related party notes through the issuance of common shares, converted SAFE notes into common stock of the Company, and raised cash proceeds from PIPE investors. Additional information regarding the Business Combination and Reverse Recapitalization is provided in Note 4 to the unaudited condensed consolidated financial statements for the three and six months ended June 30,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Factors Affecting Our Performance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Acquiring New Customers</w:t>
      </w:r>
    </w:p>
    <w:p>
      <w:pPr>
        <w:spacing w:after="0" w:line="18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We believe that we have a substantial opportunity to grow our customer base. We intend to drive new customer acquisition by continuing to invest significantly in sales and marketing to engage our prospective customers, increase brand awareness, and drive adoption of our Dot Cloud platform. Our ability to attract new customers depends on a number of factors, including the effectiveness of our sales and marketing efforts, macroeconomic factors and their impact on our customers’ businesses, and the success of our efforts to expand internationally.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Expanding Within Our Existing Customer Base</w:t>
      </w:r>
    </w:p>
    <w:p>
      <w:pPr>
        <w:spacing w:after="0" w:line="18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We believe that there is a significant opportunity to expand sales to existing customers following their initial adoption of our Dot Cloud. We will expand our customer base by selling more applications and expanding use of existing applications across geographies and divisions. Our ability to expand within our customer base will depend on a number of factors, including our customers’ satisfaction, pricing, competition, macroeconomic factors, and changes in our customers’ spending levels. While there are many factors involved in this expansion, the Customer Success department will be the key internal driver to retention and expansion of customer revenue. At this juncture, it is not a significant part of our operational expense but will be built out as our bookings increase and our channel support requirements come online.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 in Innovation and Future Growth</w:t>
      </w:r>
    </w:p>
    <w:p>
      <w:pPr>
        <w:spacing w:after="0" w:line="18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Our market leadership is supported by continuous innovation in our Dot Cloud, our inventions in IoT data collection and our advances in applying AI to our customer problem sets. We continuously invest in adding new applications and methods to our solution. As such, spending on research and development will always be an important part of our strategy.</w:t>
      </w:r>
    </w:p>
    <w:p>
      <w:pPr>
        <w:spacing w:after="0" w:line="15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However, the driving force that will fuel our company is market growth. Our recent pivot to move most of our spending to Sales and Marketing shows a commitment to our go-to-market strategy. We recognize the need to grow adoption and expand brand awareness as we rise in the space. This fiscal year is a critical period to add productive resources to ensure success is sustained.</w:t>
      </w:r>
    </w:p>
    <w:p>
      <w:pPr>
        <w:spacing w:after="0" w:line="15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Adding additional compliance and oversight resources as we grow and especially as we make a public offering, is a natural and essential step. In addition, our small operations team will continue to grow as the demand increases from our maturing sales pipeline.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We will provide access to our Dot Cloud through subscription arrangements, where the customer is charged a per-subscription fee for access for a specified term. Subscription agreements will contain multiple service elements for one or more of our cloud-based Applications via mobile app(s) or a website that enable data collection and provide access to the cellular network, IoT devices (which we also refer to as connected devices), and support services delivered over the term of the arrangement. Our subscription contracts will typically have an initial term of three to five years and are generally non-cancellable and non-refundable, subject to limited exceptions under our standard terms of service and other exceptions for public sector customers, who are often subject to annual budget appropriations cycles. Our Connected Dot Cloud and IoT devices are highly integrated with the subscription service and together will represent a single performance obligation. Revenues attributable to this combined performance obligation are recognized over time as the services are delivered.</w:t>
      </w: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557" w:right="660" w:bottom="746" w:gutter="0" w:footer="0" w:header="0"/>
        </w:sectPr>
      </w:pPr>
    </w:p>
    <w:bookmarkStart w:id="30" w:name="page31"/>
    <w:bookmarkEnd w:id="30"/>
    <w:p>
      <w:pPr>
        <w:jc w:val="both"/>
        <w:spacing w:after="0" w:line="247" w:lineRule="auto"/>
        <w:rPr>
          <w:sz w:val="20"/>
          <w:szCs w:val="20"/>
          <w:color w:val="auto"/>
        </w:rPr>
      </w:pPr>
      <w:r>
        <w:rPr>
          <w:rFonts w:ascii="Times New Roman" w:cs="Times New Roman" w:eastAsia="Times New Roman" w:hAnsi="Times New Roman"/>
          <w:sz w:val="16"/>
          <w:szCs w:val="16"/>
          <w:color w:val="auto"/>
        </w:rPr>
        <w:t>We also provide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spacing w:after="0" w:line="15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Currently, revenues are primarily related to the delivery of feasibility study reports to customers seeking to gain insight into how data driven tracking could improve their business, which is recognized upon acceptance of the feasibility report.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Allocation of Overhead Costs</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Overhead costs that are not substantially dedicated for use by a specific functional group are allocated based on headcount. Such costs include costs associated with office facilities, depreciation of property and equipment, IT and security expenses, and other expenses, such as corporate software, subscription services, and insurance. Manufacturing overheads are allocated to production based on volume.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Sales</w:t>
      </w:r>
    </w:p>
    <w:p>
      <w:pPr>
        <w:spacing w:after="0" w:line="18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Cost of sales will consists primarily of cellular-related costs, third-party cloud infrastructure expenses, customer support costs, warranty charges, employee-related costs directly associated with our customer support and operations, including salaries, employee benefits and stock-based compensation, amortization of internal-use software development, certain cloud computing implementation costs, expenses related to shipping and handling, packaging, fulfillment, warehousing, write-downs of excess and obsolete inventory, and allocated overhead costs.</w:t>
      </w:r>
    </w:p>
    <w:p>
      <w:pPr>
        <w:spacing w:after="0" w:line="155"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As our customers expand and increase, the use of our Dot Cloud driven by additional IoT devices and Applications, our cost of revenue may vary from quarter to quarter as a percentage of our revenue due to the timing and extent of these expenses. We intend to continue to invest additional resources in our Dot Cloud and customer support and operations personnel as we grow our business. The level and timing of investment in these areas will affect our cost of revenue in the future.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Research and development expenses consist primarily of employee-related costs, including salaries, employee benefits and stock-based compensation, depreciation and other expenses related to prototyping IoT devices, product initiatives, software subscriptions, hosting used in research and development, and allocated overhead costs. We continue to focus our research and development efforts on adding new features and products and enhancing the utility of our Dot Cloud. We capitalize the portion of our internal-use software development costs that meets the criteria for capitalization. We expect our research and development expenses to generally increase in absolute dollars for the foreseeable future as we continue to invest in research and development efforts to enhance our Dot Cloud. Our research and development expenses may fluctuate as a percentage of our revenue from period to period due to the timing and extent of these expenses.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Sales and marketing</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Sales and marketing expenses consist primarily of employee-related costs directly associated with our sales and marketing activities, including salaries, employee benefits and stock -based compensation, and sales commissions. Sales and marketing expenses also include expenditures related to advertising, media, marketing, promotional costs, free trial expenses, brand awareness activities, business development, corporate partnerships, travel, conferences and events, professional services, and allocated overhead costs. We also have a heavy reliance on contracted services in these areas which are reflected in the department spend. We plan to continue to invest in sales and marketing to grow our customer base and increase our brand awareness. As a result, we expect our sales and marketing expenses to increase in absolute dollars for the foreseeable future. Our sales and marketing expenses may fluctuate as a percentage of our revenue from period to period due to the timing and extent of these expenses.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w:t>
      </w:r>
    </w:p>
    <w:p>
      <w:pPr>
        <w:spacing w:after="0" w:line="18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General and administrative expenses consist of employee-related costs for executive, finance, legal, human resources, facilities, and certain IT personnel, including salaries, employee benefits and stock- based compensation, professional fees for external legal, accounting, recruiting and other consulting services, bad debt, allocated overhead costs, and unallocated lease costs. We expect our general and administrative expenses to continue to increase in absolute dollars for the foreseeable future to support our growth and because of additional costs associated with legal, accounting, compliance, insurance, investor relations, and other areas associated with being a public company. Our general and administrative expenses may fluctuate as a percentage of our revenue from period to period due to the timing and extent of these expenses.</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 consists primarily of interest incurred for our short term bridge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 in fair value of SAFE agreements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change in the fair value of SAFE agreements represents the unrealized gains or losses resulting from the fluctuations in the estimated value of the outstanding SAFE agreements, or reevaluation of updated market conditions and company-specific factors.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 costs expensed</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Company accounts for transaction costs incurred in connection with the Business Combination that occurred in June 2025, and therefore transaction costs expensed were not a component of our results of operations during 2024. Costs that are directly attributable to the issuance of equity instruments, such as legal, accounting, and advisory fees related to the merger and recapitalization, are recorded as a reduction to additional paid-in capital.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Loss from extinguishment of debt</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Prior to the Closing of the Business Combination, one lender elected to convert a portion of its outstanding principal and accrued interest into shares of Common Stock. In connection with the bridge loan conversion, the Company derecognized the liability, issued shares of Common Stock and recognized a loss on debt extinguishment, based on the fair value of the Common Stock at the date of Closing.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Three and Six Months Ended June 30, 2025 and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 Cost of Revenue, Gross Profit, and Gross Margin</w:t>
      </w:r>
    </w:p>
    <w:p>
      <w:pPr>
        <w:sectPr>
          <w:pgSz w:w="11900" w:h="16840" w:orient="portrait"/>
          <w:cols w:equalWidth="0" w:num="1">
            <w:col w:w="10580"/>
          </w:cols>
          <w:pgMar w:left="660" w:top="557" w:right="660" w:bottom="22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color w:val="auto"/>
        </w:rPr>
        <w:t>Our total revenue, cost of revenue, gross profit, and gross margin for the three and six months ended June 30, 2025 and 2024 are summarized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9"/>
        </w:trPr>
        <w:tc>
          <w:tcPr>
            <w:tcW w:w="5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54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80" w:type="dxa"/>
            <w:vAlign w:val="bottom"/>
            <w:tcBorders>
              <w:bottom w:val="single" w:sz="8" w:color="CCEEFF"/>
            </w:tcBorders>
          </w:tcPr>
          <w:p>
            <w:pPr>
              <w:spacing w:after="0"/>
              <w:rPr>
                <w:sz w:val="17"/>
                <w:szCs w:val="17"/>
                <w:color w:val="auto"/>
              </w:rPr>
            </w:pPr>
          </w:p>
        </w:tc>
      </w:tr>
      <w:tr>
        <w:trPr>
          <w:trHeight w:val="180"/>
        </w:trPr>
        <w:tc>
          <w:tcPr>
            <w:tcW w:w="5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126,833</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23,442</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103,391</w:t>
            </w:r>
          </w:p>
        </w:tc>
        <w:tc>
          <w:tcPr>
            <w:tcW w:w="2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441.1%</w:t>
            </w:r>
          </w:p>
        </w:tc>
      </w:tr>
      <w:tr>
        <w:trPr>
          <w:trHeight w:val="196"/>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67,194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6,442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60,752</w:t>
            </w:r>
          </w:p>
        </w:tc>
        <w:tc>
          <w:tcPr>
            <w:tcW w:w="2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943.1%</w:t>
            </w:r>
          </w:p>
        </w:tc>
      </w:tr>
      <w:tr>
        <w:trPr>
          <w:trHeight w:val="200"/>
        </w:trPr>
        <w:tc>
          <w:tcPr>
            <w:tcW w:w="548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Gross (loss) profit</w:t>
            </w:r>
          </w:p>
        </w:tc>
        <w:tc>
          <w:tcPr>
            <w:tcW w:w="160" w:type="dxa"/>
            <w:vAlign w:val="bottom"/>
            <w:tcBorders>
              <w:top w:val="single" w:sz="8" w:color="auto"/>
              <w:bottom w:val="single" w:sz="8" w:color="auto"/>
            </w:tcBorders>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59,639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17,000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42,639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250.8</w:t>
            </w:r>
          </w:p>
        </w:tc>
        <w:tc>
          <w:tcPr>
            <w:tcW w:w="180" w:type="dxa"/>
            <w:vAlign w:val="bottom"/>
            <w:tcBorders>
              <w:top w:val="single" w:sz="8" w:color="CCEEFF"/>
              <w:bottom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89"/>
              </w:rPr>
              <w:t>%</w:t>
            </w:r>
          </w:p>
        </w:tc>
      </w:tr>
      <w:tr>
        <w:trPr>
          <w:trHeight w:val="168"/>
        </w:trPr>
        <w:tc>
          <w:tcPr>
            <w:tcW w:w="548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Gross margin %</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47.0</w:t>
            </w:r>
          </w:p>
        </w:tc>
        <w:tc>
          <w:tcPr>
            <w:tcW w:w="240" w:type="dxa"/>
            <w:vAlign w:val="bottom"/>
          </w:tcPr>
          <w:p>
            <w:pPr>
              <w:jc w:val="right"/>
              <w:ind w:right="22"/>
              <w:spacing w:after="0" w:line="165" w:lineRule="exact"/>
              <w:rPr>
                <w:sz w:val="20"/>
                <w:szCs w:val="20"/>
                <w:color w:val="auto"/>
              </w:rPr>
            </w:pPr>
            <w:r>
              <w:rPr>
                <w:rFonts w:ascii="Times New Roman" w:cs="Times New Roman" w:eastAsia="Times New Roman" w:hAnsi="Times New Roman"/>
                <w:sz w:val="16"/>
                <w:szCs w:val="16"/>
                <w:color w:val="auto"/>
                <w:w w:val="89"/>
              </w:rPr>
              <w:t>%</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72.5</w:t>
            </w:r>
          </w:p>
        </w:tc>
        <w:tc>
          <w:tcPr>
            <w:tcW w:w="1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(25.5</w:t>
            </w:r>
          </w:p>
        </w:tc>
        <w:tc>
          <w:tcPr>
            <w:tcW w:w="280" w:type="dxa"/>
            <w:vAlign w:val="bottom"/>
          </w:tcPr>
          <w:p>
            <w:pPr>
              <w:jc w:val="right"/>
              <w:ind w:right="22"/>
              <w:spacing w:after="0" w:line="165" w:lineRule="exact"/>
              <w:rPr>
                <w:sz w:val="20"/>
                <w:szCs w:val="20"/>
                <w:color w:val="auto"/>
              </w:rPr>
            </w:pPr>
            <w:r>
              <w:rPr>
                <w:rFonts w:ascii="Times New Roman" w:cs="Times New Roman" w:eastAsia="Times New Roman" w:hAnsi="Times New Roman"/>
                <w:sz w:val="16"/>
                <w:szCs w:val="16"/>
                <w:color w:val="auto"/>
                <w:w w:val="85"/>
              </w:rPr>
              <w:t>)%</w:t>
            </w:r>
          </w:p>
        </w:tc>
        <w:tc>
          <w:tcPr>
            <w:tcW w:w="10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(35.2</w:t>
            </w:r>
          </w:p>
        </w:tc>
        <w:tc>
          <w:tcPr>
            <w:tcW w:w="1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w w:val="85"/>
              </w:rPr>
              <w:t>)%</w:t>
            </w: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5"/>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9"/>
        </w:trPr>
        <w:tc>
          <w:tcPr>
            <w:tcW w:w="5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54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80" w:type="dxa"/>
            <w:vAlign w:val="bottom"/>
            <w:tcBorders>
              <w:bottom w:val="single" w:sz="8" w:color="CCEEFF"/>
            </w:tcBorders>
          </w:tcPr>
          <w:p>
            <w:pPr>
              <w:spacing w:after="0"/>
              <w:rPr>
                <w:sz w:val="17"/>
                <w:szCs w:val="17"/>
                <w:color w:val="auto"/>
              </w:rPr>
            </w:pPr>
          </w:p>
        </w:tc>
      </w:tr>
      <w:tr>
        <w:trPr>
          <w:trHeight w:val="180"/>
        </w:trPr>
        <w:tc>
          <w:tcPr>
            <w:tcW w:w="5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479,331</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101,995</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377,336</w:t>
            </w:r>
          </w:p>
        </w:tc>
        <w:tc>
          <w:tcPr>
            <w:tcW w:w="2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370.0%</w:t>
            </w:r>
          </w:p>
        </w:tc>
      </w:tr>
      <w:tr>
        <w:trPr>
          <w:trHeight w:val="196"/>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84,272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74,263</w:t>
            </w:r>
          </w:p>
        </w:tc>
        <w:tc>
          <w:tcPr>
            <w:tcW w:w="2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742.0%</w:t>
            </w:r>
          </w:p>
        </w:tc>
      </w:tr>
      <w:tr>
        <w:trPr>
          <w:trHeight w:val="200"/>
        </w:trPr>
        <w:tc>
          <w:tcPr>
            <w:tcW w:w="548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Gross (loss) profit</w:t>
            </w:r>
          </w:p>
        </w:tc>
        <w:tc>
          <w:tcPr>
            <w:tcW w:w="200" w:type="dxa"/>
            <w:vAlign w:val="bottom"/>
            <w:tcBorders>
              <w:top w:val="single" w:sz="8" w:color="auto"/>
              <w:bottom w:val="single" w:sz="8" w:color="auto"/>
            </w:tcBorders>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395,059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91,986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303,073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329.5</w:t>
            </w:r>
          </w:p>
        </w:tc>
        <w:tc>
          <w:tcPr>
            <w:tcW w:w="180" w:type="dxa"/>
            <w:vAlign w:val="bottom"/>
            <w:tcBorders>
              <w:top w:val="single" w:sz="8" w:color="CCEEFF"/>
              <w:bottom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89"/>
              </w:rPr>
              <w:t>%</w:t>
            </w:r>
          </w:p>
        </w:tc>
      </w:tr>
      <w:tr>
        <w:trPr>
          <w:trHeight w:val="168"/>
        </w:trPr>
        <w:tc>
          <w:tcPr>
            <w:tcW w:w="548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Gross margin %</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82.4</w:t>
            </w:r>
          </w:p>
        </w:tc>
        <w:tc>
          <w:tcPr>
            <w:tcW w:w="240" w:type="dxa"/>
            <w:vAlign w:val="bottom"/>
          </w:tcPr>
          <w:p>
            <w:pPr>
              <w:jc w:val="right"/>
              <w:ind w:right="22"/>
              <w:spacing w:after="0" w:line="165" w:lineRule="exact"/>
              <w:rPr>
                <w:sz w:val="20"/>
                <w:szCs w:val="20"/>
                <w:color w:val="auto"/>
              </w:rPr>
            </w:pPr>
            <w:r>
              <w:rPr>
                <w:rFonts w:ascii="Times New Roman" w:cs="Times New Roman" w:eastAsia="Times New Roman" w:hAnsi="Times New Roman"/>
                <w:sz w:val="16"/>
                <w:szCs w:val="16"/>
                <w:color w:val="auto"/>
                <w:w w:val="89"/>
              </w:rPr>
              <w:t>%</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90.2</w:t>
            </w:r>
          </w:p>
        </w:tc>
        <w:tc>
          <w:tcPr>
            <w:tcW w:w="1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(7.8</w:t>
            </w:r>
          </w:p>
        </w:tc>
        <w:tc>
          <w:tcPr>
            <w:tcW w:w="280" w:type="dxa"/>
            <w:vAlign w:val="bottom"/>
          </w:tcPr>
          <w:p>
            <w:pPr>
              <w:jc w:val="right"/>
              <w:ind w:right="22"/>
              <w:spacing w:after="0" w:line="165" w:lineRule="exact"/>
              <w:rPr>
                <w:sz w:val="20"/>
                <w:szCs w:val="20"/>
                <w:color w:val="auto"/>
              </w:rPr>
            </w:pPr>
            <w:r>
              <w:rPr>
                <w:rFonts w:ascii="Times New Roman" w:cs="Times New Roman" w:eastAsia="Times New Roman" w:hAnsi="Times New Roman"/>
                <w:sz w:val="16"/>
                <w:szCs w:val="16"/>
                <w:color w:val="auto"/>
                <w:w w:val="85"/>
              </w:rPr>
              <w:t>)%</w:t>
            </w:r>
          </w:p>
        </w:tc>
        <w:tc>
          <w:tcPr>
            <w:tcW w:w="10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(8.6</w:t>
            </w:r>
          </w:p>
        </w:tc>
        <w:tc>
          <w:tcPr>
            <w:tcW w:w="1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w w:val="85"/>
              </w:rPr>
              <w:t>)%</w:t>
            </w:r>
          </w:p>
        </w:tc>
      </w:tr>
    </w:tbl>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Revenue increased by $103,391, or 441.1%, for the three months ended June 30, 2025 compared to the three months ended June 30, 2024 and $377,336, or 370.0% for the six months ended June 30, 2025 compared to the six months ended June 30, 2024. The increase in revenue is primarily due to an increase in feasibility studies to new and existing customers.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Cost of goods sold increased by $60,752, or 943.1%, for the three months ended June 30, 2025 compared to the three months ended June 30, 2024. Cost of goods sold increased $74,263 or 742.0% for the six months ended June 30, 2025 compared to the six months ended June 30, 2024. The increases are primarily due to additional warehouse expenditure related to the new Puerto Rico lease and increased tariffs on imported raw materials.</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Our gross margin was 47.0% for the three months ended June 30, 2025 compared to 72.5% for the three months ended June 30, 2024 and 82.4% for the six months ended June 30, 2025 compared to 90.2% for the six months ended June 30, 2024. The decrease in gross margin is primarily due to additional warehouse expenditure related to the new Puerto Rico lease and increased tariffs on imported raw materials.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expenses for the three and six months ended June 30, 2025 and 2024 is summarized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5"/>
          </w:tcPr>
          <w:p>
            <w:pPr>
              <w:jc w:val="center"/>
              <w:ind w:right="302"/>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9"/>
        </w:trPr>
        <w:tc>
          <w:tcPr>
            <w:tcW w:w="5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left="542"/>
              <w:spacing w:after="0"/>
              <w:rPr>
                <w:sz w:val="20"/>
                <w:szCs w:val="20"/>
                <w:color w:val="auto"/>
              </w:rPr>
            </w:pPr>
            <w:r>
              <w:rPr>
                <w:rFonts w:ascii="Times New Roman" w:cs="Times New Roman" w:eastAsia="Times New Roman" w:hAnsi="Times New Roman"/>
                <w:sz w:val="16"/>
                <w:szCs w:val="16"/>
                <w:b w:val="1"/>
                <w:bCs w:val="1"/>
                <w:color w:val="auto"/>
                <w:w w:val="94"/>
              </w:rPr>
              <w:t>June 30,</w:t>
            </w:r>
          </w:p>
        </w:tc>
        <w:tc>
          <w:tcPr>
            <w:tcW w:w="7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6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0"/>
        </w:trPr>
        <w:tc>
          <w:tcPr>
            <w:tcW w:w="562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181,641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152,467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29,174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19.1</w:t>
            </w:r>
          </w:p>
        </w:tc>
        <w:tc>
          <w:tcPr>
            <w:tcW w:w="120" w:type="dxa"/>
            <w:vAlign w:val="bottom"/>
            <w:tcBorders>
              <w:top w:val="single" w:sz="8" w:color="CCEEFF"/>
              <w:bottom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r>
      <w:tr>
        <w:trPr>
          <w:trHeight w:val="180"/>
        </w:trPr>
        <w:tc>
          <w:tcPr>
            <w:tcW w:w="56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Percentage of revenue</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143.2</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73"/>
              </w:rPr>
              <w:t>%</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650.4</w:t>
            </w:r>
          </w:p>
        </w:tc>
        <w:tc>
          <w:tcPr>
            <w:tcW w:w="240" w:type="dxa"/>
            <w:vAlign w:val="bottom"/>
          </w:tcPr>
          <w:p>
            <w:pPr>
              <w:jc w:val="right"/>
              <w:ind w:right="22"/>
              <w:spacing w:after="0" w:line="176" w:lineRule="exact"/>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45"/>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jc w:val="center"/>
              <w:ind w:right="302"/>
              <w:spacing w:after="0"/>
              <w:rPr>
                <w:sz w:val="20"/>
                <w:szCs w:val="20"/>
                <w:color w:val="auto"/>
              </w:rPr>
            </w:pPr>
            <w:r>
              <w:rPr>
                <w:rFonts w:ascii="Times New Roman" w:cs="Times New Roman" w:eastAsia="Times New Roman" w:hAnsi="Times New Roman"/>
                <w:sz w:val="16"/>
                <w:szCs w:val="16"/>
                <w:b w:val="1"/>
                <w:bCs w:val="1"/>
                <w:color w:val="auto"/>
                <w:w w:val="97"/>
              </w:rPr>
              <w:t>For the six months ended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5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left="542"/>
              <w:spacing w:after="0"/>
              <w:rPr>
                <w:sz w:val="20"/>
                <w:szCs w:val="20"/>
                <w:color w:val="auto"/>
              </w:rPr>
            </w:pPr>
            <w:r>
              <w:rPr>
                <w:rFonts w:ascii="Times New Roman" w:cs="Times New Roman" w:eastAsia="Times New Roman" w:hAnsi="Times New Roman"/>
                <w:sz w:val="16"/>
                <w:szCs w:val="16"/>
                <w:b w:val="1"/>
                <w:bCs w:val="1"/>
                <w:color w:val="auto"/>
                <w:w w:val="94"/>
              </w:rPr>
              <w:t>June 30,</w:t>
            </w:r>
          </w:p>
        </w:tc>
        <w:tc>
          <w:tcPr>
            <w:tcW w:w="7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6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0"/>
        </w:trPr>
        <w:tc>
          <w:tcPr>
            <w:tcW w:w="562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575,505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273,313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302,192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110.6</w:t>
            </w:r>
          </w:p>
        </w:tc>
        <w:tc>
          <w:tcPr>
            <w:tcW w:w="120" w:type="dxa"/>
            <w:vAlign w:val="bottom"/>
            <w:tcBorders>
              <w:top w:val="single" w:sz="8" w:color="CCEEFF"/>
              <w:bottom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r>
      <w:tr>
        <w:trPr>
          <w:trHeight w:val="176"/>
        </w:trPr>
        <w:tc>
          <w:tcPr>
            <w:tcW w:w="56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Percentage of revenue</w:t>
            </w:r>
          </w:p>
        </w:tc>
        <w:tc>
          <w:tcPr>
            <w:tcW w:w="1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120.1</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73"/>
              </w:rPr>
              <w:t>%</w:t>
            </w:r>
          </w:p>
        </w:tc>
        <w:tc>
          <w:tcPr>
            <w:tcW w:w="2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268.0</w:t>
            </w:r>
          </w:p>
        </w:tc>
        <w:tc>
          <w:tcPr>
            <w:tcW w:w="240" w:type="dxa"/>
            <w:vAlign w:val="bottom"/>
          </w:tcPr>
          <w:p>
            <w:pPr>
              <w:jc w:val="right"/>
              <w:ind w:right="22"/>
              <w:spacing w:after="0" w:line="176" w:lineRule="exact"/>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4"/>
        </w:trPr>
        <w:tc>
          <w:tcPr>
            <w:tcW w:w="5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1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Research and development expense increased by $29,174, or 19.1%, for the three months ended June 30, 2025 compared to the three months ended June 30, 2024 and by $302,192, or 110.6%, for the six months ended June 30, 2025 compared to the six months ended June 30, 2024. Our spending for research and development reflects growing capacity to satisfy customer feature requests and investing in our technology roadmap. The increases are primarily driven by onboarding of additional software and hardware development contractors.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Sales and marketing expenses for the three and six months ended June 30, 2025 and 2024 is summarized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5"/>
          </w:tcPr>
          <w:p>
            <w:pPr>
              <w:jc w:val="center"/>
              <w:ind w:right="242"/>
              <w:spacing w:after="0"/>
              <w:rPr>
                <w:sz w:val="20"/>
                <w:szCs w:val="20"/>
                <w:color w:val="auto"/>
              </w:rPr>
            </w:pPr>
            <w:r>
              <w:rPr>
                <w:rFonts w:ascii="Times New Roman" w:cs="Times New Roman" w:eastAsia="Times New Roman" w:hAnsi="Times New Roman"/>
                <w:sz w:val="16"/>
                <w:szCs w:val="16"/>
                <w:b w:val="1"/>
                <w:bCs w:val="1"/>
                <w:color w:val="auto"/>
                <w:w w:val="98"/>
              </w:rPr>
              <w:t>For the three months ended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9"/>
        </w:trPr>
        <w:tc>
          <w:tcPr>
            <w:tcW w:w="5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542"/>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7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 w:type="dxa"/>
            <w:vAlign w:val="bottom"/>
          </w:tcPr>
          <w:p>
            <w:pPr>
              <w:spacing w:after="0"/>
              <w:rPr>
                <w:sz w:val="17"/>
                <w:szCs w:val="17"/>
                <w:color w:val="auto"/>
              </w:rPr>
            </w:pPr>
          </w:p>
        </w:tc>
        <w:tc>
          <w:tcPr>
            <w:tcW w:w="116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0"/>
        </w:trPr>
        <w:tc>
          <w:tcPr>
            <w:tcW w:w="5620" w:type="dxa"/>
            <w:vAlign w:val="bottom"/>
            <w:tcBorders>
              <w:top w:val="single" w:sz="8" w:color="CCEEFF"/>
              <w:bottom w:val="single" w:sz="8" w:color="CCEEFF"/>
              <w:right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Sales and marketing</w:t>
            </w: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770,247</w:t>
            </w:r>
          </w:p>
        </w:tc>
        <w:tc>
          <w:tcPr>
            <w:tcW w:w="240" w:type="dxa"/>
            <w:vAlign w:val="bottom"/>
            <w:tcBorders>
              <w:top w:val="single" w:sz="8" w:color="CCEEFF"/>
              <w:left w:val="single" w:sz="8" w:color="CCEEFF"/>
              <w:bottom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730,620</w:t>
            </w:r>
          </w:p>
        </w:tc>
        <w:tc>
          <w:tcPr>
            <w:tcW w:w="18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39,627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top w:val="single" w:sz="8" w:color="CCEEFF"/>
              <w:bottom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r>
      <w:tr>
        <w:trPr>
          <w:trHeight w:val="176"/>
        </w:trPr>
        <w:tc>
          <w:tcPr>
            <w:tcW w:w="56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Percentage of revenue</w:t>
            </w:r>
          </w:p>
        </w:tc>
        <w:tc>
          <w:tcPr>
            <w:tcW w:w="1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607.3</w:t>
            </w:r>
          </w:p>
        </w:tc>
        <w:tc>
          <w:tcPr>
            <w:tcW w:w="240" w:type="dxa"/>
            <w:vAlign w:val="bottom"/>
          </w:tcPr>
          <w:p>
            <w:pPr>
              <w:jc w:val="right"/>
              <w:ind w:right="42"/>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3,116.7</w:t>
            </w:r>
          </w:p>
        </w:tc>
        <w:tc>
          <w:tcPr>
            <w:tcW w:w="1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4"/>
        </w:trPr>
        <w:tc>
          <w:tcPr>
            <w:tcW w:w="56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345"/>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5"/>
          </w:tcPr>
          <w:p>
            <w:pPr>
              <w:jc w:val="center"/>
              <w:ind w:right="222"/>
              <w:spacing w:after="0"/>
              <w:rPr>
                <w:sz w:val="20"/>
                <w:szCs w:val="20"/>
                <w:color w:val="auto"/>
              </w:rPr>
            </w:pPr>
            <w:r>
              <w:rPr>
                <w:rFonts w:ascii="Times New Roman" w:cs="Times New Roman" w:eastAsia="Times New Roman" w:hAnsi="Times New Roman"/>
                <w:sz w:val="16"/>
                <w:szCs w:val="16"/>
                <w:b w:val="1"/>
                <w:bCs w:val="1"/>
                <w:color w:val="auto"/>
                <w:w w:val="97"/>
              </w:rPr>
              <w:t>For the six months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5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562"/>
              <w:spacing w:after="0"/>
              <w:rPr>
                <w:sz w:val="20"/>
                <w:szCs w:val="20"/>
                <w:color w:val="auto"/>
              </w:rPr>
            </w:pPr>
            <w:r>
              <w:rPr>
                <w:rFonts w:ascii="Times New Roman" w:cs="Times New Roman" w:eastAsia="Times New Roman" w:hAnsi="Times New Roman"/>
                <w:sz w:val="16"/>
                <w:szCs w:val="16"/>
                <w:b w:val="1"/>
                <w:bCs w:val="1"/>
                <w:color w:val="auto"/>
                <w:w w:val="94"/>
              </w:rPr>
              <w:t>June 30,</w:t>
            </w:r>
          </w:p>
        </w:tc>
        <w:tc>
          <w:tcPr>
            <w:tcW w:w="7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 w:type="dxa"/>
            <w:vAlign w:val="bottom"/>
          </w:tcPr>
          <w:p>
            <w:pPr>
              <w:spacing w:after="0"/>
              <w:rPr>
                <w:sz w:val="17"/>
                <w:szCs w:val="17"/>
                <w:color w:val="auto"/>
              </w:rPr>
            </w:pPr>
          </w:p>
        </w:tc>
        <w:tc>
          <w:tcPr>
            <w:tcW w:w="116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0"/>
        </w:trPr>
        <w:tc>
          <w:tcPr>
            <w:tcW w:w="5620" w:type="dxa"/>
            <w:vAlign w:val="bottom"/>
            <w:tcBorders>
              <w:top w:val="single" w:sz="8" w:color="CCEEFF"/>
              <w:bottom w:val="single" w:sz="8" w:color="CCEEFF"/>
              <w:right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Sales and marketing</w:t>
            </w: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1,452,996</w:t>
            </w:r>
          </w:p>
        </w:tc>
        <w:tc>
          <w:tcPr>
            <w:tcW w:w="240" w:type="dxa"/>
            <w:vAlign w:val="bottom"/>
            <w:tcBorders>
              <w:top w:val="single" w:sz="8" w:color="CCEEFF"/>
              <w:left w:val="single" w:sz="8" w:color="CCEEFF"/>
              <w:bottom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1,124,586</w:t>
            </w:r>
          </w:p>
        </w:tc>
        <w:tc>
          <w:tcPr>
            <w:tcW w:w="18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328,410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29.2</w:t>
            </w:r>
          </w:p>
        </w:tc>
        <w:tc>
          <w:tcPr>
            <w:tcW w:w="120" w:type="dxa"/>
            <w:vAlign w:val="bottom"/>
            <w:tcBorders>
              <w:top w:val="single" w:sz="8" w:color="CCEEFF"/>
              <w:bottom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r>
      <w:tr>
        <w:trPr>
          <w:trHeight w:val="176"/>
        </w:trPr>
        <w:tc>
          <w:tcPr>
            <w:tcW w:w="56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Percentage of revenue</w:t>
            </w:r>
          </w:p>
        </w:tc>
        <w:tc>
          <w:tcPr>
            <w:tcW w:w="1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303.1</w:t>
            </w:r>
          </w:p>
        </w:tc>
        <w:tc>
          <w:tcPr>
            <w:tcW w:w="240" w:type="dxa"/>
            <w:vAlign w:val="bottom"/>
          </w:tcPr>
          <w:p>
            <w:pPr>
              <w:jc w:val="right"/>
              <w:ind w:right="42"/>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1,102.6</w:t>
            </w:r>
          </w:p>
        </w:tc>
        <w:tc>
          <w:tcPr>
            <w:tcW w:w="1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w w:val="89"/>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4"/>
        </w:trPr>
        <w:tc>
          <w:tcPr>
            <w:tcW w:w="5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1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Sales and marketing expense increased by $ 39,627, or 5.4%, for the three months ended June 30, 2025 compared to the three months ended June 30, 2024 and by $328,410 or 29.2%, for the six months ended June 30, 2025 compared to the six months ended June 30, 2024. Our spending for the three months ended March 31, 2025 reflects our continued pivot towards the market, with sales and marketing spending increasing by $328,410 or 29.2% year over year. We expect to increase this further in the following quarter to take advantage of additional public investment to build this department to drive growth.</w:t>
      </w:r>
    </w:p>
    <w:p>
      <w:pPr>
        <w:spacing w:after="0" w:line="15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increases are primarily driven by the usage of additional modules and users in the customer relationship management software. Customer support labor cost also contributed to the increases.</w:t>
      </w:r>
    </w:p>
    <w:p>
      <w:pPr>
        <w:sectPr>
          <w:pgSz w:w="11900" w:h="16840" w:orient="portrait"/>
          <w:cols w:equalWidth="0" w:num="1">
            <w:col w:w="10580"/>
          </w:cols>
          <w:pgMar w:left="660" w:top="557" w:right="660" w:bottom="497"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60"/>
        </w:trPr>
        <w:tc>
          <w:tcPr>
            <w:tcW w:w="81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General and administrative expense for the three and six months ended June 30, 2025 and 2024 is summarized as follows: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5"/>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jc w:val="center"/>
              <w:ind w:right="302"/>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5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left="542"/>
              <w:spacing w:after="0"/>
              <w:rPr>
                <w:sz w:val="20"/>
                <w:szCs w:val="20"/>
                <w:color w:val="auto"/>
              </w:rPr>
            </w:pPr>
            <w:r>
              <w:rPr>
                <w:rFonts w:ascii="Times New Roman" w:cs="Times New Roman" w:eastAsia="Times New Roman" w:hAnsi="Times New Roman"/>
                <w:sz w:val="16"/>
                <w:szCs w:val="16"/>
                <w:b w:val="1"/>
                <w:bCs w:val="1"/>
                <w:color w:val="auto"/>
                <w:w w:val="94"/>
              </w:rPr>
              <w:t>June 30,</w:t>
            </w:r>
          </w:p>
        </w:tc>
        <w:tc>
          <w:tcPr>
            <w:tcW w:w="7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6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0"/>
        </w:trPr>
        <w:tc>
          <w:tcPr>
            <w:tcW w:w="562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824,204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246,216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577,988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234.7</w:t>
            </w:r>
          </w:p>
        </w:tc>
        <w:tc>
          <w:tcPr>
            <w:tcW w:w="120" w:type="dxa"/>
            <w:vAlign w:val="bottom"/>
            <w:tcBorders>
              <w:top w:val="single" w:sz="8" w:color="CCEEFF"/>
              <w:bottom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r>
      <w:tr>
        <w:trPr>
          <w:trHeight w:val="180"/>
        </w:trPr>
        <w:tc>
          <w:tcPr>
            <w:tcW w:w="56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Percentage of revenue</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649.8</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73"/>
              </w:rPr>
              <w:t>%</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1,050.3</w:t>
            </w:r>
          </w:p>
        </w:tc>
        <w:tc>
          <w:tcPr>
            <w:tcW w:w="240" w:type="dxa"/>
            <w:vAlign w:val="bottom"/>
          </w:tcPr>
          <w:p>
            <w:pPr>
              <w:jc w:val="right"/>
              <w:ind w:right="22"/>
              <w:spacing w:after="0" w:line="176" w:lineRule="exact"/>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45"/>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jc w:val="center"/>
              <w:ind w:right="302"/>
              <w:spacing w:after="0"/>
              <w:rPr>
                <w:sz w:val="20"/>
                <w:szCs w:val="20"/>
                <w:color w:val="auto"/>
              </w:rPr>
            </w:pPr>
            <w:r>
              <w:rPr>
                <w:rFonts w:ascii="Times New Roman" w:cs="Times New Roman" w:eastAsia="Times New Roman" w:hAnsi="Times New Roman"/>
                <w:sz w:val="16"/>
                <w:szCs w:val="16"/>
                <w:b w:val="1"/>
                <w:bCs w:val="1"/>
                <w:color w:val="auto"/>
                <w:w w:val="97"/>
              </w:rPr>
              <w:t>For the six months ended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5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left="542"/>
              <w:spacing w:after="0"/>
              <w:rPr>
                <w:sz w:val="20"/>
                <w:szCs w:val="20"/>
                <w:color w:val="auto"/>
              </w:rPr>
            </w:pPr>
            <w:r>
              <w:rPr>
                <w:rFonts w:ascii="Times New Roman" w:cs="Times New Roman" w:eastAsia="Times New Roman" w:hAnsi="Times New Roman"/>
                <w:sz w:val="16"/>
                <w:szCs w:val="16"/>
                <w:b w:val="1"/>
                <w:bCs w:val="1"/>
                <w:color w:val="auto"/>
                <w:w w:val="94"/>
              </w:rPr>
              <w:t>June 30,</w:t>
            </w:r>
          </w:p>
        </w:tc>
        <w:tc>
          <w:tcPr>
            <w:tcW w:w="7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6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0"/>
        </w:trPr>
        <w:tc>
          <w:tcPr>
            <w:tcW w:w="562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1,441,935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557,575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884,360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158.6</w:t>
            </w:r>
          </w:p>
        </w:tc>
        <w:tc>
          <w:tcPr>
            <w:tcW w:w="120" w:type="dxa"/>
            <w:vAlign w:val="bottom"/>
            <w:tcBorders>
              <w:top w:val="single" w:sz="8" w:color="CCEEFF"/>
              <w:bottom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r>
      <w:tr>
        <w:trPr>
          <w:trHeight w:val="176"/>
        </w:trPr>
        <w:tc>
          <w:tcPr>
            <w:tcW w:w="56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Percentage of revenue</w:t>
            </w:r>
          </w:p>
        </w:tc>
        <w:tc>
          <w:tcPr>
            <w:tcW w:w="1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300.8</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73"/>
              </w:rPr>
              <w:t>%</w:t>
            </w:r>
          </w:p>
        </w:tc>
        <w:tc>
          <w:tcPr>
            <w:tcW w:w="2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546.7</w:t>
            </w:r>
          </w:p>
        </w:tc>
        <w:tc>
          <w:tcPr>
            <w:tcW w:w="240" w:type="dxa"/>
            <w:vAlign w:val="bottom"/>
          </w:tcPr>
          <w:p>
            <w:pPr>
              <w:jc w:val="right"/>
              <w:ind w:right="22"/>
              <w:spacing w:after="0" w:line="176" w:lineRule="exact"/>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4"/>
        </w:trPr>
        <w:tc>
          <w:tcPr>
            <w:tcW w:w="5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1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General and administrative expense increased by $577,988, or 234.7%, for the three months ended June 30, 2025 compared to the three months ended June 30, 2024 and increased by $884,360, or 158.6%, for the six months ended June 30, 2025 compared to the six months ended June 30, 2024. The increases are primarily due to labor cost pertaining to ramp up of the manufacturing facility in Puerto Rico, shipment of hardware, equipment and inventories between our manufacturing and testing facilities, and increased headcount in back office.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expenses – SAFE agreements</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tables below summarize the change in the fair value of SAFE agreements and the SAFE agreements activity for the three and six months ended June 30, 2025 and 2024:</w:t>
      </w:r>
    </w:p>
    <w:p>
      <w:pPr>
        <w:sectPr>
          <w:pgSz w:w="11900" w:h="16840" w:orient="portrait"/>
          <w:cols w:equalWidth="0" w:num="1">
            <w:col w:w="10580"/>
          </w:cols>
          <w:pgMar w:left="660" w:top="557" w:right="660" w:bottom="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 in fair value of SAFE notes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 in fair value of SAFE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SAFE agreements at fair value, beginning of period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SAFE agreements issued for cash</w:t>
      </w:r>
    </w:p>
    <w:p>
      <w:pPr>
        <w:spacing w:after="0" w:line="234" w:lineRule="auto"/>
        <w:rPr>
          <w:sz w:val="20"/>
          <w:szCs w:val="20"/>
          <w:color w:val="auto"/>
        </w:rPr>
      </w:pPr>
      <w:r>
        <w:rPr>
          <w:rFonts w:ascii="Times New Roman" w:cs="Times New Roman" w:eastAsia="Times New Roman" w:hAnsi="Times New Roman"/>
          <w:sz w:val="16"/>
          <w:szCs w:val="16"/>
          <w:color w:val="auto"/>
        </w:rPr>
        <w:t>Change in fair value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SAFE notes converted into shares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SAFE agreements at fair value, end of period</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center"/>
        <w:ind w:right="26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spacing w:after="0" w:line="7" w:lineRule="exact"/>
        <w:rPr>
          <w:sz w:val="20"/>
          <w:szCs w:val="20"/>
          <w:color w:val="auto"/>
        </w:rPr>
      </w:pPr>
    </w:p>
    <w:p>
      <w:pPr>
        <w:jc w:val="center"/>
        <w:ind w:right="2620"/>
        <w:spacing w:after="0"/>
        <w:rPr>
          <w:sz w:val="20"/>
          <w:szCs w:val="20"/>
          <w:color w:val="auto"/>
        </w:rPr>
      </w:pPr>
      <w:r>
        <w:rPr>
          <w:rFonts w:ascii="Times New Roman" w:cs="Times New Roman" w:eastAsia="Times New Roman" w:hAnsi="Times New Roman"/>
          <w:sz w:val="16"/>
          <w:szCs w:val="16"/>
          <w:b w:val="1"/>
          <w:bCs w:val="1"/>
          <w:color w:val="auto"/>
        </w:rPr>
        <w:t>June 30,</w:t>
      </w:r>
    </w:p>
    <w:tbl>
      <w:tblPr>
        <w:tblLayout w:type="fixed"/>
        <w:tblInd w:w="0" w:type="dxa"/>
        <w:tblCellMar>
          <w:top w:w="0" w:type="dxa"/>
          <w:left w:w="0" w:type="dxa"/>
          <w:bottom w:w="0" w:type="dxa"/>
          <w:right w:w="0" w:type="dxa"/>
        </w:tblCellMar>
      </w:tblPr>
      <w:tr>
        <w:trPr>
          <w:trHeight w:val="200"/>
        </w:trPr>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184"/>
        </w:trPr>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17,980,118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660,755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gridSpan w:val="2"/>
          </w:tcPr>
          <w:p>
            <w:pPr>
              <w:ind w:left="220"/>
              <w:spacing w:after="0" w:line="180" w:lineRule="exact"/>
              <w:rPr>
                <w:sz w:val="20"/>
                <w:szCs w:val="20"/>
                <w:color w:val="auto"/>
              </w:rPr>
            </w:pPr>
            <w:r>
              <w:rPr>
                <w:rFonts w:ascii="Times New Roman" w:cs="Times New Roman" w:eastAsia="Times New Roman" w:hAnsi="Times New Roman"/>
                <w:sz w:val="16"/>
                <w:szCs w:val="16"/>
                <w:color w:val="auto"/>
                <w:w w:val="94"/>
              </w:rPr>
              <w:t>17,319,363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2,621</w:t>
            </w:r>
          </w:p>
        </w:tc>
        <w:tc>
          <w:tcPr>
            <w:tcW w:w="12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r>
      <w:tr>
        <w:trPr>
          <w:trHeight w:val="345"/>
        </w:trPr>
        <w:tc>
          <w:tcPr>
            <w:tcW w:w="160" w:type="dxa"/>
            <w:vAlign w:val="bottom"/>
          </w:tcPr>
          <w:p>
            <w:pPr>
              <w:spacing w:after="0"/>
              <w:rPr>
                <w:sz w:val="24"/>
                <w:szCs w:val="24"/>
                <w:color w:val="auto"/>
              </w:rPr>
            </w:pPr>
          </w:p>
        </w:tc>
        <w:tc>
          <w:tcPr>
            <w:tcW w:w="226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For the six months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9"/>
        </w:trPr>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center"/>
              <w:ind w:left="542"/>
              <w:spacing w:after="0"/>
              <w:rPr>
                <w:sz w:val="20"/>
                <w:szCs w:val="20"/>
                <w:color w:val="auto"/>
              </w:rPr>
            </w:pPr>
            <w:r>
              <w:rPr>
                <w:rFonts w:ascii="Times New Roman" w:cs="Times New Roman" w:eastAsia="Times New Roman" w:hAnsi="Times New Roman"/>
                <w:sz w:val="16"/>
                <w:szCs w:val="16"/>
                <w:b w:val="1"/>
                <w:bCs w:val="1"/>
                <w:color w:val="auto"/>
                <w:w w:val="94"/>
              </w:rPr>
              <w:t>June 30,</w:t>
            </w:r>
          </w:p>
        </w:tc>
        <w:tc>
          <w:tcPr>
            <w:tcW w:w="7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60" w:type="dxa"/>
            <w:vAlign w:val="bottom"/>
          </w:tcPr>
          <w:p>
            <w:pPr>
              <w:spacing w:after="0"/>
              <w:rPr>
                <w:sz w:val="17"/>
                <w:szCs w:val="17"/>
                <w:color w:val="auto"/>
              </w:rPr>
            </w:pPr>
          </w:p>
        </w:tc>
        <w:tc>
          <w:tcPr>
            <w:tcW w:w="9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6"/>
              </w:rPr>
              <w:t>% Change</w:t>
            </w:r>
          </w:p>
        </w:tc>
      </w:tr>
      <w:tr>
        <w:trPr>
          <w:trHeight w:val="184"/>
        </w:trPr>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17,368,415</w:t>
            </w:r>
          </w:p>
        </w:tc>
        <w:tc>
          <w:tcPr>
            <w:tcW w:w="200" w:type="dxa"/>
            <w:vAlign w:val="bottom"/>
          </w:tcPr>
          <w:p>
            <w:pPr>
              <w:spacing w:after="0"/>
              <w:rPr>
                <w:sz w:val="16"/>
                <w:szCs w:val="16"/>
                <w:color w:val="auto"/>
              </w:rPr>
            </w:pPr>
          </w:p>
        </w:tc>
        <w:tc>
          <w:tcPr>
            <w:tcW w:w="260" w:type="dxa"/>
            <w:vAlign w:val="bottom"/>
            <w:tcBorders>
              <w:top w:val="single" w:sz="8" w:color="auto"/>
              <w:bottom w:val="single" w:sz="8" w:color="auto"/>
            </w:tcBorders>
            <w:gridSpan w:val="2"/>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13,462,710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gridSpan w:val="3"/>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ind w:left="260"/>
              <w:spacing w:after="0" w:line="180" w:lineRule="exact"/>
              <w:rPr>
                <w:sz w:val="20"/>
                <w:szCs w:val="20"/>
                <w:color w:val="auto"/>
              </w:rPr>
            </w:pPr>
            <w:r>
              <w:rPr>
                <w:rFonts w:ascii="Times New Roman" w:cs="Times New Roman" w:eastAsia="Times New Roman" w:hAnsi="Times New Roman"/>
                <w:sz w:val="16"/>
                <w:szCs w:val="16"/>
                <w:color w:val="auto"/>
                <w:w w:val="93"/>
              </w:rPr>
              <w:t>3,905,705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12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r>
      <w:tr>
        <w:trPr>
          <w:trHeight w:val="345"/>
        </w:trPr>
        <w:tc>
          <w:tcPr>
            <w:tcW w:w="160" w:type="dxa"/>
            <w:vAlign w:val="bottom"/>
          </w:tcPr>
          <w:p>
            <w:pPr>
              <w:spacing w:after="0"/>
              <w:rPr>
                <w:sz w:val="24"/>
                <w:szCs w:val="24"/>
                <w:color w:val="auto"/>
              </w:rPr>
            </w:pPr>
          </w:p>
        </w:tc>
        <w:tc>
          <w:tcPr>
            <w:tcW w:w="226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10"/>
          </w:tcPr>
          <w:p>
            <w:pPr>
              <w:ind w:left="22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199"/>
        </w:trPr>
        <w:tc>
          <w:tcPr>
            <w:tcW w:w="160" w:type="dxa"/>
            <w:vAlign w:val="bottom"/>
          </w:tcPr>
          <w:p>
            <w:pPr>
              <w:spacing w:after="0"/>
              <w:rPr>
                <w:sz w:val="17"/>
                <w:szCs w:val="17"/>
                <w:color w:val="auto"/>
              </w:rPr>
            </w:pPr>
          </w:p>
        </w:tc>
        <w:tc>
          <w:tcPr>
            <w:tcW w:w="1360" w:type="dxa"/>
            <w:vAlign w:val="bottom"/>
            <w:gridSpan w:val="4"/>
          </w:tcPr>
          <w:p>
            <w:pPr>
              <w:jc w:val="center"/>
              <w:ind w:left="582"/>
              <w:spacing w:after="0"/>
              <w:rPr>
                <w:sz w:val="20"/>
                <w:szCs w:val="20"/>
                <w:color w:val="auto"/>
              </w:rPr>
            </w:pPr>
            <w:r>
              <w:rPr>
                <w:rFonts w:ascii="Times New Roman" w:cs="Times New Roman" w:eastAsia="Times New Roman" w:hAnsi="Times New Roman"/>
                <w:sz w:val="16"/>
                <w:szCs w:val="16"/>
                <w:b w:val="1"/>
                <w:bCs w:val="1"/>
                <w:color w:val="auto"/>
                <w:w w:val="94"/>
              </w:rPr>
              <w:t>June 30,</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10"/>
          </w:tcPr>
          <w:p>
            <w:pPr>
              <w:ind w:left="78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196"/>
        </w:trPr>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67"/>
        </w:trPr>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22,746,675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jc w:val="right"/>
              <w:ind w:right="82"/>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6"/>
                <w:szCs w:val="16"/>
                <w:color w:val="auto"/>
              </w:rPr>
              <w:t>18,904,905</w:t>
            </w:r>
          </w:p>
        </w:tc>
        <w:tc>
          <w:tcPr>
            <w:tcW w:w="8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6"/>
                <w:szCs w:val="16"/>
                <w:color w:val="auto"/>
              </w:rPr>
              <w:t>23,334,626</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6"/>
                <w:szCs w:val="16"/>
                <w:color w:val="auto"/>
              </w:rPr>
              <w:t>4,602,950</w:t>
            </w:r>
          </w:p>
        </w:tc>
        <w:tc>
          <w:tcPr>
            <w:tcW w:w="80" w:type="dxa"/>
            <w:vAlign w:val="bottom"/>
          </w:tcPr>
          <w:p>
            <w:pPr>
              <w:spacing w:after="0"/>
              <w:rPr>
                <w:sz w:val="14"/>
                <w:szCs w:val="14"/>
                <w:color w:val="auto"/>
              </w:rPr>
            </w:pPr>
          </w:p>
        </w:tc>
      </w:tr>
      <w:tr>
        <w:trPr>
          <w:trHeight w:val="180"/>
        </w:trPr>
        <w:tc>
          <w:tcPr>
            <w:tcW w:w="1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1,634,500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23,752</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3,134,500</w:t>
            </w:r>
          </w:p>
        </w:tc>
        <w:tc>
          <w:tcPr>
            <w:tcW w:w="8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17,980,118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660,755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17,368,415</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13,462,710</w:t>
            </w:r>
          </w:p>
        </w:tc>
        <w:tc>
          <w:tcPr>
            <w:tcW w:w="80" w:type="dxa"/>
            <w:vAlign w:val="bottom"/>
          </w:tcPr>
          <w:p>
            <w:pPr>
              <w:spacing w:after="0"/>
              <w:rPr>
                <w:sz w:val="15"/>
                <w:szCs w:val="15"/>
                <w:color w:val="auto"/>
              </w:rPr>
            </w:pPr>
          </w:p>
        </w:tc>
      </w:tr>
      <w:tr>
        <w:trPr>
          <w:trHeight w:val="205"/>
        </w:trPr>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(40,726,793)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(40,726,793)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4"/>
        </w:trPr>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3"/>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gridSpan w:val="3"/>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8"/>
        </w:trPr>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26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21,200,160</w:t>
            </w:r>
          </w:p>
        </w:tc>
        <w:tc>
          <w:tcPr>
            <w:tcW w:w="80" w:type="dxa"/>
            <w:vAlign w:val="bottom"/>
          </w:tcPr>
          <w:p>
            <w:pPr>
              <w:spacing w:after="0"/>
              <w:rPr>
                <w:sz w:val="18"/>
                <w:szCs w:val="18"/>
                <w:color w:val="auto"/>
              </w:rPr>
            </w:pPr>
          </w:p>
        </w:tc>
        <w:tc>
          <w:tcPr>
            <w:tcW w:w="2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21,200,160</w:t>
            </w:r>
          </w:p>
        </w:tc>
        <w:tc>
          <w:tcPr>
            <w:tcW w:w="80" w:type="dxa"/>
            <w:vAlign w:val="bottom"/>
          </w:tcPr>
          <w:p>
            <w:pPr>
              <w:spacing w:after="0"/>
              <w:rPr>
                <w:sz w:val="18"/>
                <w:szCs w:val="18"/>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-1905000</wp:posOffset>
            </wp:positionV>
            <wp:extent cx="6707505" cy="1295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-1280160</wp:posOffset>
            </wp:positionV>
            <wp:extent cx="6707505" cy="1295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-654685</wp:posOffset>
            </wp:positionV>
            <wp:extent cx="6707505" cy="121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-418465</wp:posOffset>
            </wp:positionV>
            <wp:extent cx="6707505" cy="1143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-174625</wp:posOffset>
            </wp:positionV>
            <wp:extent cx="6707505" cy="152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07505" cy="152400"/>
                    </a:xfrm>
                    <a:prstGeom prst="rect">
                      <a:avLst/>
                    </a:prstGeom>
                    <a:noFill/>
                  </pic:spPr>
                </pic:pic>
              </a:graphicData>
            </a:graphic>
          </wp:anchor>
        </w:drawing>
      </w:r>
    </w:p>
    <w:p>
      <w:pPr>
        <w:spacing w:after="0" w:line="167" w:lineRule="exact"/>
        <w:rPr>
          <w:sz w:val="20"/>
          <w:szCs w:val="20"/>
          <w:color w:val="auto"/>
        </w:rPr>
      </w:pPr>
    </w:p>
    <w:p>
      <w:pPr>
        <w:sectPr>
          <w:pgSz w:w="11900" w:h="16840" w:orient="portrait"/>
          <w:cols w:equalWidth="0" w:num="2">
            <w:col w:w="4900" w:space="720"/>
            <w:col w:w="4960"/>
          </w:cols>
          <w:pgMar w:left="660" w:top="557" w:right="660" w:bottom="26" w:gutter="0" w:footer="0" w:header="0"/>
          <w:type w:val="continuous"/>
        </w:sectPr>
      </w:pPr>
    </w:p>
    <w:p>
      <w:pPr>
        <w:jc w:val="both"/>
        <w:spacing w:after="0" w:line="241" w:lineRule="auto"/>
        <w:rPr>
          <w:sz w:val="20"/>
          <w:szCs w:val="20"/>
          <w:color w:val="auto"/>
        </w:rPr>
      </w:pPr>
      <w:r>
        <w:rPr>
          <w:rFonts w:ascii="Times New Roman" w:cs="Times New Roman" w:eastAsia="Times New Roman" w:hAnsi="Times New Roman"/>
          <w:sz w:val="16"/>
          <w:szCs w:val="16"/>
          <w:color w:val="auto"/>
        </w:rPr>
        <w:t>The increase in the change in fair value of SAFE expense line item was primarily driven by the increased estimated fair value of the Company and an increased probability of the Business Combination that closed on June 18, 2025, as described in Note 4 to the unaudited condensed consolidated financial statements for the three and six months ended June 30, 2025, qualified as an “Equity Financing.” The Company recognized a fair value change in the SAFE notes of $17,368,415, based on the fair value of the Common Stock at Closing of $14.00 per share. Contemporaneously with the Business Combination that closed on June 18, 2025, all outstanding SAFE notes were converted into 2,909,057 shares of Common Stock. No SAFE notes remained outstanding as of June 30, 2025.</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years ended December 31, 2024 and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 Cost of Revenue, Gross Profit, and Gross Margin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total revenue, cost of revenue, gross profit, and gross margin for the years ended December 31, 2024 and 2023 are summarized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9"/>
        </w:trPr>
        <w:tc>
          <w:tcPr>
            <w:tcW w:w="5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5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80" w:type="dxa"/>
            <w:vAlign w:val="bottom"/>
            <w:tcBorders>
              <w:bottom w:val="single" w:sz="8" w:color="CCEEFF"/>
            </w:tcBorders>
          </w:tcPr>
          <w:p>
            <w:pPr>
              <w:spacing w:after="0"/>
              <w:rPr>
                <w:sz w:val="17"/>
                <w:szCs w:val="17"/>
                <w:color w:val="auto"/>
              </w:rPr>
            </w:pPr>
          </w:p>
        </w:tc>
      </w:tr>
      <w:tr>
        <w:trPr>
          <w:trHeight w:val="180"/>
        </w:trPr>
        <w:tc>
          <w:tcPr>
            <w:tcW w:w="5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Revenue</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172,661</w:t>
            </w: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439,640</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(266,979)</w:t>
            </w:r>
          </w:p>
        </w:tc>
        <w:tc>
          <w:tcPr>
            <w:tcW w:w="2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(60.7)%</w:t>
            </w:r>
          </w:p>
        </w:tc>
      </w:tr>
      <w:tr>
        <w:trPr>
          <w:trHeight w:val="196"/>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220" w:type="dxa"/>
            <w:vAlign w:val="bottom"/>
          </w:tcPr>
          <w:p>
            <w:pPr>
              <w:spacing w:after="0"/>
              <w:rPr>
                <w:sz w:val="17"/>
                <w:szCs w:val="17"/>
                <w:color w:val="auto"/>
              </w:rPr>
            </w:pPr>
          </w:p>
        </w:tc>
        <w:tc>
          <w:tcPr>
            <w:tcW w:w="1100" w:type="dxa"/>
            <w:vAlign w:val="bottom"/>
            <w:gridSpan w:val="2"/>
          </w:tcPr>
          <w:p>
            <w:pPr>
              <w:jc w:val="right"/>
              <w:ind w:right="202"/>
              <w:spacing w:after="0"/>
              <w:rPr>
                <w:sz w:val="20"/>
                <w:szCs w:val="20"/>
                <w:color w:val="auto"/>
              </w:rPr>
            </w:pPr>
            <w:r>
              <w:rPr>
                <w:rFonts w:ascii="Times New Roman" w:cs="Times New Roman" w:eastAsia="Times New Roman" w:hAnsi="Times New Roman"/>
                <w:sz w:val="16"/>
                <w:szCs w:val="16"/>
                <w:color w:val="auto"/>
              </w:rPr>
              <w:t>343,889</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86,888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257,001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295.8%</w:t>
            </w:r>
          </w:p>
        </w:tc>
      </w:tr>
      <w:tr>
        <w:trPr>
          <w:trHeight w:val="200"/>
        </w:trPr>
        <w:tc>
          <w:tcPr>
            <w:tcW w:w="544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Gross (loss) profit</w:t>
            </w:r>
          </w:p>
        </w:tc>
        <w:tc>
          <w:tcPr>
            <w:tcW w:w="22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(171,228</w:t>
            </w:r>
          </w:p>
        </w:tc>
        <w:tc>
          <w:tcPr>
            <w:tcW w:w="26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352,752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(523,980</w:t>
            </w:r>
          </w:p>
        </w:tc>
        <w:tc>
          <w:tcPr>
            <w:tcW w:w="28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(148.5</w:t>
            </w:r>
          </w:p>
        </w:tc>
        <w:tc>
          <w:tcPr>
            <w:tcW w:w="180" w:type="dxa"/>
            <w:vAlign w:val="bottom"/>
            <w:tcBorders>
              <w:top w:val="single" w:sz="8" w:color="CCEEFF"/>
              <w:bottom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85"/>
              </w:rPr>
              <w:t>)%</w:t>
            </w:r>
          </w:p>
        </w:tc>
      </w:tr>
      <w:tr>
        <w:trPr>
          <w:trHeight w:val="164"/>
        </w:trPr>
        <w:tc>
          <w:tcPr>
            <w:tcW w:w="54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Gross margin %</w:t>
            </w:r>
          </w:p>
        </w:tc>
        <w:tc>
          <w:tcPr>
            <w:tcW w:w="220" w:type="dxa"/>
            <w:vAlign w:val="bottom"/>
          </w:tcPr>
          <w:p>
            <w:pPr>
              <w:spacing w:after="0"/>
              <w:rPr>
                <w:sz w:val="14"/>
                <w:szCs w:val="14"/>
                <w:color w:val="auto"/>
              </w:rPr>
            </w:pPr>
          </w:p>
        </w:tc>
        <w:tc>
          <w:tcPr>
            <w:tcW w:w="84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(99.2</w:t>
            </w:r>
          </w:p>
        </w:tc>
        <w:tc>
          <w:tcPr>
            <w:tcW w:w="26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70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80.2</w:t>
            </w:r>
          </w:p>
        </w:tc>
        <w:tc>
          <w:tcPr>
            <w:tcW w:w="1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(179.4</w:t>
            </w:r>
          </w:p>
        </w:tc>
        <w:tc>
          <w:tcPr>
            <w:tcW w:w="28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(223.6</w:t>
            </w:r>
          </w:p>
        </w:tc>
        <w:tc>
          <w:tcPr>
            <w:tcW w:w="1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w w:val="85"/>
              </w:rPr>
              <w:t>)%</w:t>
            </w:r>
          </w:p>
        </w:tc>
      </w:tr>
      <w:tr>
        <w:trPr>
          <w:trHeight w:val="24"/>
        </w:trPr>
        <w:tc>
          <w:tcPr>
            <w:tcW w:w="5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bl>
    <w:p>
      <w:pPr>
        <w:spacing w:after="0" w:line="16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Revenue decreased by $266,979, or 60.7%, for the year ended December 31, 2024 compared to the year ended December 31, 2023. The decrease in revenue is primarily due to a decrease in feasibility studies to new and existing customers.</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Cost of goods sold increased by $257,001, or 295.8%, for the year ended December 31, 2024 compared to the year ended December 31, 2023. The increases are primarily due to additional support staff salaries, compliance cost and cloud hosting cost.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gross margin was (99.2%) for the year ended December 31, 2024 compared to 80.2% for the year ended December 31, 2023. The decrease in gross margin is</w:t>
      </w:r>
    </w:p>
    <w:p>
      <w:pPr>
        <w:sectPr>
          <w:pgSz w:w="11900" w:h="16840" w:orient="portrait"/>
          <w:cols w:equalWidth="0" w:num="1">
            <w:col w:w="10580"/>
          </w:cols>
          <w:pgMar w:left="660" w:top="557" w:right="660" w:bottom="26"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6"/>
          <w:szCs w:val="16"/>
          <w:color w:val="auto"/>
        </w:rPr>
        <w:t>primarily due to additional support staff salaries, compliance cost and cloud hosting cost.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expenses for the years ended December 31, 2024 and 2023 is summarized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5"/>
          </w:tcPr>
          <w:p>
            <w:pPr>
              <w:jc w:val="center"/>
              <w:ind w:right="302"/>
              <w:spacing w:after="0"/>
              <w:rPr>
                <w:sz w:val="20"/>
                <w:szCs w:val="20"/>
                <w:color w:val="auto"/>
              </w:rPr>
            </w:pPr>
            <w:r>
              <w:rPr>
                <w:rFonts w:ascii="Times New Roman" w:cs="Times New Roman" w:eastAsia="Times New Roman" w:hAnsi="Times New Roman"/>
                <w:sz w:val="16"/>
                <w:szCs w:val="16"/>
                <w:b w:val="1"/>
                <w:bCs w:val="1"/>
                <w:color w:val="auto"/>
                <w:w w:val="97"/>
              </w:rPr>
              <w:t>For the year ended</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9"/>
        </w:trPr>
        <w:tc>
          <w:tcPr>
            <w:tcW w:w="55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0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5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20" w:type="dxa"/>
            <w:vAlign w:val="bottom"/>
            <w:gridSpan w:val="2"/>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0"/>
        </w:trPr>
        <w:tc>
          <w:tcPr>
            <w:tcW w:w="556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Borders>
              <w:top w:val="single" w:sz="8" w:color="auto"/>
              <w:bottom w:val="single" w:sz="8" w:color="auto"/>
            </w:tcBorders>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759,967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837,453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(77,486</w:t>
            </w:r>
          </w:p>
        </w:tc>
        <w:tc>
          <w:tcPr>
            <w:tcW w:w="18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0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(9.3</w:t>
            </w:r>
          </w:p>
        </w:tc>
        <w:tc>
          <w:tcPr>
            <w:tcW w:w="180" w:type="dxa"/>
            <w:vAlign w:val="bottom"/>
            <w:tcBorders>
              <w:top w:val="single" w:sz="8" w:color="CCEEFF"/>
              <w:bottom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85"/>
              </w:rPr>
              <w:t>)%</w:t>
            </w:r>
          </w:p>
        </w:tc>
      </w:tr>
      <w:tr>
        <w:trPr>
          <w:trHeight w:val="176"/>
        </w:trPr>
        <w:tc>
          <w:tcPr>
            <w:tcW w:w="556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Percentage of revenue</w:t>
            </w:r>
          </w:p>
        </w:tc>
        <w:tc>
          <w:tcPr>
            <w:tcW w:w="2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440.1</w:t>
            </w:r>
          </w:p>
        </w:tc>
        <w:tc>
          <w:tcPr>
            <w:tcW w:w="220" w:type="dxa"/>
            <w:vAlign w:val="bottom"/>
          </w:tcPr>
          <w:p>
            <w:pPr>
              <w:jc w:val="right"/>
              <w:ind w:right="22"/>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190.5</w:t>
            </w:r>
          </w:p>
        </w:tc>
        <w:tc>
          <w:tcPr>
            <w:tcW w:w="1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4"/>
        </w:trPr>
        <w:tc>
          <w:tcPr>
            <w:tcW w:w="5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r>
    </w:tbl>
    <w:p>
      <w:pPr>
        <w:spacing w:after="0" w:line="167"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6"/>
          <w:szCs w:val="16"/>
          <w:color w:val="auto"/>
        </w:rPr>
        <w:t>Research and development expense decreased by $77,486, or 9.3%, for the year ended December 31, 2024 compared to the year ended December 31, 2023. The decreases are primarily driven by reduced utilization of software and hardware development contractors.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Sales and marketing expenses for the years ended December 31, 2024 and 2023 is summarized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jc w:val="center"/>
              <w:ind w:right="382"/>
              <w:spacing w:after="0"/>
              <w:rPr>
                <w:sz w:val="20"/>
                <w:szCs w:val="20"/>
                <w:color w:val="auto"/>
              </w:rPr>
            </w:pPr>
            <w:r>
              <w:rPr>
                <w:rFonts w:ascii="Times New Roman" w:cs="Times New Roman" w:eastAsia="Times New Roman" w:hAnsi="Times New Roman"/>
                <w:sz w:val="16"/>
                <w:szCs w:val="16"/>
                <w:b w:val="1"/>
                <w:bCs w:val="1"/>
                <w:color w:val="auto"/>
                <w:w w:val="97"/>
              </w:rPr>
              <w:t>For the year ended</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9"/>
        </w:trPr>
        <w:tc>
          <w:tcPr>
            <w:tcW w:w="5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38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7"/>
                <w:szCs w:val="17"/>
                <w:color w:val="auto"/>
              </w:rPr>
            </w:pPr>
          </w:p>
        </w:tc>
        <w:tc>
          <w:tcPr>
            <w:tcW w:w="116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0"/>
        </w:trPr>
        <w:tc>
          <w:tcPr>
            <w:tcW w:w="562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2,524,930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449,936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2,074,994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461.2</w:t>
            </w:r>
          </w:p>
        </w:tc>
        <w:tc>
          <w:tcPr>
            <w:tcW w:w="120" w:type="dxa"/>
            <w:vAlign w:val="bottom"/>
            <w:tcBorders>
              <w:top w:val="single" w:sz="8" w:color="CCEEFF"/>
              <w:bottom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r>
      <w:tr>
        <w:trPr>
          <w:trHeight w:val="180"/>
        </w:trPr>
        <w:tc>
          <w:tcPr>
            <w:tcW w:w="56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Percentage of revenue</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1,462.4</w:t>
            </w:r>
          </w:p>
        </w:tc>
        <w:tc>
          <w:tcPr>
            <w:tcW w:w="220" w:type="dxa"/>
            <w:vAlign w:val="bottom"/>
          </w:tcPr>
          <w:p>
            <w:pPr>
              <w:jc w:val="right"/>
              <w:ind w:right="22"/>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102.3</w:t>
            </w:r>
          </w:p>
        </w:tc>
        <w:tc>
          <w:tcPr>
            <w:tcW w:w="240" w:type="dxa"/>
            <w:vAlign w:val="bottom"/>
          </w:tcPr>
          <w:p>
            <w:pPr>
              <w:jc w:val="right"/>
              <w:ind w:right="22"/>
              <w:spacing w:after="0" w:line="176" w:lineRule="exact"/>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167"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Sales and marketing expenses increased by $2,074,994, or 461.2%, for the year ended December 31, 2024 compared to the year ended December 31, 2023. The increase reflects our continued pivot toward the market and was primarily driven by higher spending on digital marketing services and additional modules and users in our customer relationship management software.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and administrative expenses for the years ended December 31, 2024 and 2023 are summarized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jc w:val="center"/>
              <w:ind w:right="382"/>
              <w:spacing w:after="0"/>
              <w:rPr>
                <w:sz w:val="20"/>
                <w:szCs w:val="20"/>
                <w:color w:val="auto"/>
              </w:rPr>
            </w:pPr>
            <w:r>
              <w:rPr>
                <w:rFonts w:ascii="Times New Roman" w:cs="Times New Roman" w:eastAsia="Times New Roman" w:hAnsi="Times New Roman"/>
                <w:sz w:val="16"/>
                <w:szCs w:val="16"/>
                <w:b w:val="1"/>
                <w:bCs w:val="1"/>
                <w:color w:val="auto"/>
                <w:w w:val="97"/>
              </w:rPr>
              <w:t>For the year ended</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9"/>
        </w:trPr>
        <w:tc>
          <w:tcPr>
            <w:tcW w:w="5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38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7"/>
                <w:szCs w:val="17"/>
                <w:color w:val="auto"/>
              </w:rPr>
            </w:pPr>
          </w:p>
        </w:tc>
        <w:tc>
          <w:tcPr>
            <w:tcW w:w="116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0"/>
        </w:trPr>
        <w:tc>
          <w:tcPr>
            <w:tcW w:w="562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3,588,548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742,041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2,846,507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383.6</w:t>
            </w:r>
          </w:p>
        </w:tc>
        <w:tc>
          <w:tcPr>
            <w:tcW w:w="120" w:type="dxa"/>
            <w:vAlign w:val="bottom"/>
            <w:tcBorders>
              <w:top w:val="single" w:sz="8" w:color="CCEEFF"/>
              <w:bottom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r>
      <w:tr>
        <w:trPr>
          <w:trHeight w:val="180"/>
        </w:trPr>
        <w:tc>
          <w:tcPr>
            <w:tcW w:w="56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Percentage of revenue</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2,078.4</w:t>
            </w:r>
          </w:p>
        </w:tc>
        <w:tc>
          <w:tcPr>
            <w:tcW w:w="220" w:type="dxa"/>
            <w:vAlign w:val="bottom"/>
          </w:tcPr>
          <w:p>
            <w:pPr>
              <w:jc w:val="right"/>
              <w:ind w:right="22"/>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168.8</w:t>
            </w:r>
          </w:p>
        </w:tc>
        <w:tc>
          <w:tcPr>
            <w:tcW w:w="240" w:type="dxa"/>
            <w:vAlign w:val="bottom"/>
          </w:tcPr>
          <w:p>
            <w:pPr>
              <w:jc w:val="right"/>
              <w:ind w:right="22"/>
              <w:spacing w:after="0" w:line="176" w:lineRule="exact"/>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167"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6"/>
          <w:szCs w:val="16"/>
          <w:color w:val="auto"/>
        </w:rPr>
        <w:t>General and administrative expense increased by $ 2,846,507, or 383.6%, for the year ended December 31, 2024 compared to the year ended December 31, 2023. The increases are primarily due to additional labor costs pertaining to the ramp up of the business.</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expenses – SAFE agreements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tables below summarize the change in the fair value of SAFE agreements and the SAFE agreements activity for the year ended December 31, 2024 and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For the year ended</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9"/>
        </w:trPr>
        <w:tc>
          <w:tcPr>
            <w:tcW w:w="5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40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7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80" w:type="dxa"/>
            <w:vAlign w:val="bottom"/>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84"/>
        </w:trPr>
        <w:tc>
          <w:tcPr>
            <w:tcW w:w="562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Change in fair value of SAFE notes</w:t>
            </w:r>
          </w:p>
        </w:tc>
        <w:tc>
          <w:tcPr>
            <w:tcW w:w="22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w w:val="94"/>
              </w:rPr>
              <w:t>14,492,176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263,239</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ind w:left="40"/>
              <w:spacing w:after="0" w:line="180" w:lineRule="exact"/>
              <w:rPr>
                <w:sz w:val="20"/>
                <w:szCs w:val="20"/>
                <w:color w:val="auto"/>
              </w:rPr>
            </w:pPr>
            <w:r>
              <w:rPr>
                <w:rFonts w:ascii="Times New Roman" w:cs="Times New Roman" w:eastAsia="Times New Roman" w:hAnsi="Times New Roman"/>
                <w:sz w:val="16"/>
                <w:szCs w:val="16"/>
                <w:color w:val="auto"/>
                <w:w w:val="94"/>
              </w:rPr>
              <w:t>14,228,937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5,405</w:t>
            </w:r>
          </w:p>
        </w:tc>
        <w:tc>
          <w:tcPr>
            <w:tcW w:w="120" w:type="dxa"/>
            <w:vAlign w:val="bottom"/>
            <w:tcBorders>
              <w:top w:val="single" w:sz="8" w:color="CCEEFF"/>
              <w:bottom w:val="single" w:sz="8" w:color="CCEEFF"/>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r>
      <w:tr>
        <w:trPr>
          <w:trHeight w:val="345"/>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gridSpan w:val="8"/>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For the year ended</w:t>
            </w:r>
          </w:p>
        </w:tc>
      </w:tr>
      <w:tr>
        <w:trPr>
          <w:trHeight w:val="199"/>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gridSpan w:val="8"/>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196"/>
        </w:trPr>
        <w:tc>
          <w:tcPr>
            <w:tcW w:w="56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80"/>
        </w:trPr>
        <w:tc>
          <w:tcPr>
            <w:tcW w:w="5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SAFE agreements at fair value, beginning of period</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4,602,950</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2,219,711</w:t>
            </w:r>
          </w:p>
        </w:tc>
        <w:tc>
          <w:tcPr>
            <w:tcW w:w="80" w:type="dxa"/>
            <w:vAlign w:val="bottom"/>
            <w:shd w:val="clear" w:color="auto" w:fill="CCEEFF"/>
          </w:tcPr>
          <w:p>
            <w:pPr>
              <w:spacing w:after="0"/>
              <w:rPr>
                <w:sz w:val="15"/>
                <w:szCs w:val="15"/>
                <w:color w:val="auto"/>
              </w:rPr>
            </w:pPr>
          </w:p>
        </w:tc>
      </w:tr>
      <w:tr>
        <w:trPr>
          <w:trHeight w:val="180"/>
        </w:trPr>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SAFE agreements issued for cash</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4,239,500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2,120,000</w:t>
            </w:r>
          </w:p>
        </w:tc>
        <w:tc>
          <w:tcPr>
            <w:tcW w:w="80" w:type="dxa"/>
            <w:vAlign w:val="bottom"/>
          </w:tcPr>
          <w:p>
            <w:pPr>
              <w:spacing w:after="0"/>
              <w:rPr>
                <w:sz w:val="15"/>
                <w:szCs w:val="15"/>
                <w:color w:val="auto"/>
              </w:rPr>
            </w:pPr>
          </w:p>
        </w:tc>
      </w:tr>
      <w:tr>
        <w:trPr>
          <w:trHeight w:val="212"/>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14,492,176</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263,239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92"/>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SAFE agreements at fair value, end of period</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gridSpan w:val="3"/>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23,334,626</w:t>
            </w:r>
          </w:p>
        </w:tc>
        <w:tc>
          <w:tcPr>
            <w:tcW w:w="18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4,602,950</w:t>
            </w:r>
          </w:p>
        </w:tc>
        <w:tc>
          <w:tcPr>
            <w:tcW w:w="80" w:type="dxa"/>
            <w:vAlign w:val="bottom"/>
          </w:tcPr>
          <w:p>
            <w:pPr>
              <w:spacing w:after="0"/>
              <w:rPr>
                <w:sz w:val="16"/>
                <w:szCs w:val="16"/>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The increase in the liability balance of SAFE agreements for the year ended December 31, 2024, compared to December 31, 2023, was primarily driven by the higher estimated fair value of the Company and the issuance of additional SAFE notes during the year ended December 31, 2024. A corresponding increase in the change in fair value of SAFE notes other expense line items was recorded.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Funding Requirements and Going Concern</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Liquidity is a measure of our ability to access sufficient cash flows to meet the short-term and long-term cash requirements of our business operations. To date, we have funded our operations primarily with proceeds from the issuance of common shares to PIPE investors contemporaneously with the close of the Business Combination. Our future capital requirements will depend on many factors, including, but not limited to, our growth, our ability to attract and retain customers, the continued market acceptance of our solution, the timing and extent of spending necessary to support our efforts to develop our Dot Cloud and meet our performance obligations related to subscription sales of the same, the expansion of sales and marketing activities, and the impact of macroeconomic conditions on us and our customers’ and partners’ businesses. Further, we may enter into arrangements to acquire or invest in businesses, products, services, and technologies. We will need to raise additional capital in the future to finance our operations and expand our business.</w:t>
      </w:r>
    </w:p>
    <w:p>
      <w:pPr>
        <w:spacing w:after="0" w:line="158" w:lineRule="exact"/>
        <w:rPr>
          <w:sz w:val="20"/>
          <w:szCs w:val="20"/>
          <w:color w:val="auto"/>
        </w:rPr>
      </w:pPr>
    </w:p>
    <w:p>
      <w:pPr>
        <w:ind w:right="60"/>
        <w:spacing w:after="0" w:line="331" w:lineRule="auto"/>
        <w:rPr>
          <w:sz w:val="20"/>
          <w:szCs w:val="20"/>
          <w:color w:val="auto"/>
        </w:rPr>
      </w:pPr>
      <w:r>
        <w:rPr>
          <w:rFonts w:ascii="Times New Roman" w:cs="Times New Roman" w:eastAsia="Times New Roman" w:hAnsi="Times New Roman"/>
          <w:sz w:val="14"/>
          <w:szCs w:val="14"/>
          <w:color w:val="auto"/>
        </w:rPr>
        <w:t>In connection with the Company’s assessment of going concern considerations in accordance with FASB ASC Topic 205-40, “Presentation of Financial Statements — Going Concern,” management anticipates the Company will continue to incur substantial operating losses for the next several years and will need to obtain additional</w:t>
      </w:r>
    </w:p>
    <w:p>
      <w:pPr>
        <w:sectPr>
          <w:pgSz w:w="11900" w:h="16840" w:orient="portrait"/>
          <w:cols w:equalWidth="0" w:num="1">
            <w:col w:w="10620"/>
          </w:cols>
          <w:pgMar w:left="660" w:top="557" w:right="620" w:bottom="54" w:gutter="0" w:footer="0" w:header="0"/>
        </w:sectPr>
      </w:pPr>
    </w:p>
    <w:bookmarkStart w:id="34" w:name="page35"/>
    <w:bookmarkEnd w:id="34"/>
    <w:p>
      <w:pPr>
        <w:jc w:val="both"/>
        <w:spacing w:after="0" w:line="247" w:lineRule="auto"/>
        <w:rPr>
          <w:sz w:val="20"/>
          <w:szCs w:val="20"/>
          <w:color w:val="auto"/>
        </w:rPr>
      </w:pPr>
      <w:r>
        <w:rPr>
          <w:rFonts w:ascii="Times New Roman" w:cs="Times New Roman" w:eastAsia="Times New Roman" w:hAnsi="Times New Roman"/>
          <w:sz w:val="16"/>
          <w:szCs w:val="16"/>
          <w:color w:val="auto"/>
        </w:rPr>
        <w:t>near-term financing in order to continue its research and development activities. Our ability to continue as a going concern is dependent on its ability to raise additional capital to fund research and development activities and meet obligations on a timely basis. However, there can be no assurance that sufficient funding will be available to allow us to successfully continue our research and development activities and commercialize our products.</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our business, results of operations, and prospects. These conditions raise substantial doubt about our ability to continue as a going concern within one year from the date these interim unaudited consolidated financial statements are issued.</w:t>
      </w:r>
    </w:p>
    <w:p>
      <w:pPr>
        <w:spacing w:after="0" w:line="15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As of June 30, 2025 and December 31, 2024, we had cash of $6,492,646 and $721,032, respectively, and working capital (deficit) of $454,040 and ($1,215,988),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Sources of Liquidity</w:t>
      </w:r>
    </w:p>
    <w:p>
      <w:pPr>
        <w:spacing w:after="0" w:line="18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To date, we have funded our operations primarily with proceeds from the issuance of common shares to PIPE investors contemporaneously with the close of the Business Combination in the amount of $ 10,837,643 and proceeds from the issuance of bridge loans. As of June 30, 2025, we had cash of $ 6,492,646. In the future, we expect to finance our cash needs through a combination of equity, debt financings, and improvement of cash from operations derived from selling subscriptions to our platform.</w:t>
      </w:r>
    </w:p>
    <w:p>
      <w:pPr>
        <w:spacing w:after="0" w:line="15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4"/>
          <w:szCs w:val="14"/>
          <w:color w:val="auto"/>
        </w:rPr>
        <w:t>As part of its funding efforts, on June 18, 2025, the Company entered into the ELOC Agreement with New Circle Principal Investment LLC (“New Circle”), which provides the Company the right, but not the obligation, to direct New Circle from time to time to purchase up to $ 50 million of the Company’s Common Shares during the commitment period ending June 18, 2028, at a discount of the volume-weighted average price (VWAP) over a defined pricing period. Under the ELOC Agreement, the Company may sell shares to the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has the option to issue a variable number of shares of Common Stock or cash in satisfaction of the $350,000 commitment fee agreed upon in the ELOC Agreement. The Company has not paid the commitment fee as of the date the unaudited condensed consolidated financial statements.</w:t>
      </w:r>
    </w:p>
    <w:p>
      <w:pPr>
        <w:spacing w:after="0" w:line="1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Any purchase would be subject to certain limitations, including that New Circle shall not purchase any shares that would result in it and its affiliates beneficially owning more than 4.99% of the then outstanding voting power or number of shares of Common Stock or any shares that would exceed 19.99% of all shares of Common Stock of the Company outstanding on the date of the ELOC Agreement, unless Company shareholder approval was obtained allowing for issuances in excess of such amount (the “Exchange Cap”). The Exchange Cap will not apply under certain circumstances, including where the average purchase price of all applicable sales of Common Shares equals or exceeds the lower of (i) the Nasdaq Official Closing Price immediately preceding the Effective Date; or (ii) the average Nasdaq Official Closing Price for the five Trading Days immediately preceding the Effective Date.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Comparison of Six Months Ended June 30, 2025 and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a summary of our cash flow for the periods presented:</w:t>
      </w:r>
    </w:p>
    <w:p>
      <w:pPr>
        <w:spacing w:after="0" w:line="174"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7"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6"/>
          <w:szCs w:val="16"/>
          <w:b w:val="1"/>
          <w:bCs w:val="1"/>
          <w:color w:val="auto"/>
        </w:rPr>
        <w:t>June 30,</w:t>
      </w:r>
    </w:p>
    <w:tbl>
      <w:tblPr>
        <w:tblLayout w:type="fixed"/>
        <w:tblInd w:w="0" w:type="dxa"/>
        <w:tblCellMar>
          <w:top w:w="0" w:type="dxa"/>
          <w:left w:w="0" w:type="dxa"/>
          <w:bottom w:w="0" w:type="dxa"/>
          <w:right w:w="0" w:type="dxa"/>
        </w:tblCellMar>
      </w:tblPr>
      <w:tr>
        <w:trPr>
          <w:trHeight w:val="200"/>
        </w:trPr>
        <w:tc>
          <w:tcPr>
            <w:tcW w:w="5360" w:type="dxa"/>
            <w:vAlign w:val="bottom"/>
            <w:tcBorders>
              <w:bottom w:val="single" w:sz="8" w:color="CCEEFF"/>
            </w:tcBorders>
          </w:tcPr>
          <w:p>
            <w:pPr>
              <w:spacing w:after="0"/>
              <w:rPr>
                <w:sz w:val="17"/>
                <w:szCs w:val="17"/>
                <w:color w:val="auto"/>
              </w:rPr>
            </w:pPr>
          </w:p>
        </w:tc>
        <w:tc>
          <w:tcPr>
            <w:tcW w:w="27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r>
      <w:tr>
        <w:trPr>
          <w:trHeight w:val="180"/>
        </w:trPr>
        <w:tc>
          <w:tcPr>
            <w:tcW w:w="5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cash (used in) operating activities</w:t>
            </w:r>
          </w:p>
        </w:tc>
        <w:tc>
          <w:tcPr>
            <w:tcW w:w="27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(3,762,742)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(2,327,632)</w:t>
            </w:r>
          </w:p>
        </w:tc>
        <w:tc>
          <w:tcPr>
            <w:tcW w:w="80" w:type="dxa"/>
            <w:vAlign w:val="bottom"/>
            <w:shd w:val="clear" w:color="auto" w:fill="CCEEFF"/>
          </w:tcPr>
          <w:p>
            <w:pPr>
              <w:spacing w:after="0"/>
              <w:rPr>
                <w:sz w:val="15"/>
                <w:szCs w:val="15"/>
                <w:color w:val="auto"/>
              </w:rPr>
            </w:pPr>
          </w:p>
        </w:tc>
      </w:tr>
      <w:tr>
        <w:trPr>
          <w:trHeight w:val="180"/>
        </w:trPr>
        <w:tc>
          <w:tcPr>
            <w:tcW w:w="5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2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(743,798)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(361,862)</w:t>
            </w:r>
          </w:p>
        </w:tc>
      </w:tr>
      <w:tr>
        <w:trPr>
          <w:trHeight w:val="180"/>
        </w:trPr>
        <w:tc>
          <w:tcPr>
            <w:tcW w:w="5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0" w:type="dxa"/>
            <w:vAlign w:val="bottom"/>
            <w:gridSpan w:val="2"/>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10,278,154</w:t>
            </w:r>
          </w:p>
        </w:tc>
        <w:tc>
          <w:tcPr>
            <w:tcW w:w="1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3,134,500</w:t>
            </w:r>
          </w:p>
        </w:tc>
        <w:tc>
          <w:tcPr>
            <w:tcW w:w="80" w:type="dxa"/>
            <w:vAlign w:val="bottom"/>
            <w:shd w:val="clear" w:color="auto" w:fill="CCEEFF"/>
          </w:tcPr>
          <w:p>
            <w:pPr>
              <w:spacing w:after="0"/>
              <w:rPr>
                <w:sz w:val="15"/>
                <w:szCs w:val="15"/>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Comparison of years ended December 31, 2024 and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a summary of our cash flow for the periods presented:</w:t>
      </w:r>
    </w:p>
    <w:p>
      <w:pPr>
        <w:spacing w:after="0" w:line="174"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7"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6"/>
          <w:szCs w:val="16"/>
          <w:b w:val="1"/>
          <w:bCs w:val="1"/>
          <w:color w:val="auto"/>
        </w:rPr>
        <w:t>December 31</w:t>
      </w:r>
    </w:p>
    <w:tbl>
      <w:tblPr>
        <w:tblLayout w:type="fixed"/>
        <w:tblInd w:w="0" w:type="dxa"/>
        <w:tblCellMar>
          <w:top w:w="0" w:type="dxa"/>
          <w:left w:w="0" w:type="dxa"/>
          <w:bottom w:w="0" w:type="dxa"/>
          <w:right w:w="0" w:type="dxa"/>
        </w:tblCellMar>
      </w:tblPr>
      <w:tr>
        <w:trPr>
          <w:trHeight w:val="200"/>
        </w:trPr>
        <w:tc>
          <w:tcPr>
            <w:tcW w:w="5360" w:type="dxa"/>
            <w:vAlign w:val="bottom"/>
            <w:tcBorders>
              <w:bottom w:val="single" w:sz="8" w:color="CCEEFF"/>
            </w:tcBorders>
          </w:tcPr>
          <w:p>
            <w:pPr>
              <w:spacing w:after="0"/>
              <w:rPr>
                <w:sz w:val="17"/>
                <w:szCs w:val="17"/>
                <w:color w:val="auto"/>
              </w:rPr>
            </w:pPr>
          </w:p>
        </w:tc>
        <w:tc>
          <w:tcPr>
            <w:tcW w:w="27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r>
      <w:tr>
        <w:trPr>
          <w:trHeight w:val="180"/>
        </w:trPr>
        <w:tc>
          <w:tcPr>
            <w:tcW w:w="5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cash (used in) operating activities</w:t>
            </w:r>
          </w:p>
        </w:tc>
        <w:tc>
          <w:tcPr>
            <w:tcW w:w="27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(3,290,008)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(1,668,503)</w:t>
            </w:r>
          </w:p>
        </w:tc>
        <w:tc>
          <w:tcPr>
            <w:tcW w:w="80" w:type="dxa"/>
            <w:vAlign w:val="bottom"/>
            <w:shd w:val="clear" w:color="auto" w:fill="CCEEFF"/>
          </w:tcPr>
          <w:p>
            <w:pPr>
              <w:spacing w:after="0"/>
              <w:rPr>
                <w:sz w:val="15"/>
                <w:szCs w:val="15"/>
                <w:color w:val="auto"/>
              </w:rPr>
            </w:pPr>
          </w:p>
        </w:tc>
      </w:tr>
      <w:tr>
        <w:trPr>
          <w:trHeight w:val="180"/>
        </w:trPr>
        <w:tc>
          <w:tcPr>
            <w:tcW w:w="5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2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(834,220)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(672,319)</w:t>
            </w:r>
          </w:p>
        </w:tc>
      </w:tr>
      <w:tr>
        <w:trPr>
          <w:trHeight w:val="180"/>
        </w:trPr>
        <w:tc>
          <w:tcPr>
            <w:tcW w:w="5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20" w:type="dxa"/>
            <w:vAlign w:val="bottom"/>
            <w:gridSpan w:val="2"/>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4,239,500</w:t>
            </w:r>
          </w:p>
        </w:tc>
        <w:tc>
          <w:tcPr>
            <w:tcW w:w="1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2,120,000</w:t>
            </w:r>
          </w:p>
        </w:tc>
        <w:tc>
          <w:tcPr>
            <w:tcW w:w="80" w:type="dxa"/>
            <w:vAlign w:val="bottom"/>
            <w:shd w:val="clear" w:color="auto" w:fill="CCEEFF"/>
          </w:tcPr>
          <w:p>
            <w:pPr>
              <w:spacing w:after="0"/>
              <w:rPr>
                <w:sz w:val="15"/>
                <w:szCs w:val="15"/>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18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Our largest source of operating cash is from investments made by our shareholders. Our primary uses of cash from operating activities are for employee- related expenditures, sales and marketing expenses, inventory purchases, and research &amp; development activities. We generated negative cash flows from operations in the preceding two fiscal years. We have supplemented working capital through net proceeds from the sale of equity securities, issuance of SAFE agreements and bridge loans.</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Cash used in operating activities was $3.8 million for the six months ended June 30, 2025. This consisted of a net loss of $30.1 million, adjusted for non-cash charges of $18.5 million, and changes in our operating assets and liabilities of $7.8 million. The non-cash charges were primarily composed of change in fair value expense of $17.4 million and loss on extinguishment of debt of $5.7 million.</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Cash used in operating activities was $2.3 million for the six months ended June 30, 2024. This consisted of a net loss of $ 16.2 million, adjusted for non-cash charges of $13.6 million, and changes in our operating assets and liabilities of $229 thousand. The non-cash charges were primarily composed of change in fair value SAFE note expense of $13.5 million.</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Cash used in operating activities was $3.3 million for the year ended December 31, 2024. This consisted of a net loss of $21.5 million, adjusted for non-cash charges of $14.7 million, and changes in our operating assets and liabilities of $3.5 million. The non-cash charges were primarily composed of change in fair value SAFE note expense of $14.5 million.</w:t>
      </w:r>
    </w:p>
    <w:p>
      <w:pPr>
        <w:spacing w:after="0" w:line="152"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14"/>
          <w:szCs w:val="14"/>
          <w:color w:val="auto"/>
        </w:rPr>
        <w:t>Cash used in operating activities was $1.7 million for the year ended December 31, 2023. This consisted of a net loss of $1.9 million, adjusted for non-cash charges of $325 thousand, and changes in our operating assets and liabilities of $54 thousand. The non-cash charges were primarily composed of change in fair value SAFE note</w:t>
      </w:r>
    </w:p>
    <w:p>
      <w:pPr>
        <w:sectPr>
          <w:pgSz w:w="11900" w:h="16840" w:orient="portrait"/>
          <w:cols w:equalWidth="0" w:num="1">
            <w:col w:w="10580"/>
          </w:cols>
          <w:pgMar w:left="660" w:top="557" w:right="660" w:bottom="18"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color w:val="auto"/>
        </w:rPr>
        <w:t>expense of $263 thousand.</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Cash used in investing activities was $ 744 thousand for the six months ended June 30, 2025, which primarily consisted of $107 thousand of property and equipment purchases and $637 thousand of capital expenditures for internal-use software development costs.</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Cash used in investing activities was $362 thousand for the six months ended June 30, 2024, which consisted of capital expenditures for internal-use software development costs.</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Cash used in investing activities was $834 thousand for the year ended December 31, 2024, which consisted of capital expenditures for internal-use software development costs.</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Cash used in investing activities was $672 thousand for the year ended December 31, 2023, which consisted of capital expenditures for internal-use software development costs.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18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Cash provided by financing activities was $10.3 million for the six months ended June 30, 2025, which primarily consisted of $10.8 million in proceeds from PIPE investors.</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Cash provided by financing activities was $3.1 million for the six months ended June 30, 2024, which consisted of $3.1 million of proceeds from issuance of bridge loans.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provided by financing activities was $4.2 million for the year ended December 31, 2024, which consisted of proceeds from issuance of SAFE agreements for cash.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provided by financing activities was $2.1 million for the year ended December 31, 2023, which consisted of proceeds from issuance of SAFE agreements for cash.</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Contractual Obligations and Commitments</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Our estimated future obligations consist of leases and non-cancelable purchase commitments as of June 30, 2025. For additional discussion on our leases and other commitments, refer to Note 12 – Leases and Note 14 – Commitments and Contingencies to our unaudited condensed consolidated financial statements for the three and six months ended June 30, 2025 included elsewhere in this prospectus.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Critical Accounting Policies and Estimates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these financial statements requires management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While our significant accounting policies are more fully described in Note 2 to our unaudited condensed consolidated financial statements for the three and six months ended June 30, 2025, we believe that the following accounting policies are the most critical to fully understanding and evaluating our financial condition and 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Accounting for SAFE Agreements</w:t>
      </w:r>
    </w:p>
    <w:p>
      <w:pPr>
        <w:spacing w:after="0" w:line="17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 xml:space="preserve">In accordance with FASB ASC 815 40, </w:t>
      </w:r>
      <w:r>
        <w:rPr>
          <w:rFonts w:ascii="Times New Roman" w:cs="Times New Roman" w:eastAsia="Times New Roman" w:hAnsi="Times New Roman"/>
          <w:sz w:val="16"/>
          <w:szCs w:val="16"/>
          <w:i w:val="1"/>
          <w:iCs w:val="1"/>
          <w:color w:val="auto"/>
        </w:rPr>
        <w:t>Contracts in Entity’s Own Equity,</w:t>
      </w:r>
      <w:r>
        <w:rPr>
          <w:rFonts w:ascii="Times New Roman" w:cs="Times New Roman" w:eastAsia="Times New Roman" w:hAnsi="Times New Roman"/>
          <w:sz w:val="16"/>
          <w:szCs w:val="16"/>
          <w:color w:val="auto"/>
        </w:rPr>
        <w:t xml:space="preserve"> the Company determined the SAFE agreements are freestanding financial instruments and accordingly are classified as “liabilities” in the accompanying condensed consolidated balance sheets. The SAFE agreements are carried at estimated fair value determined by the Company using a probability weighted expected return method.</w:t>
      </w: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8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Revenue is recognized when promised goods or services are transferred to customers in an amount that reflects the consideration to which we expect to be entitled in exchange for those goods or services.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determine revenue recognition through the following steps:</w:t>
      </w:r>
    </w:p>
    <w:p>
      <w:pPr>
        <w:spacing w:after="0" w:line="176" w:lineRule="exact"/>
        <w:rPr>
          <w:sz w:val="20"/>
          <w:szCs w:val="20"/>
          <w:color w:val="auto"/>
        </w:rPr>
      </w:pPr>
    </w:p>
    <w:p>
      <w:pPr>
        <w:ind w:left="580" w:hanging="286"/>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contract, or contracts, with a customer;</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performance obligations in the contract;</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of the transaction price;</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Allocation of the transaction price to the performance obligations in the contract; and</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Recognition of revenue when, or as, we satisfy a performance obligation.</w:t>
      </w:r>
    </w:p>
    <w:p>
      <w:pPr>
        <w:spacing w:after="0" w:line="176"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We offer feasibility studies which allow customers to gain insight into how data driven tracking could improve their business. As part of our studies, off-the-shelf components are installed on customer-owned assets which enable data to be captured by our beta Zero Infrastructure Mesh (“ZIM”) technology network. These feasibility studies allow the refinement of our software protocols and provide essential information for the continued development of our solution. Customers receive the information captured in our feasibility study reports. These feasibility study reports are the only performance obligation in our contracts.</w:t>
      </w:r>
    </w:p>
    <w:p>
      <w:pPr>
        <w:sectPr>
          <w:pgSz w:w="11900" w:h="16840" w:orient="portrait"/>
          <w:cols w:equalWidth="0" w:num="1">
            <w:col w:w="10580"/>
          </w:cols>
          <w:pgMar w:left="660" w:top="557" w:right="660" w:bottom="5" w:gutter="0" w:footer="0" w:header="0"/>
        </w:sectPr>
      </w:pPr>
    </w:p>
    <w:bookmarkStart w:id="36" w:name="page37"/>
    <w:bookmarkEnd w:id="36"/>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We determined that the single promise to our customers is satisfied at a point in time. In reaching this conclusion, we considered the context of the contract and the nature of our promise to provide the customer with actionable insights to improve the management of their operations in a feasibility report.</w:t>
      </w:r>
    </w:p>
    <w:p>
      <w:pPr>
        <w:spacing w:after="0" w:line="1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single performance obligation is satisfied at a point in time, as our customers do not consume the benefits of our studies until their feasibility report is delivered. Accordingly, the fixed consideration related to the performance obligation is recognized on when control of the feasibility report is transferred to the customer which is upon acceptance.</w:t>
      </w:r>
    </w:p>
    <w:p>
      <w:pPr>
        <w:spacing w:after="0" w:line="15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estimates involved in revenue recognition pertain to determination of standalone selling price. Management considered the data inputs for the standalone selling price and determined that the adjusted market assessment approach provided the best estimate of the standalone selling price. The estimates applied have been reasonable in the past and the likelihood of change in estimate to impact the standalone selling price is remote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Internal-Use Software Development</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 xml:space="preserve">In accordance with FASB ASC Topic 350 40, </w:t>
      </w:r>
      <w:r>
        <w:rPr>
          <w:rFonts w:ascii="Times New Roman" w:cs="Times New Roman" w:eastAsia="Times New Roman" w:hAnsi="Times New Roman"/>
          <w:sz w:val="16"/>
          <w:szCs w:val="16"/>
          <w:i w:val="1"/>
          <w:iCs w:val="1"/>
          <w:color w:val="auto"/>
        </w:rPr>
        <w:t>Intangibles Goodwill and Other Internal Use Software</w:t>
      </w:r>
      <w:r>
        <w:rPr>
          <w:rFonts w:ascii="Times New Roman" w:cs="Times New Roman" w:eastAsia="Times New Roman" w:hAnsi="Times New Roman"/>
          <w:sz w:val="16"/>
          <w:szCs w:val="16"/>
          <w:color w:val="auto"/>
        </w:rPr>
        <w:t>, we capitalize software development costs incurred on new applications or enhancements to applications during the application development phase of software for internal use to provide services to customers. These capitalized costs include certain payroll and payroll related costs for employees and costs for outside consultants who are directly associated with and who devote time to internal use software projects. Costs incurred prior to the application development phase and after the market release are expensed as incurred.</w:t>
      </w: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4"/>
          <w:szCs w:val="14"/>
          <w:color w:val="auto"/>
        </w:rPr>
        <w:t>Internal 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on an annual basis and will test for impairment whenever events or changes in circumstances occur that could impact the recoverability of these assets. These costs are not yet amortized as our SaaS solution has not been deployed.</w:t>
      </w:r>
    </w:p>
    <w:p>
      <w:pPr>
        <w:spacing w:after="0" w:line="1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Management considers use of estimates in determining the appropriate allocation of personnel costs (including fringe benefits and stock compensation) and software development consultants’ costs to software capitalization. Such costs were analyzed for reasonableness and the current basis (evaluation of project plans and stage) is determined to be the best estimate of the costs capitalized during the period. The estimates applied have been reasonable in the past and the likelihood of change in estimate to impact the software cost capitalized is remote.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and Adopted Accounting Pronouncements</w:t>
      </w:r>
    </w:p>
    <w:p>
      <w:pPr>
        <w:spacing w:after="0" w:line="18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We describe the recently issued accounting pronouncements that apply in Note 2 of the unaudited condensed consolidated financial statements as of and for the three and six months ended June 30,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Emerging Growth Company Status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 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Industry Background</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Digital transformation is imperative for companies to compete in the current commercial environment. Those companies that successfully transform their businesses through modern applications, digital workflows, and intuitive user experiences often benefit from loyal customers, innovative offerings, and scalable business models that drive greater profitability and dominate competition. The proliferation of smart devices, growth in cloud applications, increasingly disparate user bases, Artificial Intelligence (AI) and heightened customer expectations are together driving digital adoption. This transformation has already happened across many large industries. In the retail, advertising, media, and information technology industries, for example, innovative, digital -first entrants have disrupted older business models, fundamentally changing the way they operate. Many industries that depend on physical operations, however, have been slower to adopt digital transformation. Despite their size and critical position in the worldwide economy, many companies in industries that depend on physical operations, such as logistics, manufacturing, construction, mining, health care and others still largely rely on manual processes, siloed data, spreadsheets, and legacy software. These industries represent a massive, underpenetrated market for digital transformation.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State of Operations Today</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Many operations- intensive businesses rely on high-value assets and equipment, deploy large field workforces that need coordination, manage complex logistics that require precision, and navigate industry-specific workflows that call for specialized knowledge. These businesses prioritize safety, efficiency and sustainability, while needing to adhere to a myriad of regulatory requirements. Businesses that depend on physical operations are in a unique position to leverage connected IoT assets to generate real-time operational data and deploy AI to drive insights, pursue automation, and improve efficiency in their business processes. For operations-intensive businesses to stay competitive and agile, there is an imperative to adopt digital technologies, and a significant business risk from complacency. Yet the industrial market has been slow to adopt IoT technology or AI advances in their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Challenges with Operations include:</w:t>
      </w:r>
    </w:p>
    <w:p>
      <w:pPr>
        <w:spacing w:after="0" w:line="176" w:lineRule="exact"/>
        <w:rPr>
          <w:sz w:val="20"/>
          <w:szCs w:val="20"/>
          <w:color w:val="auto"/>
        </w:rPr>
      </w:pPr>
    </w:p>
    <w:p>
      <w:pPr>
        <w:jc w:val="both"/>
        <w:ind w:left="580" w:hanging="286"/>
        <w:spacing w:after="0" w:line="244" w:lineRule="auto"/>
        <w:tabs>
          <w:tab w:leader="none" w:pos="5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Lack of Data Access and Siloed Systems</w:t>
      </w:r>
      <w:r>
        <w:rPr>
          <w:rFonts w:ascii="Times New Roman" w:cs="Times New Roman" w:eastAsia="Times New Roman" w:hAnsi="Times New Roman"/>
          <w:sz w:val="16"/>
          <w:szCs w:val="16"/>
          <w:color w:val="auto"/>
        </w:rPr>
        <w:t>. Many assets used for physical operations, such as vehicle fleets, machinery, factories, and remote equipment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generate enormous amounts of operational data which often cannot be accessed. Even when the data can be accessed, it resides in multiple siloed systems made up of software and hardware components from various vendors. Lack of data access and siloed systems make it difficult to unify data in the cloud and develop actionable business insights.</w:t>
      </w:r>
    </w:p>
    <w:p>
      <w:pPr>
        <w:sectPr>
          <w:pgSz w:w="11900" w:h="16840" w:orient="portrait"/>
          <w:cols w:equalWidth="0" w:num="1">
            <w:col w:w="10580"/>
          </w:cols>
          <w:pgMar w:left="660" w:top="737" w:right="660" w:bottom="364" w:gutter="0" w:footer="0" w:header="0"/>
        </w:sectPr>
      </w:pPr>
    </w:p>
    <w:bookmarkStart w:id="37" w:name="page38"/>
    <w:bookmarkEnd w:id="37"/>
    <w:p>
      <w:pPr>
        <w:jc w:val="both"/>
        <w:ind w:left="580" w:right="40" w:hanging="286"/>
        <w:spacing w:after="0" w:line="248" w:lineRule="auto"/>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Breadth and Diversity of Data</w:t>
      </w:r>
      <w:r>
        <w:rPr>
          <w:rFonts w:ascii="Times New Roman" w:cs="Times New Roman" w:eastAsia="Times New Roman" w:hAnsi="Times New Roman"/>
          <w:sz w:val="16"/>
          <w:szCs w:val="16"/>
          <w:color w:val="auto"/>
        </w:rPr>
        <w:t>. The breadth and diversity of data collected from physical operations limits the ability for users to consolidate different data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types and make better operational decisions. This data, which can be both structured and unstructured, can be challenging to cleanse and normalize before analysis.</w:t>
      </w:r>
    </w:p>
    <w:p>
      <w:pPr>
        <w:spacing w:after="0" w:line="161" w:lineRule="exact"/>
        <w:rPr>
          <w:rFonts w:ascii="Times New Roman" w:cs="Times New Roman" w:eastAsia="Times New Roman" w:hAnsi="Times New Roman"/>
          <w:sz w:val="16"/>
          <w:szCs w:val="16"/>
          <w:color w:val="auto"/>
        </w:rPr>
      </w:pPr>
    </w:p>
    <w:p>
      <w:pPr>
        <w:ind w:left="580" w:right="20" w:hanging="286"/>
        <w:spacing w:after="0" w:line="262" w:lineRule="auto"/>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Reliance on Legacy Tools</w:t>
      </w:r>
      <w:r>
        <w:rPr>
          <w:rFonts w:ascii="Times New Roman" w:cs="Times New Roman" w:eastAsia="Times New Roman" w:hAnsi="Times New Roman"/>
          <w:sz w:val="16"/>
          <w:szCs w:val="16"/>
          <w:color w:val="auto"/>
        </w:rPr>
        <w:t>. Many operations-intensive businesses run on legacy software designed to manage and monitor individual tasks. Others still rely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on spreadsheets and paper. These legacy tools were built decades ago and are not designed for scalable analytics.</w:t>
      </w:r>
    </w:p>
    <w:p>
      <w:pPr>
        <w:spacing w:after="0" w:line="138" w:lineRule="exact"/>
        <w:rPr>
          <w:rFonts w:ascii="Times New Roman" w:cs="Times New Roman" w:eastAsia="Times New Roman" w:hAnsi="Times New Roman"/>
          <w:sz w:val="16"/>
          <w:szCs w:val="16"/>
          <w:color w:val="auto"/>
        </w:rPr>
      </w:pPr>
    </w:p>
    <w:p>
      <w:pPr>
        <w:jc w:val="both"/>
        <w:ind w:left="580" w:right="20" w:hanging="286"/>
        <w:spacing w:after="0" w:line="248" w:lineRule="auto"/>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Limited In-House Innovation</w:t>
      </w:r>
      <w:r>
        <w:rPr>
          <w:rFonts w:ascii="Times New Roman" w:cs="Times New Roman" w:eastAsia="Times New Roman" w:hAnsi="Times New Roman"/>
          <w:sz w:val="16"/>
          <w:szCs w:val="16"/>
          <w:color w:val="auto"/>
        </w:rPr>
        <w:t>. Businesses with physical operations typically have limited engineering personnel, IT resources, and funds dedicated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identifying causes of inefficiency and opportunities to avoid future safety, security or sustainability issues. These businesses have traditionally relied on third-party vendors to seek ways to improve their business processes.</w:t>
      </w:r>
    </w:p>
    <w:p>
      <w:pPr>
        <w:spacing w:after="0" w:line="149" w:lineRule="exact"/>
        <w:rPr>
          <w:rFonts w:ascii="Times New Roman" w:cs="Times New Roman" w:eastAsia="Times New Roman" w:hAnsi="Times New Roman"/>
          <w:sz w:val="16"/>
          <w:szCs w:val="16"/>
          <w:color w:val="auto"/>
        </w:rPr>
      </w:pPr>
    </w:p>
    <w:p>
      <w:pPr>
        <w:jc w:val="both"/>
        <w:ind w:left="580" w:right="40" w:hanging="286"/>
        <w:spacing w:after="0" w:line="248" w:lineRule="auto"/>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Compliance Burden</w:t>
      </w:r>
      <w:r>
        <w:rPr>
          <w:rFonts w:ascii="Times New Roman" w:cs="Times New Roman" w:eastAsia="Times New Roman" w:hAnsi="Times New Roman"/>
          <w:sz w:val="16"/>
          <w:szCs w:val="16"/>
          <w:color w:val="auto"/>
        </w:rPr>
        <w:t>. Businesses with extensive physical operations are subject to an increasingly complex patchwork of regulations that cover the range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their physical operations footprint, from environmental conditions to workplace safety and employee monitoring. Compliance with these regulations can be complicated, costly, and time-consuming.</w:t>
      </w:r>
    </w:p>
    <w:p>
      <w:pPr>
        <w:spacing w:after="0" w:line="149" w:lineRule="exact"/>
        <w:rPr>
          <w:rFonts w:ascii="Times New Roman" w:cs="Times New Roman" w:eastAsia="Times New Roman" w:hAnsi="Times New Roman"/>
          <w:sz w:val="16"/>
          <w:szCs w:val="16"/>
          <w:color w:val="auto"/>
        </w:rPr>
      </w:pPr>
    </w:p>
    <w:p>
      <w:pPr>
        <w:jc w:val="both"/>
        <w:ind w:left="580" w:right="20" w:hanging="286"/>
        <w:spacing w:after="0" w:line="248" w:lineRule="auto"/>
        <w:tabs>
          <w:tab w:leader="none" w:pos="580"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Rugged Environments and Uses</w:t>
      </w:r>
      <w:r>
        <w:rPr>
          <w:rFonts w:ascii="Times New Roman" w:cs="Times New Roman" w:eastAsia="Times New Roman" w:hAnsi="Times New Roman"/>
          <w:sz w:val="16"/>
          <w:szCs w:val="16"/>
          <w:color w:val="auto"/>
        </w:rPr>
        <w:t>. Industrial processes often operate in rugged environments, including both indoor and outdoor settings. Many IoT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implementations are made first for consumers and office spaces, where devices do not need to meet these standards. The environment and rough handling of the industrial market makes adoption harder.</w:t>
      </w:r>
    </w:p>
    <w:p>
      <w:pPr>
        <w:spacing w:after="0" w:line="3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Use of IoT in Connected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Technological advances have made it possible for companies to visualize their operations digitally in the cloud in real time. These advances include:</w:t>
      </w:r>
    </w:p>
    <w:p>
      <w:pPr>
        <w:spacing w:after="0" w:line="174" w:lineRule="exact"/>
        <w:rPr>
          <w:sz w:val="20"/>
          <w:szCs w:val="20"/>
          <w:color w:val="auto"/>
        </w:rPr>
      </w:pPr>
    </w:p>
    <w:p>
      <w:pPr>
        <w:ind w:left="580" w:hanging="286"/>
        <w:spacing w:after="0" w:line="262"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Proliferation of Connected Physical Assets</w:t>
      </w:r>
      <w:r>
        <w:rPr>
          <w:rFonts w:ascii="Times New Roman" w:cs="Times New Roman" w:eastAsia="Times New Roman" w:hAnsi="Times New Roman"/>
          <w:sz w:val="16"/>
          <w:szCs w:val="16"/>
          <w:color w:val="auto"/>
        </w:rPr>
        <w:t>. According to data from IDC, the number of connected IoT assets, such as machinery, vehicles, warehouses,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factories, is expected to significantly increase, from approximately 33 billion in 2021 to 39 billion by 2024.</w:t>
      </w:r>
    </w:p>
    <w:p>
      <w:pPr>
        <w:spacing w:after="0" w:line="138" w:lineRule="exact"/>
        <w:rPr>
          <w:rFonts w:ascii="Times New Roman" w:cs="Times New Roman" w:eastAsia="Times New Roman" w:hAnsi="Times New Roman"/>
          <w:sz w:val="16"/>
          <w:szCs w:val="16"/>
          <w:color w:val="auto"/>
        </w:rPr>
      </w:pPr>
    </w:p>
    <w:p>
      <w:pPr>
        <w:ind w:left="580" w:right="20" w:hanging="286"/>
        <w:spacing w:after="0" w:line="334" w:lineRule="auto"/>
        <w:tabs>
          <w:tab w:leader="none" w:pos="5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Advances in Cloud-Based Big Data</w:t>
      </w:r>
      <w:r>
        <w:rPr>
          <w:rFonts w:ascii="Times New Roman" w:cs="Times New Roman" w:eastAsia="Times New Roman" w:hAnsi="Times New Roman"/>
          <w:sz w:val="14"/>
          <w:szCs w:val="14"/>
          <w:color w:val="auto"/>
        </w:rPr>
        <w:t>. The cloud has significantly lowered computing and storage costs, which has enabled massive amounts of data to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processed and analyzed efficiently. With these advances, more businesses are transitioning to the cloud, which simplifies data extraction and data integration.</w:t>
      </w:r>
    </w:p>
    <w:p>
      <w:pPr>
        <w:spacing w:after="0" w:line="92" w:lineRule="exact"/>
        <w:rPr>
          <w:rFonts w:ascii="Times New Roman" w:cs="Times New Roman" w:eastAsia="Times New Roman" w:hAnsi="Times New Roman"/>
          <w:sz w:val="14"/>
          <w:szCs w:val="14"/>
          <w:color w:val="auto"/>
        </w:rPr>
      </w:pPr>
    </w:p>
    <w:p>
      <w:pPr>
        <w:jc w:val="both"/>
        <w:ind w:left="580" w:right="20" w:hanging="286"/>
        <w:spacing w:after="0" w:line="248"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Faster and Cheaper Wireless Capabilities</w:t>
      </w:r>
      <w:r>
        <w:rPr>
          <w:rFonts w:ascii="Times New Roman" w:cs="Times New Roman" w:eastAsia="Times New Roman" w:hAnsi="Times New Roman"/>
          <w:sz w:val="16"/>
          <w:szCs w:val="16"/>
          <w:color w:val="auto"/>
        </w:rPr>
        <w:t>. The proliferation of Bluetooth Low Energy and advances in cellular technology have increased the bandwidth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lowered the cost of wireless connectivity. These improvements enable more IoT devices to cost-effectively connect to the cloud, making it feasible to stream real-time data and high-definition video. The 5G rollout in the U.S. and around the world will continue to further these advancements.</w:t>
      </w:r>
    </w:p>
    <w:p>
      <w:pPr>
        <w:spacing w:after="0" w:line="149" w:lineRule="exact"/>
        <w:rPr>
          <w:rFonts w:ascii="Times New Roman" w:cs="Times New Roman" w:eastAsia="Times New Roman" w:hAnsi="Times New Roman"/>
          <w:sz w:val="16"/>
          <w:szCs w:val="16"/>
          <w:color w:val="auto"/>
        </w:rPr>
      </w:pPr>
    </w:p>
    <w:p>
      <w:pPr>
        <w:jc w:val="both"/>
        <w:ind w:left="580" w:right="20" w:hanging="286"/>
        <w:spacing w:after="0" w:line="248"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Improvements in Camera and Sensor Technology</w:t>
      </w:r>
      <w:r>
        <w:rPr>
          <w:rFonts w:ascii="Times New Roman" w:cs="Times New Roman" w:eastAsia="Times New Roman" w:hAnsi="Times New Roman"/>
          <w:sz w:val="16"/>
          <w:szCs w:val="16"/>
          <w:color w:val="auto"/>
        </w:rPr>
        <w:t>. Cameras and other sensor technology have experienced rapid innovation, with improvements in capture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quality at lower cost. Cameras and other sensors have become smaller, more affordable, more energy-efficient, and more sensitive, resulting in their widespread proliferation.</w:t>
      </w:r>
    </w:p>
    <w:p>
      <w:pPr>
        <w:spacing w:after="0" w:line="149" w:lineRule="exact"/>
        <w:rPr>
          <w:rFonts w:ascii="Times New Roman" w:cs="Times New Roman" w:eastAsia="Times New Roman" w:hAnsi="Times New Roman"/>
          <w:sz w:val="16"/>
          <w:szCs w:val="16"/>
          <w:color w:val="auto"/>
        </w:rPr>
      </w:pPr>
    </w:p>
    <w:p>
      <w:pPr>
        <w:jc w:val="both"/>
        <w:ind w:left="580" w:right="20" w:hanging="286"/>
        <w:spacing w:after="0" w:line="248"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More Powerful Artificial Intelligence</w:t>
      </w:r>
      <w:r>
        <w:rPr>
          <w:rFonts w:ascii="Times New Roman" w:cs="Times New Roman" w:eastAsia="Times New Roman" w:hAnsi="Times New Roman"/>
          <w:sz w:val="16"/>
          <w:szCs w:val="16"/>
          <w:color w:val="auto"/>
        </w:rPr>
        <w:t>. AI algorithms are becoming increasingly accurate and flexible, while AI processing capabilities at the edge and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cloud are growing. The resulting AI capabilities make it possible to analyze quantities of operations and IoT data too voluminous for ordinary human analysis or legacy software, and to distill it down in real-time.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Company</w:t>
      </w:r>
    </w:p>
    <w:p>
      <w:pPr>
        <w:spacing w:after="0" w:line="178"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CID Holdco, Inc., a Nevada corporation, helps businesses digitally transform their operations using IoT and AI technology. With significant innovations in RF networking, use of vision system overlays and a cloud-based AI engine, the company offers a differentiated asset tracking and workflow management solution for operations intensive enterprises.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Overview</w:t>
      </w:r>
    </w:p>
    <w:p>
      <w:pPr>
        <w:spacing w:after="0" w:line="178"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CID Holdco offers a SAAS platform for customer subscription that provides intelligent, real-time tracking and visibility of high value assets from one convenient application. This unique tracking capability is paired with intelligent software algorithms, including machine learning and AI, to provide enhanced safety, assurance and efficiency for important processes in the enterprise.</w:t>
      </w:r>
    </w:p>
    <w:p>
      <w:pPr>
        <w:spacing w:after="0" w:line="152" w:lineRule="exact"/>
        <w:rPr>
          <w:sz w:val="20"/>
          <w:szCs w:val="20"/>
          <w:color w:val="auto"/>
        </w:rPr>
      </w:pPr>
    </w:p>
    <w:p>
      <w:pPr>
        <w:jc w:val="both"/>
        <w:ind w:right="40"/>
        <w:spacing w:after="0" w:line="299" w:lineRule="auto"/>
        <w:rPr>
          <w:sz w:val="20"/>
          <w:szCs w:val="20"/>
          <w:color w:val="auto"/>
        </w:rPr>
      </w:pPr>
      <w:r>
        <w:rPr>
          <w:rFonts w:ascii="Times New Roman" w:cs="Times New Roman" w:eastAsia="Times New Roman" w:hAnsi="Times New Roman"/>
          <w:sz w:val="14"/>
          <w:szCs w:val="14"/>
          <w:color w:val="auto"/>
        </w:rPr>
        <w:t>Real-time asset tracking services allow customers to improve many workflows. For example, inspecting a vehicle as it is approaching to know when a high value asset is on board before it leaves a secure area. This allows operators to respond, halt the vehicle, and investigate. Customer security will know what is leaving and whether it is scheduled to leave. This capability can also be used at gates, docks or storage locations to automatically grant access and record movements for accountability.</w:t>
      </w:r>
    </w:p>
    <w:p>
      <w:pPr>
        <w:spacing w:after="0" w:line="119"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Another common application is tracking inventory. CID Holdco provides a unique capability to dynamically sweep item inventory with roving, inexpensive readers powered by batteries. Due to their low cost and wireless capability, these inexpensive readers can be deployed on pallets, fork trucks, shelves or even people to provide coverage of the location of interest. As a result of this capability, CID Holdco technology is disruptive to legacy logistics systems which are either inadequate to gather this level of detail or much more expensive and inflexible to deploy.</w:t>
      </w:r>
    </w:p>
    <w:p>
      <w:pPr>
        <w:spacing w:after="0" w:line="3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CID Holdco systems automatically process inbound and outbound personnel or items, using RF tags or access cards, while AI-enabled cameras verify the asset is the one expected. This real-time, two-layer authentication streamlines customers’ access control process, allowing them to track assets in real time and identify anything that is not authorized. This capability can be especially valuable when providing edge intelligence to automation or robotics systems.</w:t>
      </w:r>
    </w:p>
    <w:p>
      <w:pPr>
        <w:spacing w:after="0" w:line="152"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Another example application is guided spotting and collision avoidance for vehicles. CID Holdco not only provides a system that can track autonomous or piloted vehicles generally but if desired can overlay a precise tracking implementation that enables collision detection and avoidance. With attachment to a governor on the vehicle, the system can slow or stop the vehicle to prevent collision with another asset or person in real-time.</w:t>
      </w:r>
    </w:p>
    <w:p>
      <w:pPr>
        <w:spacing w:after="0" w:line="15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Using the CID Holdco rules engine, customers can set conditions for automatic alerts or actions to be taken related to specified parameters set by users in their application. Using the system also allows the organization to begin collecting valuable data, which can be analyzed to glean insights for better decision making across any organization or fed into an advanced AI implementation. To the extent customers are comfortable enabling it, CID Holdco provides the capability to enable machine learning and AI intervention in complex processes to enhance safety, assurance and efficiency.</w:t>
      </w:r>
    </w:p>
    <w:p>
      <w:pPr>
        <w:sectPr>
          <w:pgSz w:w="11900" w:h="16840" w:orient="portrait"/>
          <w:cols w:equalWidth="0" w:num="1">
            <w:col w:w="10600"/>
          </w:cols>
          <w:pgMar w:left="660" w:top="555" w:right="640" w:bottom="173" w:gutter="0" w:footer="0" w:header="0"/>
        </w:sectPr>
      </w:pPr>
    </w:p>
    <w:bookmarkStart w:id="38" w:name="page39"/>
    <w:bookmarkEnd w:id="38"/>
    <w:p>
      <w:pPr>
        <w:jc w:val="both"/>
        <w:spacing w:after="0" w:line="247" w:lineRule="auto"/>
        <w:rPr>
          <w:sz w:val="20"/>
          <w:szCs w:val="20"/>
          <w:color w:val="auto"/>
        </w:rPr>
      </w:pPr>
      <w:r>
        <w:rPr>
          <w:rFonts w:ascii="Times New Roman" w:cs="Times New Roman" w:eastAsia="Times New Roman" w:hAnsi="Times New Roman"/>
          <w:sz w:val="16"/>
          <w:szCs w:val="16"/>
          <w:color w:val="auto"/>
        </w:rPr>
        <w:t>As a result of the unique process visibility provided by their innovations, CID Holdco is often implemented as an edge system producing rich data streams for other supervisory systems of record. Powerful commercial partnerships are intended to be formed with large ERP, MES or WMS system players in the targeted vertical markets.</w:t>
      </w:r>
    </w:p>
    <w:p>
      <w:pPr>
        <w:spacing w:after="0" w:line="15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In short, CID Holdco brings a next generation capability to know when, where and why assets move in the enterprise, providing an opportunity to apply AI to complex edge processes.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is a summary of the state of development of each of our software products and services offerings: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Timing for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Currently under</w:t>
            </w:r>
          </w:p>
        </w:tc>
        <w:tc>
          <w:tcPr>
            <w:tcW w:w="120" w:type="dxa"/>
            <w:vAlign w:val="bottom"/>
          </w:tcPr>
          <w:p>
            <w:pPr>
              <w:spacing w:after="0"/>
              <w:rPr>
                <w:sz w:val="15"/>
                <w:szCs w:val="15"/>
                <w:color w:val="auto"/>
              </w:rPr>
            </w:pPr>
          </w:p>
        </w:tc>
        <w:tc>
          <w:tcPr>
            <w:tcW w:w="11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commercial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estimated</w:t>
            </w:r>
          </w:p>
        </w:tc>
        <w:tc>
          <w:tcPr>
            <w:tcW w:w="0" w:type="dxa"/>
            <w:vAlign w:val="bottom"/>
          </w:tcPr>
          <w:p>
            <w:pPr>
              <w:spacing w:after="0"/>
              <w:rPr>
                <w:sz w:val="1"/>
                <w:szCs w:val="1"/>
                <w:color w:val="auto"/>
              </w:rPr>
            </w:pPr>
          </w:p>
        </w:tc>
      </w:tr>
      <w:tr>
        <w:trPr>
          <w:trHeight w:val="199"/>
        </w:trPr>
        <w:tc>
          <w:tcPr>
            <w:tcW w:w="2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Software Capitalization</w:t>
            </w:r>
          </w:p>
        </w:tc>
        <w:tc>
          <w:tcPr>
            <w:tcW w:w="120" w:type="dxa"/>
            <w:vAlign w:val="bottom"/>
          </w:tcPr>
          <w:p>
            <w:pPr>
              <w:spacing w:after="0"/>
              <w:rPr>
                <w:sz w:val="17"/>
                <w:szCs w:val="17"/>
                <w:color w:val="auto"/>
              </w:rPr>
            </w:pPr>
          </w:p>
        </w:tc>
        <w:tc>
          <w:tcPr>
            <w:tcW w:w="3800" w:type="dxa"/>
            <w:vAlign w:val="bottom"/>
          </w:tcPr>
          <w:p>
            <w:pPr>
              <w:ind w:left="15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development</w:t>
            </w: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release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costs</w:t>
            </w:r>
          </w:p>
        </w:tc>
        <w:tc>
          <w:tcPr>
            <w:tcW w:w="0" w:type="dxa"/>
            <w:vAlign w:val="bottom"/>
          </w:tcPr>
          <w:p>
            <w:pPr>
              <w:spacing w:after="0"/>
              <w:rPr>
                <w:sz w:val="1"/>
                <w:szCs w:val="1"/>
                <w:color w:val="auto"/>
              </w:rPr>
            </w:pPr>
          </w:p>
        </w:tc>
      </w:tr>
      <w:tr>
        <w:trPr>
          <w:trHeight w:val="167"/>
        </w:trPr>
        <w:tc>
          <w:tcPr>
            <w:tcW w:w="286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BLE Protocol</w:t>
            </w:r>
          </w:p>
        </w:tc>
        <w:tc>
          <w:tcPr>
            <w:tcW w:w="120" w:type="dxa"/>
            <w:vAlign w:val="bottom"/>
            <w:tcBorders>
              <w:top w:val="single" w:sz="8" w:color="CCEEFF"/>
            </w:tcBorders>
            <w:shd w:val="clear" w:color="auto" w:fill="CCEEFF"/>
          </w:tcPr>
          <w:p>
            <w:pPr>
              <w:spacing w:after="0"/>
              <w:rPr>
                <w:sz w:val="14"/>
                <w:szCs w:val="14"/>
                <w:color w:val="auto"/>
              </w:rPr>
            </w:pPr>
          </w:p>
        </w:tc>
        <w:tc>
          <w:tcPr>
            <w:tcW w:w="38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w w:val="98"/>
              </w:rPr>
              <w:t>Software protocol development for communication between</w:t>
            </w: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860" w:type="dxa"/>
            <w:vAlign w:val="bottom"/>
            <w:shd w:val="clear" w:color="auto" w:fill="CCEEFF"/>
          </w:tcPr>
          <w:p>
            <w:pPr>
              <w:spacing w:after="0"/>
              <w:rPr>
                <w:sz w:val="16"/>
                <w:szCs w:val="16"/>
                <w:color w:val="auto"/>
              </w:rPr>
            </w:pPr>
          </w:p>
        </w:tc>
        <w:tc>
          <w:tcPr>
            <w:tcW w:w="3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bridges</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1.4 in progress</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2025 Q4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347,000</w:t>
            </w:r>
          </w:p>
        </w:tc>
        <w:tc>
          <w:tcPr>
            <w:tcW w:w="0" w:type="dxa"/>
            <w:vAlign w:val="bottom"/>
          </w:tcPr>
          <w:p>
            <w:pPr>
              <w:spacing w:after="0"/>
              <w:rPr>
                <w:sz w:val="1"/>
                <w:szCs w:val="1"/>
                <w:color w:val="auto"/>
              </w:rPr>
            </w:pPr>
          </w:p>
        </w:tc>
      </w:tr>
      <w:tr>
        <w:trPr>
          <w:trHeight w:val="180"/>
        </w:trPr>
        <w:tc>
          <w:tcPr>
            <w:tcW w:w="28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Locating Protocol</w:t>
            </w:r>
          </w:p>
        </w:tc>
        <w:tc>
          <w:tcPr>
            <w:tcW w:w="392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6"/>
                <w:szCs w:val="16"/>
                <w:color w:val="auto"/>
              </w:rPr>
              <w:t>Software protocol development for locating items</w:t>
            </w:r>
          </w:p>
        </w:tc>
        <w:tc>
          <w:tcPr>
            <w:tcW w:w="100" w:type="dxa"/>
            <w:vAlign w:val="bottom"/>
          </w:tcPr>
          <w:p>
            <w:pPr>
              <w:spacing w:after="0"/>
              <w:rPr>
                <w:sz w:val="15"/>
                <w:szCs w:val="15"/>
                <w:color w:val="auto"/>
              </w:rPr>
            </w:pPr>
          </w:p>
        </w:tc>
        <w:tc>
          <w:tcPr>
            <w:tcW w:w="11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1.4 in progress</w:t>
            </w:r>
          </w:p>
        </w:tc>
        <w:tc>
          <w:tcPr>
            <w:tcW w:w="120" w:type="dxa"/>
            <w:vAlign w:val="bottom"/>
          </w:tcPr>
          <w:p>
            <w:pPr>
              <w:spacing w:after="0"/>
              <w:rPr>
                <w:sz w:val="15"/>
                <w:szCs w:val="15"/>
                <w:color w:val="auto"/>
              </w:rPr>
            </w:pPr>
          </w:p>
        </w:tc>
        <w:tc>
          <w:tcPr>
            <w:tcW w:w="11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2025 Q4</w:t>
            </w:r>
          </w:p>
        </w:tc>
        <w:tc>
          <w:tcPr>
            <w:tcW w:w="2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312,000</w:t>
            </w:r>
          </w:p>
        </w:tc>
        <w:tc>
          <w:tcPr>
            <w:tcW w:w="0" w:type="dxa"/>
            <w:vAlign w:val="bottom"/>
          </w:tcPr>
          <w:p>
            <w:pPr>
              <w:spacing w:after="0"/>
              <w:rPr>
                <w:sz w:val="1"/>
                <w:szCs w:val="1"/>
                <w:color w:val="auto"/>
              </w:rPr>
            </w:pPr>
          </w:p>
        </w:tc>
      </w:tr>
      <w:tr>
        <w:trPr>
          <w:trHeight w:val="180"/>
        </w:trPr>
        <w:tc>
          <w:tcPr>
            <w:tcW w:w="28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Web Backend</w:t>
            </w:r>
          </w:p>
        </w:tc>
        <w:tc>
          <w:tcPr>
            <w:tcW w:w="3920" w:type="dxa"/>
            <w:vAlign w:val="bottom"/>
            <w:gridSpan w:val="2"/>
            <w:shd w:val="clear" w:color="auto" w:fill="CCEEFF"/>
          </w:tcPr>
          <w:p>
            <w:pPr>
              <w:ind w:left="120"/>
              <w:spacing w:after="0" w:line="180" w:lineRule="exact"/>
              <w:rPr>
                <w:sz w:val="20"/>
                <w:szCs w:val="20"/>
                <w:color w:val="auto"/>
              </w:rPr>
            </w:pPr>
            <w:r>
              <w:rPr>
                <w:rFonts w:ascii="Times New Roman" w:cs="Times New Roman" w:eastAsia="Times New Roman" w:hAnsi="Times New Roman"/>
                <w:sz w:val="16"/>
                <w:szCs w:val="16"/>
                <w:color w:val="auto"/>
              </w:rPr>
              <w:t>Software infrastructure to support web services</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3.0 in progress</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2025 Q4</w:t>
            </w:r>
          </w:p>
        </w:tc>
        <w:tc>
          <w:tcPr>
            <w:tcW w:w="2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249,600</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Rest API</w:t>
            </w:r>
          </w:p>
        </w:tc>
        <w:tc>
          <w:tcPr>
            <w:tcW w:w="392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RestFull interface development for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4"/>
                <w:szCs w:val="14"/>
                <w:color w:val="auto"/>
              </w:rPr>
              <w:t xml:space="preserve"> party software</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60" w:type="dxa"/>
            <w:vAlign w:val="bottom"/>
          </w:tcPr>
          <w:p>
            <w:pPr>
              <w:spacing w:after="0"/>
              <w:rPr>
                <w:sz w:val="16"/>
                <w:szCs w:val="16"/>
                <w:color w:val="auto"/>
              </w:rPr>
            </w:pPr>
          </w:p>
        </w:tc>
        <w:tc>
          <w:tcPr>
            <w:tcW w:w="3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connection</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3.0 in progress</w:t>
            </w:r>
          </w:p>
        </w:tc>
        <w:tc>
          <w:tcPr>
            <w:tcW w:w="1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2025 Q4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146,800</w:t>
            </w:r>
          </w:p>
        </w:tc>
        <w:tc>
          <w:tcPr>
            <w:tcW w:w="0" w:type="dxa"/>
            <w:vAlign w:val="bottom"/>
          </w:tcPr>
          <w:p>
            <w:pPr>
              <w:spacing w:after="0"/>
              <w:rPr>
                <w:sz w:val="1"/>
                <w:szCs w:val="1"/>
                <w:color w:val="auto"/>
              </w:rPr>
            </w:pPr>
          </w:p>
        </w:tc>
      </w:tr>
      <w:tr>
        <w:trPr>
          <w:trHeight w:val="180"/>
        </w:trPr>
        <w:tc>
          <w:tcPr>
            <w:tcW w:w="28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Web Front End</w:t>
            </w:r>
          </w:p>
        </w:tc>
        <w:tc>
          <w:tcPr>
            <w:tcW w:w="3920" w:type="dxa"/>
            <w:vAlign w:val="bottom"/>
            <w:gridSpan w:val="2"/>
            <w:shd w:val="clear" w:color="auto" w:fill="CCEEFF"/>
          </w:tcPr>
          <w:p>
            <w:pPr>
              <w:ind w:left="120"/>
              <w:spacing w:after="0" w:line="180" w:lineRule="exact"/>
              <w:rPr>
                <w:sz w:val="20"/>
                <w:szCs w:val="20"/>
                <w:color w:val="auto"/>
              </w:rPr>
            </w:pPr>
            <w:r>
              <w:rPr>
                <w:rFonts w:ascii="Times New Roman" w:cs="Times New Roman" w:eastAsia="Times New Roman" w:hAnsi="Times New Roman"/>
                <w:sz w:val="16"/>
                <w:szCs w:val="16"/>
                <w:color w:val="auto"/>
              </w:rPr>
              <w:t>User interface to web services</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3.0 in progress</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2025 Q4</w:t>
            </w:r>
          </w:p>
        </w:tc>
        <w:tc>
          <w:tcPr>
            <w:tcW w:w="2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249,600</w:t>
            </w:r>
          </w:p>
        </w:tc>
        <w:tc>
          <w:tcPr>
            <w:tcW w:w="0" w:type="dxa"/>
            <w:vAlign w:val="bottom"/>
          </w:tcPr>
          <w:p>
            <w:pPr>
              <w:spacing w:after="0"/>
              <w:rPr>
                <w:sz w:val="1"/>
                <w:szCs w:val="1"/>
                <w:color w:val="auto"/>
              </w:rPr>
            </w:pPr>
          </w:p>
        </w:tc>
      </w:tr>
      <w:tr>
        <w:trPr>
          <w:trHeight w:val="180"/>
        </w:trPr>
        <w:tc>
          <w:tcPr>
            <w:tcW w:w="28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AWS Services</w:t>
            </w:r>
          </w:p>
        </w:tc>
        <w:tc>
          <w:tcPr>
            <w:tcW w:w="392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6"/>
                <w:szCs w:val="16"/>
                <w:color w:val="auto"/>
              </w:rPr>
              <w:t>Development of structure to use AWS service modules</w:t>
            </w:r>
          </w:p>
        </w:tc>
        <w:tc>
          <w:tcPr>
            <w:tcW w:w="100" w:type="dxa"/>
            <w:vAlign w:val="bottom"/>
          </w:tcPr>
          <w:p>
            <w:pPr>
              <w:spacing w:after="0"/>
              <w:rPr>
                <w:sz w:val="15"/>
                <w:szCs w:val="15"/>
                <w:color w:val="auto"/>
              </w:rPr>
            </w:pPr>
          </w:p>
        </w:tc>
        <w:tc>
          <w:tcPr>
            <w:tcW w:w="11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3.0 in progress</w:t>
            </w:r>
          </w:p>
        </w:tc>
        <w:tc>
          <w:tcPr>
            <w:tcW w:w="120" w:type="dxa"/>
            <w:vAlign w:val="bottom"/>
          </w:tcPr>
          <w:p>
            <w:pPr>
              <w:spacing w:after="0"/>
              <w:rPr>
                <w:sz w:val="15"/>
                <w:szCs w:val="15"/>
                <w:color w:val="auto"/>
              </w:rPr>
            </w:pPr>
          </w:p>
        </w:tc>
        <w:tc>
          <w:tcPr>
            <w:tcW w:w="11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2025 Q4</w:t>
            </w:r>
          </w:p>
        </w:tc>
        <w:tc>
          <w:tcPr>
            <w:tcW w:w="2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112,000</w:t>
            </w:r>
          </w:p>
        </w:tc>
        <w:tc>
          <w:tcPr>
            <w:tcW w:w="0" w:type="dxa"/>
            <w:vAlign w:val="bottom"/>
          </w:tcPr>
          <w:p>
            <w:pPr>
              <w:spacing w:after="0"/>
              <w:rPr>
                <w:sz w:val="1"/>
                <w:szCs w:val="1"/>
                <w:color w:val="auto"/>
              </w:rPr>
            </w:pPr>
          </w:p>
        </w:tc>
      </w:tr>
      <w:tr>
        <w:trPr>
          <w:trHeight w:val="180"/>
        </w:trPr>
        <w:tc>
          <w:tcPr>
            <w:tcW w:w="28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CI/CD Pipelines</w:t>
            </w:r>
          </w:p>
        </w:tc>
        <w:tc>
          <w:tcPr>
            <w:tcW w:w="3920" w:type="dxa"/>
            <w:vAlign w:val="bottom"/>
            <w:gridSpan w:val="2"/>
            <w:shd w:val="clear" w:color="auto" w:fill="CCEEFF"/>
          </w:tcPr>
          <w:p>
            <w:pPr>
              <w:ind w:left="120"/>
              <w:spacing w:after="0" w:line="180" w:lineRule="exact"/>
              <w:rPr>
                <w:sz w:val="20"/>
                <w:szCs w:val="20"/>
                <w:color w:val="auto"/>
              </w:rPr>
            </w:pPr>
            <w:r>
              <w:rPr>
                <w:rFonts w:ascii="Times New Roman" w:cs="Times New Roman" w:eastAsia="Times New Roman" w:hAnsi="Times New Roman"/>
                <w:sz w:val="16"/>
                <w:szCs w:val="16"/>
                <w:color w:val="auto"/>
              </w:rPr>
              <w:t>Integration and deployment tool development</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3.0 in progress</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2025 Q4</w:t>
            </w:r>
          </w:p>
        </w:tc>
        <w:tc>
          <w:tcPr>
            <w:tcW w:w="2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57,200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LORA LoRa &amp; Reliability</w:t>
            </w:r>
          </w:p>
        </w:tc>
        <w:tc>
          <w:tcPr>
            <w:tcW w:w="3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Long range communication protocol development</w:t>
            </w: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1.4 in progress</w:t>
            </w: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2025 Q4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154,000</w:t>
            </w:r>
          </w:p>
        </w:tc>
        <w:tc>
          <w:tcPr>
            <w:tcW w:w="0" w:type="dxa"/>
            <w:vAlign w:val="bottom"/>
          </w:tcPr>
          <w:p>
            <w:pPr>
              <w:spacing w:after="0"/>
              <w:rPr>
                <w:sz w:val="1"/>
                <w:szCs w:val="1"/>
                <w:color w:val="auto"/>
              </w:rPr>
            </w:pPr>
          </w:p>
        </w:tc>
      </w:tr>
      <w:tr>
        <w:trPr>
          <w:trHeight w:val="153"/>
        </w:trPr>
        <w:tc>
          <w:tcPr>
            <w:tcW w:w="2860" w:type="dxa"/>
            <w:vAlign w:val="bottom"/>
            <w:tcBorders>
              <w:top w:val="single" w:sz="8" w:color="CCEEFF"/>
            </w:tcBorders>
            <w:shd w:val="clear" w:color="auto" w:fill="CCEEFF"/>
          </w:tcPr>
          <w:p>
            <w:pPr>
              <w:ind w:left="160"/>
              <w:spacing w:after="0" w:line="153" w:lineRule="exact"/>
              <w:rPr>
                <w:sz w:val="20"/>
                <w:szCs w:val="20"/>
                <w:color w:val="auto"/>
              </w:rPr>
            </w:pPr>
            <w:r>
              <w:rPr>
                <w:rFonts w:ascii="Times New Roman" w:cs="Times New Roman" w:eastAsia="Times New Roman" w:hAnsi="Times New Roman"/>
                <w:sz w:val="16"/>
                <w:szCs w:val="16"/>
                <w:b w:val="1"/>
                <w:bCs w:val="1"/>
                <w:color w:val="auto"/>
              </w:rPr>
              <w:t>Total Projected Software Development</w:t>
            </w:r>
          </w:p>
        </w:tc>
        <w:tc>
          <w:tcPr>
            <w:tcW w:w="120" w:type="dxa"/>
            <w:vAlign w:val="bottom"/>
            <w:tcBorders>
              <w:top w:val="single" w:sz="8" w:color="CCEEFF"/>
            </w:tcBorders>
            <w:shd w:val="clear" w:color="auto" w:fill="CCEEFF"/>
          </w:tcPr>
          <w:p>
            <w:pPr>
              <w:spacing w:after="0"/>
              <w:rPr>
                <w:sz w:val="13"/>
                <w:szCs w:val="13"/>
                <w:color w:val="auto"/>
              </w:rPr>
            </w:pPr>
          </w:p>
        </w:tc>
        <w:tc>
          <w:tcPr>
            <w:tcW w:w="3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1,628,200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gridSpan w:val="2"/>
            <w:vMerge w:val="restart"/>
          </w:tcPr>
          <w:p>
            <w:pPr>
              <w:ind w:left="234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2"/>
        </w:trPr>
        <w:tc>
          <w:tcPr>
            <w:tcW w:w="28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2"/>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costs shown in the table above are largely the cost of human resources associated with the project, with some additional minor costs related to use costs for infrastructure, tools and platforms that support the development. Each module has a team dedicated to the release of the next version of the module. The time of team members spent on the projects are pro-rated against salary levels and attributed to the module capitalization. Time is spent on development, test, compliance and commercialization activities to prepare modules for sale to the general market.</w:t>
      </w:r>
    </w:p>
    <w:p>
      <w:pPr>
        <w:spacing w:after="0" w:line="15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The time of team members spent on the projects are pro-rated against salary levels and attributed to the module capitalization. Time is spent on development, test, compliance and commercialization activities to prepare modules for sale to the general market.” Commercialization activities include installers and scripts required for future customers to activate their license and commercially use the software product. The development stage costs are a.) direct costs incurred from external consultants in developing the internal-use software and b.) direct costs incurred from payroll and payroll -related costs for employees who are directly associated with and who devote time to the internal-use computer software projects. The cost of these commercialization activities are included in the capitalization.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Real-Time Location Systems (“RTLS”)</w:t>
      </w:r>
    </w:p>
    <w:p>
      <w:pPr>
        <w:spacing w:after="0" w:line="17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RTLS is a real-time indoor and outdoor location tracking system that locates and monitors any person, asset or vehicle within a defined zone covered by a radio frequency (“RF”) network.</w:t>
      </w:r>
    </w:p>
    <w:p>
      <w:pPr>
        <w:spacing w:after="0" w:line="143"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RTLS tags are made up of a small antenna, motion sensors, RTLS microprocessor, and a battery. Most batteries on RTLS tags can last for months (continuous movement) or many years (occasional movement) before needing to be recharged or replaced. The tags transmit a few times in a second or once every few seconds or minutes, depending on how often customers need to refresh the location data for their application.</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Customers can utilize UWB or BLE indoors; LORA, GPS and 4G/5G outdoors. Using combinations of these technologies CID Holdco can bridge the gap between inside and outside to give customers a comprehensive tracking solution for their yard, cross dock, airport, sea port, warehouse or distribution center — anywhere they need to track people, assets or vehicles — whether indoors or outside. CID Holdco employs tags and readers from many other vendors as part of their system when appropriate for the application.</w:t>
      </w:r>
    </w:p>
    <w:p>
      <w:pPr>
        <w:spacing w:after="0" w:line="155"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 unique aspect of CID Holdco is that they provide passive (battery free) transponders at BLE frequencies, in fact they are the only company offering an industrial passive BLE transponder. Using this capability, CID Holdco can deploy systems that combine inexpensive passive tags on general items with more expensive battery powered tags on items of greater interest to create a cost-effective tracking system.</w:t>
      </w:r>
    </w:p>
    <w:p>
      <w:pPr>
        <w:spacing w:after="0" w:line="15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It is also uncommon for tracking companies to use RF and Vision systems in combination. With the advent of inexpensive AI cameras, it has become cost effective for CID Holdco to pair these vision systems with their RF tracking systems to provide comprehensive coverage.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Tracking Services</w:t>
      </w:r>
    </w:p>
    <w:p>
      <w:pPr>
        <w:spacing w:after="0" w:line="17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CID Holdco provides personnel tracking enabled with passive or wireless rechargeable ID badges or belt clips, allowing data-driven efficiency and safety. Both indoor and outdoor tracking capabilities are supported by CID Holdco innovative technology.</w:t>
      </w:r>
    </w:p>
    <w:p>
      <w:pPr>
        <w:spacing w:after="0" w:line="14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Personnel and vehicles can often be tracked with vision systems as well. In many instances, tracking through key POI (Points of Interest) with RF and vision is essential to provide enhanced safety or assurance for the organization.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CID Holdco utilizes vehicle telematics systems where appropriate to track vehicles over wide areas.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Sensors (temperature, motion, pressure etc.) are also often deployed as part of the system to track key process parameters and can be inputs into the rules engine.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Solutions</w:t>
      </w:r>
    </w:p>
    <w:p>
      <w:pPr>
        <w:spacing w:after="0" w:line="17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For customers that need to know when, where and why assets and personnel are moving, and to have assurance that orders are progressing, CID Holdco provides a variety of solutions, including the following:</w:t>
      </w:r>
    </w:p>
    <w:p>
      <w:pPr>
        <w:sectPr>
          <w:pgSz w:w="11900" w:h="16840" w:orient="portrait"/>
          <w:cols w:equalWidth="0" w:num="1">
            <w:col w:w="10580"/>
          </w:cols>
          <w:pgMar w:left="660" w:top="557" w:right="660" w:bottom="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color w:val="auto"/>
        </w:rPr>
        <w:t>Inventory Management and Control</w:t>
      </w:r>
    </w:p>
    <w:p>
      <w:pPr>
        <w:spacing w:after="0" w:line="17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Warehouses and cross docks are a primary use case for the tracking and process control features of the CID Holdco system. Real-time Inventory, Picking, Packing and Putting are all applications supported by the system and to which CID Holdco provides disruptive, next generation capability.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Manufacturing</w:t>
      </w:r>
    </w:p>
    <w:p>
      <w:pPr>
        <w:spacing w:after="0" w:line="1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Any operation where material, manpower and machines are working in concert is a primary area where CID Holdco offers comprehensive solutions. Tracking inventory levels in supermarkets, picking areas or assembly sites are typical applications. Solutions for transportation and fulfillment between work cells, managing RTIs and providing data for automated material systems and robotics are also offered. The CID Holdco solution extends across campus manufacturing and can tie tracking between multiple buildings, outdoor storage areas and work cells together.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Mining and Construction</w:t>
      </w:r>
    </w:p>
    <w:p>
      <w:pPr>
        <w:spacing w:after="0" w:line="178"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dynamic nature of these sites makes them particularly good areas for CID Holdco battery powered and long -range wireless solutions. Solutions include machine and material inventory tracking, personnel tracking, guided spotting and collision avoidance. Vision systems are often combined with tracking at these sites to manage contractors and access control.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Military Operations and Logistics</w:t>
      </w:r>
    </w:p>
    <w:p>
      <w:pPr>
        <w:spacing w:after="0" w:line="17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Supporting primarily material flow and security applications, CID Holdco provides the military with an easy to deploy, dynamic and secure means of tracking material and important workflows. Inventory applications include munitions, materials, consumable supplies and many classes of assets and equipment. Visitor and contractor check-in, base-wide tracking as well as selected personnel applications in the battlefield are also of interest. Vehicles, safety equipment and tool tracking are also important applications.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Airport and Aviation Ground Support Management</w:t>
      </w:r>
    </w:p>
    <w:p>
      <w:pPr>
        <w:spacing w:after="0" w:line="17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CID Holdco solutions allow customers to create a connected network of vehicles, ground support equipment (“GSE”) and personnel with more control over the coordination of airport services.</w:t>
      </w:r>
    </w:p>
    <w:p>
      <w:pPr>
        <w:spacing w:after="0" w:line="143"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Many customers have large, outdoor areas where asset tracking in open space is very helpful. Traditional infrastructure is often too dense and expensive to install in this use case, but the CID Holdco outdoor tracking solution meshes seamlessly with its indoor tracking solutions to provide a comprehensive solution that compliments customers’ existing systems. This helps avoid common problems, including lost or stolen assets, delays in locating GSE and inefficient use of resources.</w:t>
      </w:r>
    </w:p>
    <w:p>
      <w:pPr>
        <w:spacing w:after="0" w:line="11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CID Holdco solution is designed to improve efficiency and optimize workflows by providing real-time tracking and control over all the resources at terminals and in cargo areas. With automated asset tracking solutions for aviation, customers can track employees enterprise-wide (indoors and outdoors), maximize the utilization of GSE assets, and track line maintenance teams, parts, tools and kits to maximize productivity.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Forklift Collision Warning</w:t>
      </w:r>
    </w:p>
    <w:p>
      <w:pPr>
        <w:spacing w:after="0" w:line="1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forklift collision avoidance solution is simple, promotes compliance and is flexible with the needs of customers. The solution involves minimal infrastructure investment and can be connected through the CAN bus port, allows customers to improve their regulatory compliance by having control over forklift movements for collision warning, and can be bundled with a forklift tracking system for a more comprehensive indoor location solution.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Medical Logistics</w:t>
      </w:r>
    </w:p>
    <w:p>
      <w:pPr>
        <w:spacing w:after="0" w:line="17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RTLS healthcare system includes a comprehensive digital pattern of human and asset movement and their use and interaction, so that customers get actionable insights to improve patient experience and outcome while optimizing internal logistics.</w:t>
      </w:r>
    </w:p>
    <w:p>
      <w:pPr>
        <w:spacing w:after="0" w:line="1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CID Holdco provides a comprehensive solution that compliments customers’ existing systems. Customers can track staff and patients enterprise-wide, and maximize the utilization of medical equipment and supplies in hospitals, austere medical environments or medical and emergency vehicles. The solution improves efficiency and optimizes workflows by providing real-time tracking and control. This helps avoid common problems including lost or stolen assets, delays in locating critical medical supplies and inefficient use of resources. Not only do CID Holdco solutions allow for the tracking of medical and emergency vehicles, they also provide item-level tracking within vehicles, trailers or any kind of storage or transportation container.</w:t>
      </w: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Yard Management</w:t>
      </w:r>
    </w:p>
    <w:p>
      <w:pPr>
        <w:spacing w:after="0" w:line="178" w:lineRule="exact"/>
        <w:rPr>
          <w:sz w:val="20"/>
          <w:szCs w:val="20"/>
          <w:color w:val="auto"/>
        </w:rPr>
      </w:pPr>
    </w:p>
    <w:p>
      <w:pPr>
        <w:ind w:right="80"/>
        <w:spacing w:after="0" w:line="331" w:lineRule="auto"/>
        <w:rPr>
          <w:sz w:val="20"/>
          <w:szCs w:val="20"/>
          <w:color w:val="auto"/>
        </w:rPr>
      </w:pPr>
      <w:r>
        <w:rPr>
          <w:rFonts w:ascii="Times New Roman" w:cs="Times New Roman" w:eastAsia="Times New Roman" w:hAnsi="Times New Roman"/>
          <w:sz w:val="14"/>
          <w:szCs w:val="14"/>
          <w:color w:val="auto"/>
        </w:rPr>
        <w:t>Yard management RTLS systems enable improved material handling processes, security, safety, and turnaround times. By providing a bridge between what’s happening inside the facility and transportation, yard management systems (“YMS”) create valuable opportunities for businesses to improve their yard processes and profitability.</w:t>
      </w:r>
    </w:p>
    <w:p>
      <w:pPr>
        <w:spacing w:after="0" w:line="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YMS are a combination of software and hardware working together to oversee the movement of trucks and trailers within manufacturing, distribution, warehousing and delivery facilities. The primary goal of yard management is to make business operations more efficient. Yard management systems help improve efficiency, safety, and ease of inventory loading/unloading, transportation management, and warehouse management. YMS provides real-time location information of trailers in the yard so employees can stage trailers to docks and fulfill orders efficiently.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Artificial Intelligence</w:t>
      </w:r>
    </w:p>
    <w:p>
      <w:pPr>
        <w:spacing w:after="0" w:line="1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Our solution operates as an edge execution and intelligence module, almost always integrated with an enterprise software (ERP, MES, WMS, etc.) system of record. Traditionally these enterprise software packages have relied on training personnel to execute orders and workflows, with little or no tracking of the interim steps between significant process milestones.</w:t>
      </w:r>
    </w:p>
    <w:p>
      <w:pPr>
        <w:spacing w:after="0" w:line="15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We track and direct actions with much more detail than historical systems, due largely to our advanced IoT data collection capabilities. This additional data not only fills in gaps in the enterprise workflow records to create a more complete digital thread of the process, it provides a rich data source for enhancing enterprise execution through the use of AI. There are three primary ways that AI technology is applied in our solution:</w:t>
      </w:r>
    </w:p>
    <w:p>
      <w:pPr>
        <w:sectPr>
          <w:pgSz w:w="11900" w:h="16840" w:orient="portrait"/>
          <w:cols w:equalWidth="0" w:num="1">
            <w:col w:w="10580"/>
          </w:cols>
          <w:pgMar w:left="660" w:top="735" w:right="660" w:bottom="1095" w:gutter="0" w:footer="0" w:header="0"/>
        </w:sectPr>
      </w:pPr>
    </w:p>
    <w:bookmarkStart w:id="40" w:name="page41"/>
    <w:bookmarkEnd w:id="40"/>
    <w:p>
      <w:pPr>
        <w:jc w:val="both"/>
        <w:ind w:left="580" w:hanging="286"/>
        <w:spacing w:after="0" w:line="277" w:lineRule="auto"/>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use </w:t>
      </w:r>
      <w:r>
        <w:rPr>
          <w:rFonts w:ascii="Times New Roman" w:cs="Times New Roman" w:eastAsia="Times New Roman" w:hAnsi="Times New Roman"/>
          <w:sz w:val="14"/>
          <w:szCs w:val="14"/>
          <w:b w:val="1"/>
          <w:bCs w:val="1"/>
          <w:color w:val="auto"/>
        </w:rPr>
        <w:t>AI Cameras</w:t>
      </w:r>
      <w:r>
        <w:rPr>
          <w:rFonts w:ascii="Times New Roman" w:cs="Times New Roman" w:eastAsia="Times New Roman" w:hAnsi="Times New Roman"/>
          <w:sz w:val="14"/>
          <w:szCs w:val="14"/>
          <w:color w:val="auto"/>
        </w:rPr>
        <w:t xml:space="preserve"> as one of our means of data collection. This means that one or more cameras may be installed in the enterprise to monitor designated areas of interest. We capture the data streams from these cameras and use AI algorithms to recognize various objects moving in frame. Algorithms used are currently simple object recognition, i.e. we determine the object is a box, a person, a forklift, etc. Where a trackable tag has been applied to the object (RFID, Barcode, etc.), we correlate the image seen with the trackable information recorded and use probability filters to overlay the trackable information with the observed object. This enables enhanced intelligent tracking of assets using the overlay of digital image capture and the tracking information (identification number of the asset, parameter fields, location information and date and time stamps generated during associated movements) stored in our database. We anticipate that our AI Camera module will likely be enhanced in the future to include more advanced object recognition, such as long-range symbology (barcode) reading, facial recognition for personnel and greater learning capabilities to distinguish between various packages, tools or equipment in a given enterprise.</w:t>
      </w:r>
    </w:p>
    <w:p>
      <w:pPr>
        <w:spacing w:after="0" w:line="158" w:lineRule="exact"/>
        <w:rPr>
          <w:rFonts w:ascii="Times New Roman" w:cs="Times New Roman" w:eastAsia="Times New Roman" w:hAnsi="Times New Roman"/>
          <w:sz w:val="14"/>
          <w:szCs w:val="14"/>
          <w:color w:val="auto"/>
        </w:rPr>
      </w:pPr>
    </w:p>
    <w:p>
      <w:pPr>
        <w:jc w:val="both"/>
        <w:ind w:left="580" w:hanging="286"/>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use a </w:t>
      </w:r>
      <w:r>
        <w:rPr>
          <w:rFonts w:ascii="Times New Roman" w:cs="Times New Roman" w:eastAsia="Times New Roman" w:hAnsi="Times New Roman"/>
          <w:sz w:val="16"/>
          <w:szCs w:val="16"/>
          <w:b w:val="1"/>
          <w:bCs w:val="1"/>
          <w:color w:val="auto"/>
        </w:rPr>
        <w:t>Rules Engine</w:t>
      </w:r>
      <w:r>
        <w:rPr>
          <w:rFonts w:ascii="Times New Roman" w:cs="Times New Roman" w:eastAsia="Times New Roman" w:hAnsi="Times New Roman"/>
          <w:sz w:val="16"/>
          <w:szCs w:val="16"/>
          <w:color w:val="auto"/>
        </w:rPr>
        <w:t xml:space="preserve"> to allow our administrative users to set rules that should not be violated in their particular application. Examples of typical rules may include constraints such as not loading through a certain dock door after 4:00 pm, always having two bins worth of material in every pick station, restricting aisle access to one machine at a time, etc. Our Rules Engine uses real-time tracking information as input to monitor and enforce the rules set by the user. Alarms can be set to inform supervisors to intervene and I/O devices can be triggered to prevent violation of the rules. The data set for this AI action includes the digital image capture and the tracking information (identification number of the asset, parameter fields, location information and date and time stamps generated during associated movements) stored in our database.</w:t>
      </w:r>
    </w:p>
    <w:p>
      <w:pPr>
        <w:spacing w:after="0" w:line="156" w:lineRule="exact"/>
        <w:rPr>
          <w:rFonts w:ascii="Times New Roman" w:cs="Times New Roman" w:eastAsia="Times New Roman" w:hAnsi="Times New Roman"/>
          <w:sz w:val="16"/>
          <w:szCs w:val="16"/>
          <w:color w:val="auto"/>
        </w:rPr>
      </w:pPr>
    </w:p>
    <w:p>
      <w:pPr>
        <w:jc w:val="both"/>
        <w:ind w:left="580" w:hanging="286"/>
        <w:spacing w:after="0" w:line="239" w:lineRule="auto"/>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use AI to implement </w:t>
      </w:r>
      <w:r>
        <w:rPr>
          <w:rFonts w:ascii="Times New Roman" w:cs="Times New Roman" w:eastAsia="Times New Roman" w:hAnsi="Times New Roman"/>
          <w:sz w:val="16"/>
          <w:szCs w:val="16"/>
          <w:b w:val="1"/>
          <w:bCs w:val="1"/>
          <w:color w:val="auto"/>
        </w:rPr>
        <w:t>Enhanced Workflows</w:t>
      </w:r>
      <w:r>
        <w:rPr>
          <w:rFonts w:ascii="Times New Roman" w:cs="Times New Roman" w:eastAsia="Times New Roman" w:hAnsi="Times New Roman"/>
          <w:sz w:val="16"/>
          <w:szCs w:val="16"/>
          <w:color w:val="auto"/>
        </w:rPr>
        <w:t>. Our software supports common material handling workflows including Pick, Put, Pack, Inventory and Inspect. In performing these tasks, operators in the future can be assisted by intelligent algorithms that work in the background to provide context, meaning and analysis of the data supporting the action they are being asked to do. For example, a picker can have his jobs prioritized in real-time to meet timelines the AI system calculates are required for upstream operators, an inspector can have suspected batches flagged based on a combination of parameters observed by the system or a forklift operator can be directed to put material in a bay that is optimized for quickest access for a future action. This enhanced function can be displayed as suggestions for the operator to consider or enabled to act directly on the order being executed to direct the operator. The AI engine has a learning element that allows it to assist more effectively over time as it learns the workflows of the particular enterprise.</w:t>
      </w: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The data sets used to enhance workflows include the same digital image capture and tracking information (identification number of the asset, parameter fields, location information and date and time stamps generated during associated movements) stored in our database as our other AI implementations. However this feature also depends on a meta-data object we call a Recipe. The Recipe encodes the concept that any action in tracking, transforming or transporting an asset requires specified conditions, time and resources to be accomplished. In the future, the AI algorithms will attempt to optimize all aspects of the recipe to most effectively achieve the outcome required by the enterprise management system.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connection with developing and implementing our AI algorithms, we use the following third-party toolkits: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AWS Services:</w:t>
      </w:r>
    </w:p>
    <w:p>
      <w:pPr>
        <w:spacing w:after="0" w:line="178" w:lineRule="exact"/>
        <w:rPr>
          <w:sz w:val="20"/>
          <w:szCs w:val="20"/>
          <w:color w:val="auto"/>
        </w:rPr>
      </w:pPr>
    </w:p>
    <w:p>
      <w:pPr>
        <w:ind w:left="300"/>
        <w:spacing w:after="0"/>
        <w:tabs>
          <w:tab w:leader="none" w:pos="5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4"/>
          <w:szCs w:val="14"/>
          <w:color w:val="auto"/>
        </w:rPr>
        <w:t>AWS KVS: Used for video streaming, not inherently AI, but can be integrated with AI for video analysis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Libraries:</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  YOLOv8 &amp; YOLOv10: These are object detection models specifically used for AI purposes, particularly computer vision.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  open-cv: An open-source library used for computer vision tasks, commonly used in AI applications.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  deepsort: Used for tracking objects, often paired with AI models like YOLO for real-time AI-based tracking.</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  pytorch: A deep learning library, essential for AI and machine learning model development.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  numpy: A fundamental library for numerical computations, frequently used in AI tasks for handling data arrays.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AI Tools &amp; Data:</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  Stable Diffusion: An AI model for generating images.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  Midjourney: An AI tool for generating images from text prompts.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  Adobe Firefly: AI-powered creative tools for image and video editing.</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  Roboflow: A platform that assists in building computer vision models, supporting AI workflows.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Tools:</w:t>
      </w:r>
    </w:p>
    <w:p>
      <w:pPr>
        <w:spacing w:after="0" w:line="178" w:lineRule="exact"/>
        <w:rPr>
          <w:sz w:val="20"/>
          <w:szCs w:val="20"/>
          <w:color w:val="auto"/>
        </w:rPr>
      </w:pPr>
    </w:p>
    <w:p>
      <w:pPr>
        <w:ind w:left="5200" w:right="3320" w:hanging="4915"/>
        <w:spacing w:after="0" w:line="745" w:lineRule="auto"/>
        <w:rPr>
          <w:sz w:val="20"/>
          <w:szCs w:val="20"/>
          <w:color w:val="auto"/>
        </w:rPr>
      </w:pPr>
      <w:r>
        <w:rPr>
          <w:rFonts w:ascii="Times New Roman" w:cs="Times New Roman" w:eastAsia="Times New Roman" w:hAnsi="Times New Roman"/>
          <w:sz w:val="16"/>
          <w:szCs w:val="16"/>
          <w:color w:val="auto"/>
        </w:rPr>
        <w:t>— labelImg: Used for labeling images, an important step in AI model training, especially for computer vision.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-251460</wp:posOffset>
            </wp:positionV>
            <wp:extent cx="670750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Corporate Structure</w:t>
      </w:r>
    </w:p>
    <w:p>
      <w:pPr>
        <w:spacing w:after="0" w:line="17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company anticipates having 44 full-time equivalent employees in 2025. These resources are organized into five major departments, each headed by an executive as shown below:</w:t>
      </w:r>
    </w:p>
    <w:p>
      <w:pPr>
        <w:sectPr>
          <w:pgSz w:w="11900" w:h="16840" w:orient="portrait"/>
          <w:cols w:equalWidth="0" w:num="1">
            <w:col w:w="10580"/>
          </w:cols>
          <w:pgMar w:left="660" w:top="555" w:right="660"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918210</wp:posOffset>
            </wp:positionH>
            <wp:positionV relativeFrom="page">
              <wp:posOffset>361950</wp:posOffset>
            </wp:positionV>
            <wp:extent cx="5716905" cy="30486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5716905" cy="304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is based in the United States with four existing or planned locations of activity:</w:t>
      </w:r>
    </w:p>
    <w:p>
      <w:pPr>
        <w:spacing w:after="0" w:line="17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Las Vegas, Nevada — hosts our Go -To-Market team including our Sales, Marketing and Professional Services leadership, a Western Experience Center for demonstrations as well as customer and channel training facilities.</w:t>
      </w:r>
    </w:p>
    <w:p>
      <w:pPr>
        <w:spacing w:after="0" w:line="14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Bethesda, Maryland — hosts our General &amp; Administration leadership team, an Eastern Experience Center for demonstrations as well as customer and channel training facilities.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Worcester, Massachusetts — hosts our R&amp;D group, including a lab space with testing equipment and meeting facilities to host customer integration meetings. Note that while our US-based developers are clustered around this location, a significant portion of our R&amp;D developers are located in Bangalore, India and access the lab equipment remotely to conduct tests and validation.</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Manati, Puerto Rico — the site of our hardware manufacturing, a small factory producing selected tags and bridges that are specific to the unique tracking system of the company.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7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asset, personnel and material flow management industry is highly fragmented, with most vendors offering software and/or hardware solutions addressing specific industry verticals or specific solution sets. Our competition can be described from several perspectives as follows: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Market Leaders in Tracking and AutoID Systems</w:t>
      </w:r>
    </w:p>
    <w:p>
      <w:pPr>
        <w:spacing w:after="0" w:line="1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b w:val="1"/>
          <w:bCs w:val="1"/>
          <w:color w:val="auto"/>
        </w:rPr>
        <w:t xml:space="preserve">Zebra </w:t>
      </w:r>
      <w:r>
        <w:rPr>
          <w:rFonts w:ascii="Times New Roman" w:cs="Times New Roman" w:eastAsia="Times New Roman" w:hAnsi="Times New Roman"/>
          <w:sz w:val="14"/>
          <w:szCs w:val="14"/>
          <w:color w:val="auto"/>
        </w:rPr>
        <w:t>— Zebra Technologies Corporation is a mobile computing company based in San Francisco, California, specializing in technology used to sense, analyze, and act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real time. The company manufactures and sells marking, tracking, and computer printing technologies. Its products include mobile computers and tablets, software, thermal barcode label and receipt printers, RFID smart label printers/encoders/fixed &amp; handheld readers/antennas, autonomous mobile robots (AMR’s) &amp; machine vision (MV), and fixed industrial scanning hardware &amp; software. As the largest incumbent in the US market, with a legacy in printer manufacturing and barcode systems, its business model is focused on growing and developing new technology via acquisition, including a $3.5B deal to buy Motorola Solutions business in 2014.</w:t>
      </w:r>
    </w:p>
    <w:p>
      <w:pPr>
        <w:spacing w:after="0" w:line="12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Samsara </w:t>
      </w:r>
      <w:r>
        <w:rPr>
          <w:rFonts w:ascii="Times New Roman" w:cs="Times New Roman" w:eastAsia="Times New Roman" w:hAnsi="Times New Roman"/>
          <w:sz w:val="14"/>
          <w:szCs w:val="14"/>
          <w:color w:val="auto"/>
        </w:rPr>
        <w:t>— Samsara Inc. is an IoT company headquartered in San Francisco, California, that provides software and insights for physical operations.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reports over 20,000 customers across North America and Europe. Samsara developed a connected operations cloud platform that provides insights to physical operations organizations in the transportation, construction, energy, utilities, public sector and retail industries, and supports the safety and efficiency of those operations. The company’s initial public offering raised $805 million in December 2021. They use a SAAS model with most of their revenue in ARR software subscriptions.</w:t>
      </w:r>
    </w:p>
    <w:p>
      <w:pPr>
        <w:spacing w:after="0" w:line="12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HID Global — Originally a German multinational, they were purchased by a Swedish company and relocated their corporate headquarters to Texas. The company is known for its Access Control and Security products and services and have expanded to all aspects of RFID and barcoding, including real-time tracking and AI.</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Niche or Regional Tracking System Players</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market is crowded with small players as is typical in periods of generational transition. Many are attempting to apply IoT technology in a specific way or focused on a particular vertical application.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00" w:type="dxa"/>
            <w:vAlign w:val="bottom"/>
          </w:tcPr>
          <w:p>
            <w:pPr>
              <w:spacing w:after="0"/>
              <w:rPr>
                <w:sz w:val="17"/>
                <w:szCs w:val="17"/>
                <w:color w:val="auto"/>
              </w:rPr>
            </w:pPr>
          </w:p>
        </w:tc>
        <w:tc>
          <w:tcPr>
            <w:tcW w:w="2340" w:type="dxa"/>
            <w:vAlign w:val="bottom"/>
          </w:tcPr>
          <w:p>
            <w:pPr>
              <w:ind w:left="8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0" w:type="dxa"/>
            <w:vAlign w:val="bottom"/>
          </w:tcPr>
          <w:p>
            <w:pPr>
              <w:spacing w:after="0"/>
              <w:rPr>
                <w:sz w:val="17"/>
                <w:szCs w:val="17"/>
                <w:color w:val="auto"/>
              </w:rPr>
            </w:pPr>
          </w:p>
        </w:tc>
        <w:tc>
          <w:tcPr>
            <w:tcW w:w="6340" w:type="dxa"/>
            <w:vAlign w:val="bottom"/>
            <w:gridSpan w:val="2"/>
          </w:tcPr>
          <w:p>
            <w:pPr>
              <w:ind w:left="2980"/>
              <w:spacing w:after="0"/>
              <w:rPr>
                <w:sz w:val="20"/>
                <w:szCs w:val="20"/>
                <w:color w:val="auto"/>
              </w:rPr>
            </w:pPr>
            <w:r>
              <w:rPr>
                <w:rFonts w:ascii="Times New Roman" w:cs="Times New Roman" w:eastAsia="Times New Roman" w:hAnsi="Times New Roman"/>
                <w:sz w:val="16"/>
                <w:szCs w:val="16"/>
                <w:b w:val="1"/>
                <w:bCs w:val="1"/>
                <w:color w:val="auto"/>
              </w:rPr>
              <w:t>Notes</w:t>
            </w:r>
          </w:p>
        </w:tc>
      </w:tr>
      <w:tr>
        <w:trPr>
          <w:trHeight w:val="167"/>
        </w:trPr>
        <w:tc>
          <w:tcPr>
            <w:tcW w:w="170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6"/>
                <w:szCs w:val="16"/>
                <w:color w:val="auto"/>
              </w:rPr>
              <w:t>Link Labs</w:t>
            </w:r>
          </w:p>
        </w:tc>
        <w:tc>
          <w:tcPr>
            <w:tcW w:w="100" w:type="dxa"/>
            <w:vAlign w:val="bottom"/>
          </w:tcPr>
          <w:p>
            <w:pPr>
              <w:spacing w:after="0"/>
              <w:rPr>
                <w:sz w:val="14"/>
                <w:szCs w:val="14"/>
                <w:color w:val="auto"/>
              </w:rPr>
            </w:pPr>
          </w:p>
        </w:tc>
        <w:tc>
          <w:tcPr>
            <w:tcW w:w="234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6"/>
                <w:szCs w:val="16"/>
                <w:color w:val="auto"/>
              </w:rPr>
              <w:t>Annapolis, MD</w:t>
            </w:r>
          </w:p>
        </w:tc>
        <w:tc>
          <w:tcPr>
            <w:tcW w:w="100" w:type="dxa"/>
            <w:vAlign w:val="bottom"/>
          </w:tcPr>
          <w:p>
            <w:pPr>
              <w:spacing w:after="0"/>
              <w:rPr>
                <w:sz w:val="14"/>
                <w:szCs w:val="14"/>
                <w:color w:val="auto"/>
              </w:rPr>
            </w:pPr>
          </w:p>
        </w:tc>
        <w:tc>
          <w:tcPr>
            <w:tcW w:w="632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6"/>
                <w:szCs w:val="16"/>
                <w:color w:val="auto"/>
              </w:rPr>
              <w:t>BLE with a patented overlay protocol XLE (extreme low energy). Phase-ranging with 3 – 7 years</w:t>
            </w:r>
          </w:p>
        </w:tc>
        <w:tc>
          <w:tcPr>
            <w:tcW w:w="20" w:type="dxa"/>
            <w:vAlign w:val="bottom"/>
          </w:tcPr>
          <w:p>
            <w:pPr>
              <w:spacing w:after="0"/>
              <w:rPr>
                <w:sz w:val="14"/>
                <w:szCs w:val="14"/>
                <w:color w:val="auto"/>
              </w:rPr>
            </w:pPr>
          </w:p>
        </w:tc>
      </w:tr>
      <w:tr>
        <w:trPr>
          <w:trHeight w:val="203"/>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battery life and accuracy in asset location to within a meter. Use pRFID too.</w:t>
            </w:r>
          </w:p>
        </w:tc>
      </w:tr>
      <w:tr>
        <w:trPr>
          <w:trHeight w:val="337"/>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Cognosos</w:t>
            </w:r>
          </w:p>
        </w:tc>
        <w:tc>
          <w:tcPr>
            <w:tcW w:w="10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Atlanta, GA</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w w:val="98"/>
              </w:rPr>
              <w:t>BLE with Location AI technology, LoRA distance backhaul using Semtech LPWA, 1-3m accuracy.</w:t>
            </w:r>
          </w:p>
        </w:tc>
      </w:tr>
      <w:tr>
        <w:trPr>
          <w:trHeight w:val="203"/>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Use pRFID too.</w:t>
            </w:r>
          </w:p>
        </w:tc>
      </w:tr>
    </w:tbl>
    <w:p>
      <w:pPr>
        <w:sectPr>
          <w:pgSz w:w="11900" w:h="16840" w:orient="portrait"/>
          <w:cols w:equalWidth="0" w:num="1">
            <w:col w:w="10580"/>
          </w:cols>
          <w:pgMar w:left="660" w:top="1440" w:right="660" w:bottom="43"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True Spot</w:t>
            </w:r>
          </w:p>
        </w:tc>
        <w:tc>
          <w:tcPr>
            <w:tcW w:w="2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Irving, TX</w:t>
            </w:r>
          </w:p>
        </w:tc>
        <w:tc>
          <w:tcPr>
            <w:tcW w:w="6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BLE system, focused on Health Care market</w:t>
            </w:r>
          </w:p>
        </w:tc>
      </w:tr>
      <w:tr>
        <w:trPr>
          <w:trHeight w:val="36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Blueiot</w:t>
            </w:r>
          </w:p>
        </w:tc>
        <w:tc>
          <w:tcPr>
            <w:tcW w:w="2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Beijing, China</w:t>
            </w:r>
          </w:p>
        </w:tc>
        <w:tc>
          <w:tcPr>
            <w:tcW w:w="6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They claim to have done a BLE implementation with accuracy to 10cm.</w:t>
            </w:r>
          </w:p>
        </w:tc>
      </w:tr>
      <w:tr>
        <w:trPr>
          <w:trHeight w:val="36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Dusun</w:t>
            </w:r>
          </w:p>
        </w:tc>
        <w:tc>
          <w:tcPr>
            <w:tcW w:w="2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Hangzhou, China</w:t>
            </w:r>
          </w:p>
        </w:tc>
        <w:tc>
          <w:tcPr>
            <w:tcW w:w="6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Lorawan and BLE, some zigbee, broad hardware offer.</w:t>
            </w:r>
          </w:p>
        </w:tc>
      </w:tr>
      <w:tr>
        <w:trPr>
          <w:trHeight w:val="36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Mokosmart</w:t>
            </w:r>
          </w:p>
        </w:tc>
        <w:tc>
          <w:tcPr>
            <w:tcW w:w="2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Shenzen, China</w:t>
            </w:r>
          </w:p>
        </w:tc>
        <w:tc>
          <w:tcPr>
            <w:tcW w:w="6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Big hardware maker, #1 in our space for private labelling</w:t>
            </w:r>
          </w:p>
        </w:tc>
      </w:tr>
      <w:tr>
        <w:trPr>
          <w:trHeight w:val="36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Milesight</w:t>
            </w:r>
          </w:p>
        </w:tc>
        <w:tc>
          <w:tcPr>
            <w:tcW w:w="2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Xiamen, Fujian, China</w:t>
            </w:r>
          </w:p>
        </w:tc>
        <w:tc>
          <w:tcPr>
            <w:tcW w:w="6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Use Lora, BLE and video feeds in their system</w:t>
            </w:r>
          </w:p>
        </w:tc>
      </w:tr>
      <w:tr>
        <w:trPr>
          <w:trHeight w:val="36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Digital Matter</w:t>
            </w:r>
          </w:p>
        </w:tc>
        <w:tc>
          <w:tcPr>
            <w:tcW w:w="2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Perth, AUS</w:t>
            </w:r>
          </w:p>
        </w:tc>
        <w:tc>
          <w:tcPr>
            <w:tcW w:w="6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Telematics and tracking systems, LoRA and BLE</w:t>
            </w:r>
          </w:p>
        </w:tc>
      </w:tr>
      <w:tr>
        <w:trPr>
          <w:trHeight w:val="36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Abeeway</w:t>
            </w:r>
          </w:p>
        </w:tc>
        <w:tc>
          <w:tcPr>
            <w:tcW w:w="2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Biot, France</w:t>
            </w:r>
          </w:p>
        </w:tc>
        <w:tc>
          <w:tcPr>
            <w:tcW w:w="6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Lorawan and BLE, indoor and outdoor capability</w:t>
            </w:r>
          </w:p>
        </w:tc>
      </w:tr>
      <w:tr>
        <w:trPr>
          <w:trHeight w:val="36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Kontakt.io</w:t>
            </w:r>
          </w:p>
        </w:tc>
        <w:tc>
          <w:tcPr>
            <w:tcW w:w="2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Krakow, Poland</w:t>
            </w:r>
          </w:p>
        </w:tc>
        <w:tc>
          <w:tcPr>
            <w:tcW w:w="6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Initially a hardware vendor, have grown into full solution with hardware as a key element</w:t>
            </w:r>
          </w:p>
        </w:tc>
      </w:tr>
      <w:tr>
        <w:trPr>
          <w:trHeight w:val="36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Ubisense</w:t>
            </w:r>
          </w:p>
        </w:tc>
        <w:tc>
          <w:tcPr>
            <w:tcW w:w="2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Cambridge, UK</w:t>
            </w:r>
          </w:p>
        </w:tc>
        <w:tc>
          <w:tcPr>
            <w:tcW w:w="6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UWB high precision tracking is the focus, also have a line of BLE tracking solutions.</w:t>
            </w:r>
          </w:p>
        </w:tc>
      </w:tr>
      <w:tr>
        <w:trPr>
          <w:trHeight w:val="36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Radiant RFID</w:t>
            </w:r>
          </w:p>
        </w:tc>
        <w:tc>
          <w:tcPr>
            <w:tcW w:w="2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Austin, Texas</w:t>
            </w:r>
          </w:p>
        </w:tc>
        <w:tc>
          <w:tcPr>
            <w:tcW w:w="6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UHF RFID systems, attempting to migrate to next generation technology</w:t>
            </w:r>
          </w:p>
        </w:tc>
      </w:tr>
      <w:tr>
        <w:trPr>
          <w:trHeight w:val="36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Sensolus</w:t>
            </w:r>
          </w:p>
        </w:tc>
        <w:tc>
          <w:tcPr>
            <w:tcW w:w="2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Ghent, Belgium</w:t>
            </w:r>
          </w:p>
        </w:tc>
        <w:tc>
          <w:tcPr>
            <w:tcW w:w="6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Tracking and workflow systems</w:t>
            </w:r>
          </w:p>
        </w:tc>
      </w:tr>
      <w:tr>
        <w:trPr>
          <w:trHeight w:val="36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Litum</w:t>
            </w:r>
          </w:p>
        </w:tc>
        <w:tc>
          <w:tcPr>
            <w:tcW w:w="2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Izmir, Turkey</w:t>
            </w:r>
          </w:p>
        </w:tc>
        <w:tc>
          <w:tcPr>
            <w:tcW w:w="6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UWB high precision tracking is the focus, also have a line of BLE tracking solutions.</w:t>
            </w:r>
          </w:p>
        </w:tc>
      </w:tr>
      <w:tr>
        <w:trPr>
          <w:trHeight w:val="36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Savi</w:t>
            </w:r>
          </w:p>
        </w:tc>
        <w:tc>
          <w:tcPr>
            <w:tcW w:w="2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Alexandria, VA</w:t>
            </w:r>
          </w:p>
        </w:tc>
        <w:tc>
          <w:tcPr>
            <w:tcW w:w="6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Military supplier, long range tracking tags for containers and pallets. ISO 18000-7</w:t>
            </w:r>
          </w:p>
        </w:tc>
      </w:tr>
      <w:tr>
        <w:trPr>
          <w:trHeight w:val="337"/>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Inpixion</w:t>
            </w:r>
          </w:p>
        </w:tc>
        <w:tc>
          <w:tcPr>
            <w:tcW w:w="2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Palo Alto, CA</w:t>
            </w:r>
          </w:p>
        </w:tc>
        <w:tc>
          <w:tcPr>
            <w:tcW w:w="6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Use of BLE and UWB as needed. Open architecture. Inpixon is a business unit of XTI Aerospace,</w:t>
            </w:r>
          </w:p>
        </w:tc>
      </w:tr>
      <w:tr>
        <w:trPr>
          <w:trHeight w:val="203"/>
        </w:trPr>
        <w:tc>
          <w:tcPr>
            <w:tcW w:w="1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Inc.</w:t>
            </w:r>
          </w:p>
        </w:tc>
      </w:tr>
      <w:tr>
        <w:trPr>
          <w:trHeight w:val="546"/>
        </w:trPr>
        <w:tc>
          <w:tcPr>
            <w:tcW w:w="13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6"/>
                <w:szCs w:val="16"/>
                <w:color w:val="auto"/>
              </w:rPr>
              <w:t>67</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Combined, these smaller players represent approximately $350M in annual sales. Most are using a transactional model, selling software and hardware bundled into a solution with a one-time fee, often with a maintenance fee for each year of operation.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industry specific players, particularly in Health Care, where the requirements can be quite specific and the use cases focused.</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Competition is from all over the word, with many of the most important competitors centered in the US market, although China is a big part of this list even if they are not explicitly identified. Many of the devices designed by these players are made in China via contractors.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is also a wide technology spread. Some specialize in precise location services using UWB. Some are strictly BLE or LoRA shops.</w:t>
      </w:r>
    </w:p>
    <w:p>
      <w:pPr>
        <w:spacing w:after="0" w:line="17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Note that this list does not include all of the passive RFID and barcode system companies also active in the market. Their legacy footprint represents one of the best market opportunities to convert.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00" w:type="dxa"/>
            <w:vAlign w:val="bottom"/>
          </w:tcPr>
          <w:p>
            <w:pPr>
              <w:spacing w:after="0"/>
              <w:rPr>
                <w:sz w:val="17"/>
                <w:szCs w:val="17"/>
                <w:color w:val="auto"/>
              </w:rPr>
            </w:pPr>
          </w:p>
        </w:tc>
        <w:tc>
          <w:tcPr>
            <w:tcW w:w="23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0" w:type="dxa"/>
            <w:vAlign w:val="bottom"/>
          </w:tcPr>
          <w:p>
            <w:pPr>
              <w:spacing w:after="0"/>
              <w:rPr>
                <w:sz w:val="17"/>
                <w:szCs w:val="17"/>
                <w:color w:val="auto"/>
              </w:rPr>
            </w:pPr>
          </w:p>
        </w:tc>
        <w:tc>
          <w:tcPr>
            <w:tcW w:w="632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6"/>
                <w:szCs w:val="16"/>
                <w:b w:val="1"/>
                <w:bCs w:val="1"/>
                <w:color w:val="auto"/>
              </w:rPr>
              <w:t>Notes</w:t>
            </w:r>
          </w:p>
        </w:tc>
      </w:tr>
      <w:tr>
        <w:trPr>
          <w:trHeight w:val="167"/>
        </w:trPr>
        <w:tc>
          <w:tcPr>
            <w:tcW w:w="17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Link Labs</w:t>
            </w:r>
          </w:p>
        </w:tc>
        <w:tc>
          <w:tcPr>
            <w:tcW w:w="100" w:type="dxa"/>
            <w:vAlign w:val="bottom"/>
          </w:tcPr>
          <w:p>
            <w:pPr>
              <w:spacing w:after="0"/>
              <w:rPr>
                <w:sz w:val="14"/>
                <w:szCs w:val="14"/>
                <w:color w:val="auto"/>
              </w:rPr>
            </w:pPr>
          </w:p>
        </w:tc>
        <w:tc>
          <w:tcPr>
            <w:tcW w:w="23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Annapolis, MD</w:t>
            </w:r>
          </w:p>
        </w:tc>
        <w:tc>
          <w:tcPr>
            <w:tcW w:w="100" w:type="dxa"/>
            <w:vAlign w:val="bottom"/>
          </w:tcPr>
          <w:p>
            <w:pPr>
              <w:spacing w:after="0"/>
              <w:rPr>
                <w:sz w:val="14"/>
                <w:szCs w:val="14"/>
                <w:color w:val="auto"/>
              </w:rPr>
            </w:pPr>
          </w:p>
        </w:tc>
        <w:tc>
          <w:tcPr>
            <w:tcW w:w="63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BLE with a patented overlay protocol XLE (extreme low energy). Phase-ranging with 3 – 7 years</w:t>
            </w:r>
          </w:p>
        </w:tc>
      </w:tr>
      <w:tr>
        <w:trPr>
          <w:trHeight w:val="203"/>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battery life and accuracy in asset location to within a meter. Use pRFID too.</w:t>
            </w:r>
          </w:p>
        </w:tc>
      </w:tr>
      <w:tr>
        <w:trPr>
          <w:trHeight w:val="337"/>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Cognosos</w:t>
            </w:r>
          </w:p>
        </w:tc>
        <w:tc>
          <w:tcPr>
            <w:tcW w:w="10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Atlanta, GA</w:t>
            </w:r>
          </w:p>
        </w:tc>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BLE with LocationAI technology, LoRA distance backhaul using Semtech LPWA, 1-3m accuracy.</w:t>
            </w:r>
          </w:p>
        </w:tc>
      </w:tr>
      <w:tr>
        <w:trPr>
          <w:trHeight w:val="203"/>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Use pRFID too.</w:t>
            </w:r>
          </w:p>
        </w:tc>
      </w:tr>
      <w:tr>
        <w:trPr>
          <w:trHeight w:val="360"/>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True Spot</w:t>
            </w:r>
          </w:p>
        </w:tc>
        <w:tc>
          <w:tcPr>
            <w:tcW w:w="10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Irving, TX</w:t>
            </w:r>
          </w:p>
        </w:tc>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BLE system, focused on Health Care market</w:t>
            </w:r>
          </w:p>
        </w:tc>
      </w:tr>
      <w:tr>
        <w:trPr>
          <w:trHeight w:val="360"/>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Blueiot</w:t>
            </w:r>
          </w:p>
        </w:tc>
        <w:tc>
          <w:tcPr>
            <w:tcW w:w="10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Beijing, China</w:t>
            </w:r>
          </w:p>
        </w:tc>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They claim to have done a BLE implementation with accuracy to 10cm.</w:t>
            </w:r>
          </w:p>
        </w:tc>
      </w:tr>
      <w:tr>
        <w:trPr>
          <w:trHeight w:val="360"/>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Dusun</w:t>
            </w:r>
          </w:p>
        </w:tc>
        <w:tc>
          <w:tcPr>
            <w:tcW w:w="10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Hangzhou, China</w:t>
            </w:r>
          </w:p>
        </w:tc>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Lorawan and BLE, some zigbee, broad hardware offer.</w:t>
            </w:r>
          </w:p>
        </w:tc>
      </w:tr>
      <w:tr>
        <w:trPr>
          <w:trHeight w:val="360"/>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Mokosmart</w:t>
            </w:r>
          </w:p>
        </w:tc>
        <w:tc>
          <w:tcPr>
            <w:tcW w:w="10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Shenzen, China</w:t>
            </w:r>
          </w:p>
        </w:tc>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Big hardware maker, #1 in our space for private labelling</w:t>
            </w:r>
          </w:p>
        </w:tc>
      </w:tr>
      <w:tr>
        <w:trPr>
          <w:trHeight w:val="360"/>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Milesight</w:t>
            </w:r>
          </w:p>
        </w:tc>
        <w:tc>
          <w:tcPr>
            <w:tcW w:w="10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Xiamen, Fujian, China</w:t>
            </w:r>
          </w:p>
        </w:tc>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Use Lora, BLE and video feeds in their system</w:t>
            </w:r>
          </w:p>
        </w:tc>
      </w:tr>
      <w:tr>
        <w:trPr>
          <w:trHeight w:val="594"/>
        </w:trPr>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6"/>
                <w:szCs w:val="16"/>
                <w:color w:val="auto"/>
              </w:rPr>
              <w:t>68</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00" w:type="dxa"/>
            <w:vAlign w:val="bottom"/>
          </w:tcPr>
          <w:p>
            <w:pPr>
              <w:spacing w:after="0"/>
              <w:rPr>
                <w:sz w:val="17"/>
                <w:szCs w:val="17"/>
                <w:color w:val="auto"/>
              </w:rPr>
            </w:pPr>
          </w:p>
        </w:tc>
        <w:tc>
          <w:tcPr>
            <w:tcW w:w="23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0" w:type="dxa"/>
            <w:vAlign w:val="bottom"/>
          </w:tcPr>
          <w:p>
            <w:pPr>
              <w:spacing w:after="0"/>
              <w:rPr>
                <w:sz w:val="17"/>
                <w:szCs w:val="17"/>
                <w:color w:val="auto"/>
              </w:rPr>
            </w:pPr>
          </w:p>
        </w:tc>
        <w:tc>
          <w:tcPr>
            <w:tcW w:w="632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6"/>
                <w:szCs w:val="16"/>
                <w:b w:val="1"/>
                <w:bCs w:val="1"/>
                <w:color w:val="auto"/>
              </w:rPr>
              <w:t>Notes</w:t>
            </w:r>
          </w:p>
        </w:tc>
      </w:tr>
      <w:tr>
        <w:trPr>
          <w:trHeight w:val="203"/>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Digital Matter</w:t>
            </w:r>
          </w:p>
        </w:tc>
        <w:tc>
          <w:tcPr>
            <w:tcW w:w="10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Perth, AUS</w:t>
            </w:r>
          </w:p>
        </w:tc>
        <w:tc>
          <w:tcPr>
            <w:tcW w:w="10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Telematics and tracking systems, LoRA and BLE</w:t>
            </w:r>
          </w:p>
        </w:tc>
      </w:tr>
      <w:tr>
        <w:trPr>
          <w:trHeight w:val="347"/>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Abeeway</w:t>
            </w:r>
          </w:p>
        </w:tc>
        <w:tc>
          <w:tcPr>
            <w:tcW w:w="10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Biot, France</w:t>
            </w:r>
          </w:p>
        </w:tc>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Lorawan and BLE, indoor and outdoor capability</w:t>
            </w:r>
          </w:p>
        </w:tc>
      </w:tr>
      <w:tr>
        <w:trPr>
          <w:trHeight w:val="360"/>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Kontakt.io</w:t>
            </w:r>
          </w:p>
        </w:tc>
        <w:tc>
          <w:tcPr>
            <w:tcW w:w="10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Krakow, Poland</w:t>
            </w:r>
          </w:p>
        </w:tc>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Initially a hardware vendor, have grown into full solution with hardware as a key element</w:t>
            </w:r>
          </w:p>
        </w:tc>
      </w:tr>
      <w:tr>
        <w:trPr>
          <w:trHeight w:val="360"/>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Ubisense</w:t>
            </w:r>
          </w:p>
        </w:tc>
        <w:tc>
          <w:tcPr>
            <w:tcW w:w="10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Cambridge, UK</w:t>
            </w:r>
          </w:p>
        </w:tc>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UWB high precision tracking is the focus, also have a line of BLE tracking solutions.</w:t>
            </w:r>
          </w:p>
        </w:tc>
      </w:tr>
      <w:tr>
        <w:trPr>
          <w:trHeight w:val="360"/>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Radiant RFID</w:t>
            </w:r>
          </w:p>
        </w:tc>
        <w:tc>
          <w:tcPr>
            <w:tcW w:w="10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Austin, Texas</w:t>
            </w:r>
          </w:p>
        </w:tc>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UHF RFID systems, attempting to migrate to next generation technology</w:t>
            </w:r>
          </w:p>
        </w:tc>
      </w:tr>
      <w:tr>
        <w:trPr>
          <w:trHeight w:val="360"/>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Sensolus</w:t>
            </w:r>
          </w:p>
        </w:tc>
        <w:tc>
          <w:tcPr>
            <w:tcW w:w="10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Ghent, Belgium</w:t>
            </w:r>
          </w:p>
        </w:tc>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Tracking and workflow systems</w:t>
            </w:r>
          </w:p>
        </w:tc>
      </w:tr>
      <w:tr>
        <w:trPr>
          <w:trHeight w:val="360"/>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Litum</w:t>
            </w:r>
          </w:p>
        </w:tc>
        <w:tc>
          <w:tcPr>
            <w:tcW w:w="10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Izmir, Turkey</w:t>
            </w:r>
          </w:p>
        </w:tc>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UWB high precision tracking is the focus, also have a line of BLE tracking solutions.</w:t>
            </w:r>
          </w:p>
        </w:tc>
      </w:tr>
    </w:tbl>
    <w:p>
      <w:pPr>
        <w:sectPr>
          <w:pgSz w:w="11900" w:h="16840" w:orient="portrait"/>
          <w:cols w:equalWidth="0" w:num="1">
            <w:col w:w="10580"/>
          </w:cols>
          <w:pgMar w:left="660" w:top="737" w:right="660" w:bottom="91"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Savi</w:t>
            </w:r>
          </w:p>
        </w:tc>
        <w:tc>
          <w:tcPr>
            <w:tcW w:w="2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Alexandria, VA</w:t>
            </w:r>
          </w:p>
        </w:tc>
        <w:tc>
          <w:tcPr>
            <w:tcW w:w="68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Military supplier, long range tracking tags for containers and pallets. ISO 18000-7</w:t>
            </w:r>
          </w:p>
        </w:tc>
      </w:tr>
      <w:tr>
        <w:trPr>
          <w:trHeight w:val="337"/>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Inpixion</w:t>
            </w:r>
          </w:p>
        </w:tc>
        <w:tc>
          <w:tcPr>
            <w:tcW w:w="2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Palo Alto, CA</w:t>
            </w:r>
          </w:p>
        </w:tc>
        <w:tc>
          <w:tcPr>
            <w:tcW w:w="68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Use of BLE and UWB as needed. Open architecture. Inpixon is a business unit of XTI Aerospace,</w:t>
            </w:r>
          </w:p>
        </w:tc>
      </w:tr>
      <w:tr>
        <w:trPr>
          <w:trHeight w:val="203"/>
        </w:trPr>
        <w:tc>
          <w:tcPr>
            <w:tcW w:w="1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68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Inc.</w:t>
            </w:r>
          </w:p>
        </w:tc>
      </w:tr>
      <w:tr>
        <w:trPr>
          <w:trHeight w:val="360"/>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Airista</w:t>
            </w:r>
          </w:p>
        </w:tc>
        <w:tc>
          <w:tcPr>
            <w:tcW w:w="2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Timonium, Maryland</w:t>
            </w:r>
          </w:p>
        </w:tc>
        <w:tc>
          <w:tcPr>
            <w:tcW w:w="68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Partnership with Cisco, wifi and BLE product line with good software interfaces</w:t>
            </w:r>
          </w:p>
        </w:tc>
      </w:tr>
      <w:tr>
        <w:trPr>
          <w:trHeight w:val="360"/>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Centrak</w:t>
            </w:r>
          </w:p>
        </w:tc>
        <w:tc>
          <w:tcPr>
            <w:tcW w:w="2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Newtown, PA</w:t>
            </w:r>
          </w:p>
        </w:tc>
        <w:tc>
          <w:tcPr>
            <w:tcW w:w="68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Health care focus, Indoor location using wifi and BLE VA contract win was very large.</w:t>
            </w:r>
          </w:p>
        </w:tc>
      </w:tr>
      <w:tr>
        <w:trPr>
          <w:trHeight w:val="546"/>
        </w:trPr>
        <w:tc>
          <w:tcPr>
            <w:tcW w:w="1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6"/>
                <w:szCs w:val="16"/>
                <w:color w:val="auto"/>
              </w:rPr>
              <w:t>69</w:t>
            </w: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00" w:type="dxa"/>
            <w:vAlign w:val="bottom"/>
          </w:tcPr>
          <w:p>
            <w:pPr>
              <w:spacing w:after="0"/>
              <w:rPr>
                <w:sz w:val="17"/>
                <w:szCs w:val="17"/>
                <w:color w:val="auto"/>
              </w:rPr>
            </w:pPr>
          </w:p>
        </w:tc>
        <w:tc>
          <w:tcPr>
            <w:tcW w:w="23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0" w:type="dxa"/>
            <w:vAlign w:val="bottom"/>
          </w:tcPr>
          <w:p>
            <w:pPr>
              <w:spacing w:after="0"/>
              <w:rPr>
                <w:sz w:val="17"/>
                <w:szCs w:val="17"/>
                <w:color w:val="auto"/>
              </w:rPr>
            </w:pPr>
          </w:p>
        </w:tc>
        <w:tc>
          <w:tcPr>
            <w:tcW w:w="632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6"/>
                <w:szCs w:val="16"/>
                <w:b w:val="1"/>
                <w:bCs w:val="1"/>
                <w:color w:val="auto"/>
              </w:rPr>
              <w:t>Notes</w:t>
            </w:r>
          </w:p>
        </w:tc>
      </w:tr>
      <w:tr>
        <w:trPr>
          <w:trHeight w:val="203"/>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Pozyx</w:t>
            </w:r>
          </w:p>
        </w:tc>
        <w:tc>
          <w:tcPr>
            <w:tcW w:w="10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Ghent, Belgium</w:t>
            </w:r>
          </w:p>
        </w:tc>
        <w:tc>
          <w:tcPr>
            <w:tcW w:w="10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Indoor and outdoor rtls. Use of GPS BLE and other technologies opportunistically</w:t>
            </w:r>
          </w:p>
        </w:tc>
      </w:tr>
      <w:tr>
        <w:trPr>
          <w:trHeight w:val="347"/>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Sewio</w:t>
            </w:r>
          </w:p>
        </w:tc>
        <w:tc>
          <w:tcPr>
            <w:tcW w:w="10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Brno, Czech Republic</w:t>
            </w:r>
          </w:p>
        </w:tc>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Primarily a UWB player, competing in the precision location space. Some edge cases with BLE</w:t>
            </w:r>
          </w:p>
        </w:tc>
      </w:tr>
      <w:tr>
        <w:trPr>
          <w:trHeight w:val="360"/>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Ekahau</w:t>
            </w:r>
          </w:p>
        </w:tc>
        <w:tc>
          <w:tcPr>
            <w:tcW w:w="10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Reston, VA</w:t>
            </w:r>
          </w:p>
        </w:tc>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Wifi and BLE locating health care and indoor focus</w:t>
            </w:r>
          </w:p>
        </w:tc>
      </w:tr>
      <w:tr>
        <w:trPr>
          <w:trHeight w:val="360"/>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Stanley Healthcare</w:t>
            </w:r>
          </w:p>
        </w:tc>
        <w:tc>
          <w:tcPr>
            <w:tcW w:w="10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Litchfield, UK</w:t>
            </w:r>
          </w:p>
        </w:tc>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Health care focus, Indoor location using wifi and BLE</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Automation and Sensor Companies</w:t>
      </w:r>
    </w:p>
    <w:p>
      <w:pPr>
        <w:spacing w:after="0" w:line="176"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 xml:space="preserve">Large automation players such as </w:t>
      </w:r>
      <w:r>
        <w:rPr>
          <w:rFonts w:ascii="Times New Roman" w:cs="Times New Roman" w:eastAsia="Times New Roman" w:hAnsi="Times New Roman"/>
          <w:sz w:val="16"/>
          <w:szCs w:val="16"/>
          <w:b w:val="1"/>
          <w:bCs w:val="1"/>
          <w:color w:val="auto"/>
        </w:rPr>
        <w:t>Honeywell, Siemens, Rockwell Automation, Mitsubishi, Panasonic, Omron, Sick, Schneider Electric</w:t>
      </w:r>
      <w:r>
        <w:rPr>
          <w:rFonts w:ascii="Times New Roman" w:cs="Times New Roman" w:eastAsia="Times New Roman" w:hAnsi="Times New Roman"/>
          <w:sz w:val="16"/>
          <w:szCs w:val="16"/>
          <w:color w:val="auto"/>
        </w:rPr>
        <w:t xml:space="preserve"> and their peers are adept at selling hardware and software solutions to improve operations in the target markets of the company. Many of them are involved in IoT/AI and have incubators or have acquired small companies that are direct competitors to the company. While they can compete in specific applications, this group are more often seen as complimentary to the solutions of the company. Their channel partners are prime targets to take on the solution set provided by the company to augment existing offerings from their primary line card.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ERP, MES or WMS Players</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 xml:space="preserve">This group includes </w:t>
      </w:r>
      <w:r>
        <w:rPr>
          <w:rFonts w:ascii="Times New Roman" w:cs="Times New Roman" w:eastAsia="Times New Roman" w:hAnsi="Times New Roman"/>
          <w:sz w:val="16"/>
          <w:szCs w:val="16"/>
          <w:b w:val="1"/>
          <w:bCs w:val="1"/>
          <w:color w:val="auto"/>
        </w:rPr>
        <w:t>Korber, SAP, Microsoft, Oracle, Blue Yonder, Infor, Manhattan Associates</w:t>
      </w:r>
      <w:r>
        <w:rPr>
          <w:rFonts w:ascii="Times New Roman" w:cs="Times New Roman" w:eastAsia="Times New Roman" w:hAnsi="Times New Roman"/>
          <w:sz w:val="16"/>
          <w:szCs w:val="16"/>
          <w:color w:val="auto"/>
        </w:rPr>
        <w:t xml:space="preserve"> etc. and can compete with the company in some applications but are most often commercial partners in the solution. SEE ID will act as an edge module that is integrated into their platform for enhanced visibility, safety, assurance, or execution in the system.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Infrastructure and Integrator Vendor Consultants</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IBM, CiscoJuniper Networks, JMA, Sirerra Wireless, Dell, Arista, HPE </w:t>
      </w:r>
      <w:r>
        <w:rPr>
          <w:rFonts w:ascii="Times New Roman" w:cs="Times New Roman" w:eastAsia="Times New Roman" w:hAnsi="Times New Roman"/>
          <w:sz w:val="16"/>
          <w:szCs w:val="16"/>
          <w:color w:val="auto"/>
        </w:rPr>
        <w:t>have some extensive infrastructure and software of their own to enhance systems processes.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group can be very competitive with the company in capturing enterprise digital migration adoption, they have a primary mission of being the “pipe” that the enterprise looks to for the future. Once they have mindshare in an account, they often play a primary role in specifying other systems (particularly hardware) with the customer to enhance the process over time, leveraging their position, AI and workflow software can be competitive but are not the focus of their mission, often providing only general solutions. They are complementary at the edge level and may be cultivated as channel partners for our solutions.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Workflow Automation, Integration &amp; AI Vendor Consultants</w:t>
      </w:r>
    </w:p>
    <w:p>
      <w:pPr>
        <w:spacing w:after="0" w:line="17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Microsoft, Appian, SS&amp;C Blue Prism, Pegasystems, Automation Anywhere, UiPath have some extensive software to enhance systems processes. This group can be very competitive with the company in capturing enterprise digital migration adoption, they have a primary mission of being the “pane of glass” that the enterprise looks to for the future of their digital enterprise. Once they have mindshare in an account, they often play a primary role in specifying other systems with the customer to enhance the process over time, leveraging their position. Their dashboard, AI and workflow software are competitive, but they are complementary at the edge level and may be cultivated as channel commercial partners for our hardware solutionsIoT system.</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Competitive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principal competitive factors in the markets in which we operate include:</w:t>
      </w:r>
    </w:p>
    <w:p>
      <w:pPr>
        <w:spacing w:after="0" w:line="174" w:lineRule="exact"/>
        <w:rPr>
          <w:sz w:val="20"/>
          <w:szCs w:val="20"/>
          <w:color w:val="auto"/>
        </w:rPr>
      </w:pPr>
    </w:p>
    <w:p>
      <w:pPr>
        <w:jc w:val="both"/>
        <w:ind w:left="580" w:hanging="286"/>
        <w:spacing w:after="0" w:line="248" w:lineRule="auto"/>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AI Implementation </w:t>
      </w:r>
      <w:r>
        <w:rPr>
          <w:rFonts w:ascii="Times New Roman" w:cs="Times New Roman" w:eastAsia="Times New Roman" w:hAnsi="Times New Roman"/>
          <w:sz w:val="16"/>
          <w:szCs w:val="16"/>
          <w:color w:val="auto"/>
        </w:rPr>
        <w:t>— while this is an emerging area, we are investing heavily in this battleground feature. We believe that soon the most important aspect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buying decision will be the extent to which AI has been implemented to simplify the complex logistics processes and intervene when needed to enable greater enterprise performance.</w:t>
      </w:r>
    </w:p>
    <w:p>
      <w:pPr>
        <w:spacing w:after="0" w:line="149" w:lineRule="exact"/>
        <w:rPr>
          <w:rFonts w:ascii="Times New Roman" w:cs="Times New Roman" w:eastAsia="Times New Roman" w:hAnsi="Times New Roman"/>
          <w:sz w:val="16"/>
          <w:szCs w:val="16"/>
          <w:color w:val="auto"/>
        </w:rPr>
      </w:pPr>
    </w:p>
    <w:p>
      <w:pPr>
        <w:jc w:val="both"/>
        <w:ind w:left="580" w:hanging="286"/>
        <w:spacing w:after="0" w:line="248" w:lineRule="auto"/>
        <w:tabs>
          <w:tab w:leader="none" w:pos="580" w:val="left"/>
        </w:tabs>
        <w:numPr>
          <w:ilvl w:val="0"/>
          <w:numId w:val="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TCO (Total Cost of Ownership) </w:t>
      </w:r>
      <w:r>
        <w:rPr>
          <w:rFonts w:ascii="Times New Roman" w:cs="Times New Roman" w:eastAsia="Times New Roman" w:hAnsi="Times New Roman"/>
          <w:sz w:val="16"/>
          <w:szCs w:val="16"/>
          <w:color w:val="auto"/>
        </w:rPr>
        <w:t>— Our systems are intended to run for decades in an enterprise, with costs over that time playing a key role in the buying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decision. The ability for the customer to extend the system easily, not be subject to custom programming charges, avoid proprietary devices and keep pace with data structure and security changes is an important competitive advantage.</w:t>
      </w:r>
    </w:p>
    <w:p>
      <w:pPr>
        <w:spacing w:after="0" w:line="149" w:lineRule="exact"/>
        <w:rPr>
          <w:rFonts w:ascii="Times New Roman" w:cs="Times New Roman" w:eastAsia="Times New Roman" w:hAnsi="Times New Roman"/>
          <w:sz w:val="16"/>
          <w:szCs w:val="16"/>
          <w:b w:val="1"/>
          <w:bCs w:val="1"/>
          <w:color w:val="auto"/>
        </w:rPr>
      </w:pPr>
    </w:p>
    <w:p>
      <w:pPr>
        <w:jc w:val="both"/>
        <w:ind w:left="580" w:hanging="286"/>
        <w:spacing w:after="0" w:line="241" w:lineRule="auto"/>
        <w:tabs>
          <w:tab w:leader="none" w:pos="580" w:val="left"/>
        </w:tabs>
        <w:numPr>
          <w:ilvl w:val="0"/>
          <w:numId w:val="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ROI (Return on Investment) </w:t>
      </w:r>
      <w:r>
        <w:rPr>
          <w:rFonts w:ascii="Times New Roman" w:cs="Times New Roman" w:eastAsia="Times New Roman" w:hAnsi="Times New Roman"/>
          <w:sz w:val="16"/>
          <w:szCs w:val="16"/>
          <w:color w:val="auto"/>
        </w:rPr>
        <w:t>— Our value to the enterprise vs the benefit is part of every buy decision. This includes the total cost of ownership over time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installation costs borne by the customer during adoption of the system. The impact we have on key workflows (inventory, order processing, picking, packing, putting etc) is measurable and significant. Our unique ability to use low-cost passive transponders (less than a tenth of the cost of the active transponders used by almost every other competitor) is a key factor in our success. The long-range nature of our radio network (up to 15 miles) also impacts this equation by lowering the infrastructure required for operation.</w:t>
      </w:r>
    </w:p>
    <w:p>
      <w:pPr>
        <w:spacing w:after="0" w:line="156" w:lineRule="exact"/>
        <w:rPr>
          <w:rFonts w:ascii="Times New Roman" w:cs="Times New Roman" w:eastAsia="Times New Roman" w:hAnsi="Times New Roman"/>
          <w:sz w:val="16"/>
          <w:szCs w:val="16"/>
          <w:b w:val="1"/>
          <w:bCs w:val="1"/>
          <w:color w:val="auto"/>
        </w:rPr>
      </w:pPr>
    </w:p>
    <w:p>
      <w:pPr>
        <w:jc w:val="both"/>
        <w:ind w:left="580" w:hanging="286"/>
        <w:spacing w:after="0" w:line="244" w:lineRule="auto"/>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Accuracy and Reliability </w:t>
      </w:r>
      <w:r>
        <w:rPr>
          <w:rFonts w:ascii="Times New Roman" w:cs="Times New Roman" w:eastAsia="Times New Roman" w:hAnsi="Times New Roman"/>
          <w:sz w:val="16"/>
          <w:szCs w:val="16"/>
          <w:color w:val="auto"/>
        </w:rPr>
        <w:t>— many competitors advertise pinpoint location accuracy to win customers. However, most processes do not need location accuracy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better than a couple of meters to direct and execute their operations. What is more important for the enterprise, is the reliability of the identification of the asset. Since our patented mesh system can normally identify the presence of an asset at two sigma (95%) for very minimal cost or three sigma (99.7%) at a somewhat higher cost, we are in an enviable market leadership position relative to customer need.</w:t>
      </w:r>
    </w:p>
    <w:p>
      <w:pPr>
        <w:sectPr>
          <w:pgSz w:w="11900" w:h="16840" w:orient="portrait"/>
          <w:cols w:equalWidth="0" w:num="1">
            <w:col w:w="10580"/>
          </w:cols>
          <w:pgMar w:left="660" w:top="737" w:right="660" w:bottom="652" w:gutter="0" w:footer="0" w:header="0"/>
        </w:sectPr>
      </w:pPr>
    </w:p>
    <w:bookmarkStart w:id="44" w:name="page45"/>
    <w:bookmarkEnd w:id="44"/>
    <w:p>
      <w:pPr>
        <w:jc w:val="both"/>
        <w:ind w:left="580" w:right="20" w:hanging="286"/>
        <w:spacing w:after="0" w:line="248" w:lineRule="auto"/>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Support Services </w:t>
      </w:r>
      <w:r>
        <w:rPr>
          <w:rFonts w:ascii="Times New Roman" w:cs="Times New Roman" w:eastAsia="Times New Roman" w:hAnsi="Times New Roman"/>
          <w:sz w:val="16"/>
          <w:szCs w:val="16"/>
          <w:color w:val="auto"/>
        </w:rPr>
        <w:t>— The processes that we impact are critical to the functioning of an enterprise. To commit to this new technology, users need to know they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will have support when things inevitably go wrong. Use of an extensive channel partner network means they will have a trusted local partner to assist them, with a powerful technology vendor behind them. Backing the channel with high-availability support lines and customer service is essential.</w:t>
      </w:r>
    </w:p>
    <w:p>
      <w:pPr>
        <w:spacing w:after="0" w:line="269" w:lineRule="exact"/>
        <w:rPr>
          <w:rFonts w:ascii="Times New Roman" w:cs="Times New Roman" w:eastAsia="Times New Roman" w:hAnsi="Times New Roman"/>
          <w:sz w:val="16"/>
          <w:szCs w:val="16"/>
          <w:color w:val="auto"/>
        </w:rPr>
      </w:pPr>
    </w:p>
    <w:p>
      <w:pPr>
        <w:jc w:val="both"/>
        <w:ind w:left="580" w:right="20" w:hanging="286"/>
        <w:spacing w:after="0" w:line="248" w:lineRule="auto"/>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Friendly country sourcing </w:t>
      </w:r>
      <w:r>
        <w:rPr>
          <w:rFonts w:ascii="Times New Roman" w:cs="Times New Roman" w:eastAsia="Times New Roman" w:hAnsi="Times New Roman"/>
          <w:sz w:val="16"/>
          <w:szCs w:val="16"/>
          <w:color w:val="auto"/>
        </w:rPr>
        <w:t>— So many competitors rely on Chinese or Taiwan sourcing, excluding them from consideration for USA Government or Military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contracts and making them less desirable for private sector selection. Sourcing from DFAR compliant countries and making our core components in the USA positions us particularly well for the crucial US market.</w:t>
      </w:r>
    </w:p>
    <w:p>
      <w:pPr>
        <w:spacing w:after="0" w:line="15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Based on these factors, we believe we are positioned favorably against our competitors. However, some of our competitors have substantially greater financial resources, greater brand recognition, larger sales forces and marketing budgets, as well as broader distribution networks. Large corporations may be able to utilize their distribution networks and existing relationships to offer new solutions in addition to solutions already being provided to customers. We expect additional competition as our market grows and rapidly changes, and we may choose to enter or expand into new markets as well.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Growth Strategies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intend to pursue the following growth strategies:</w:t>
      </w:r>
    </w:p>
    <w:p>
      <w:pPr>
        <w:sectPr>
          <w:pgSz w:w="11900" w:h="16840" w:orient="portrait"/>
          <w:cols w:equalWidth="0" w:num="1">
            <w:col w:w="10580"/>
          </w:cols>
          <w:pgMar w:left="660" w:top="555" w:right="660" w:bottom="50" w:gutter="0" w:footer="0" w:header="0"/>
        </w:sectPr>
      </w:pPr>
    </w:p>
    <w:p>
      <w:pPr>
        <w:spacing w:after="0" w:line="17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4"/>
          <w:szCs w:val="14"/>
          <w:b w:val="1"/>
          <w:bCs w:val="1"/>
          <w:color w:val="auto"/>
        </w:rPr>
        <w:t xml:space="preserve">Focused Customer Acquisition: </w:t>
      </w:r>
      <w:r>
        <w:rPr>
          <w:rFonts w:ascii="Times New Roman" w:cs="Times New Roman" w:eastAsia="Times New Roman" w:hAnsi="Times New Roman"/>
          <w:sz w:val="14"/>
          <w:szCs w:val="14"/>
          <w:color w:val="auto"/>
        </w:rPr>
        <w:t>promote our capabilities. We plan continue acquiring new customers.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20" w:firstLine="59"/>
        <w:spacing w:after="0" w:line="259" w:lineRule="auto"/>
        <w:rPr>
          <w:sz w:val="20"/>
          <w:szCs w:val="20"/>
          <w:color w:val="auto"/>
        </w:rPr>
      </w:pPr>
      <w:r>
        <w:rPr>
          <w:rFonts w:ascii="Times New Roman" w:cs="Times New Roman" w:eastAsia="Times New Roman" w:hAnsi="Times New Roman"/>
          <w:sz w:val="16"/>
          <w:szCs w:val="16"/>
          <w:color w:val="auto"/>
        </w:rPr>
        <w:t>With a rapidly digitizing market, we believe that there is a significant opportunity to continue to grow our customer base as we to continually invest in our sales and marketing coverage, including channel partners, and leverage our go-to-market model to</w:t>
      </w:r>
    </w:p>
    <w:p>
      <w:pPr>
        <w:spacing w:after="0" w:line="320" w:lineRule="exact"/>
        <w:rPr>
          <w:sz w:val="20"/>
          <w:szCs w:val="20"/>
          <w:color w:val="auto"/>
        </w:rPr>
      </w:pPr>
    </w:p>
    <w:p>
      <w:pPr>
        <w:sectPr>
          <w:pgSz w:w="11900" w:h="16840" w:orient="portrait"/>
          <w:cols w:equalWidth="0" w:num="2">
            <w:col w:w="2220" w:space="60"/>
            <w:col w:w="8300"/>
          </w:cols>
          <w:pgMar w:left="660" w:top="555" w:right="660" w:bottom="50" w:gutter="0" w:footer="0" w:header="0"/>
          <w:type w:val="continuous"/>
        </w:sectPr>
      </w:pPr>
    </w:p>
    <w:p>
      <w:pPr>
        <w:jc w:val="both"/>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Expand Within Our Existing Customer Base. </w:t>
      </w:r>
      <w:r>
        <w:rPr>
          <w:rFonts w:ascii="Times New Roman" w:cs="Times New Roman" w:eastAsia="Times New Roman" w:hAnsi="Times New Roman"/>
          <w:sz w:val="16"/>
          <w:szCs w:val="16"/>
          <w:color w:val="auto"/>
        </w:rPr>
        <w:t>Once we solve the first problem for our customers, we see a significant opportunity to expand application adoption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within that same account. This includes increasing the number of physical assets enrolled as well as expanding across our customers’ multiple sites and divisions.</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Customer-centric Innovation and Rapid Product Releases. </w:t>
      </w:r>
      <w:r>
        <w:rPr>
          <w:rFonts w:ascii="Times New Roman" w:cs="Times New Roman" w:eastAsia="Times New Roman" w:hAnsi="Times New Roman"/>
          <w:sz w:val="16"/>
          <w:szCs w:val="16"/>
          <w:color w:val="auto"/>
        </w:rPr>
        <w:t>Our architecture was designed as a platform from the beginning to enable fast turns and parallel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development. This means we can move at a faster cadence than anyone else in bringing enhanced products to market and in enhancing our products as customer needs emerge. Our goal is to continue to add market-driven capabilities and product features on at least a quarterly basis.</w:t>
      </w:r>
    </w:p>
    <w:p>
      <w:pPr>
        <w:spacing w:after="0" w:line="15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Channel development. </w:t>
      </w:r>
      <w:r>
        <w:rPr>
          <w:rFonts w:ascii="Times New Roman" w:cs="Times New Roman" w:eastAsia="Times New Roman" w:hAnsi="Times New Roman"/>
          <w:sz w:val="16"/>
          <w:szCs w:val="16"/>
          <w:color w:val="auto"/>
        </w:rPr>
        <w:t>Our vision is to be a channel focused company. Rapid acquisition of targeted channel partners in all of the global markets will be a primary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metric. Our unique technology, very attractive commercial model, as well as the training and support capability we offer will drive channel acquisition.</w:t>
      </w:r>
    </w:p>
    <w:p>
      <w:pPr>
        <w:spacing w:after="0" w:line="13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Expand Technology Partnerships and Integrations. </w:t>
      </w:r>
      <w:r>
        <w:rPr>
          <w:rFonts w:ascii="Times New Roman" w:cs="Times New Roman" w:eastAsia="Times New Roman" w:hAnsi="Times New Roman"/>
          <w:sz w:val="16"/>
          <w:szCs w:val="16"/>
          <w:color w:val="auto"/>
        </w:rPr>
        <w:t>Our use of COTS devices and integration with existing software for many of our solutions makes us useful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collaborators in our markets. We leverage the combined expertise of multiple partners, each looking at specific technical and commercial areas to ensure we are at the forefront. This solutions stance also enables commercial growth, as we are referenced into accounts and opportunities by our partners. Our backend software integrations are especially important here. Continued growth in integrations will strengthen our ecosystem, further increasing the opportunity to attract customers that prioritize interoperability with their existing applications. We also believe that additional partnerships will further enhance our distribution capabilities.</w:t>
      </w:r>
    </w:p>
    <w:p>
      <w:pPr>
        <w:spacing w:after="0" w:line="15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Expand Internationally. </w:t>
      </w:r>
      <w:r>
        <w:rPr>
          <w:rFonts w:ascii="Times New Roman" w:cs="Times New Roman" w:eastAsia="Times New Roman" w:hAnsi="Times New Roman"/>
          <w:sz w:val="16"/>
          <w:szCs w:val="16"/>
          <w:color w:val="auto"/>
        </w:rPr>
        <w:t>A key focus of our company is to continue to expand our global reach. In the short term we are already expanding channel in Europe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expect to form a sales company in Southern Germany or Northern Switzerland next year. To support our offshore engineering team, add customer support capability and some sales opportunities already emerging in the region, we also plan to form an Indian subsidiary in 2025. Note that our product platforms were designed from the outset to meet international standards and regulations.</w:t>
      </w:r>
    </w:p>
    <w:p>
      <w:pPr>
        <w:spacing w:after="0" w:line="152"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Monetizing data streams. </w:t>
      </w:r>
      <w:r>
        <w:rPr>
          <w:rFonts w:ascii="Times New Roman" w:cs="Times New Roman" w:eastAsia="Times New Roman" w:hAnsi="Times New Roman"/>
          <w:sz w:val="16"/>
          <w:szCs w:val="16"/>
          <w:color w:val="auto"/>
        </w:rPr>
        <w:t>As a data producer, the company has access to valuable data that is of interest to industry analysts, financial markets, insurance providers,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Equipment OEMs, regulatory bodies and many other stakeholders. Current EULAs and contracts allow the company to use non-PII data for any purpose, including for sale. This emerging opportunity to monetize the data streams can be significant in the future.</w:t>
      </w:r>
    </w:p>
    <w:p>
      <w:pPr>
        <w:spacing w:after="0" w:line="15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Acquisitions. </w:t>
      </w:r>
      <w:r>
        <w:rPr>
          <w:rFonts w:ascii="Times New Roman" w:cs="Times New Roman" w:eastAsia="Times New Roman" w:hAnsi="Times New Roman"/>
          <w:sz w:val="16"/>
          <w:szCs w:val="16"/>
          <w:color w:val="auto"/>
        </w:rPr>
        <w:t>Note that it is likely that we will also look to accelerate growth by acquisition. Potential targets are being evaluated based on the extent to which they can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help us in one or more of the strategies’ above.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 Factors Summary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business is subject to numerous risks and uncertainties, including those highlighted in the section titled “Risk Factors”. These risks include the following:</w:t>
      </w:r>
    </w:p>
    <w:p>
      <w:pPr>
        <w:spacing w:after="0" w:line="176" w:lineRule="exact"/>
        <w:rPr>
          <w:sz w:val="20"/>
          <w:szCs w:val="20"/>
          <w:color w:val="auto"/>
        </w:rPr>
      </w:pPr>
    </w:p>
    <w:p>
      <w:pPr>
        <w:ind w:left="580" w:hanging="286"/>
        <w:spacing w:after="0" w:line="259" w:lineRule="auto"/>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history of operating losses as we have built our technology and market position, and we may not be able to achieve or sustain profitability on a consistent basis for an extended period of time.</w:t>
      </w:r>
    </w:p>
    <w:p>
      <w:pPr>
        <w:spacing w:after="0" w:line="143"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rapid growth makes it difficult to evaluate future prospects and increases the risk that we will not continue to grow at or near projected rates. Forecasts may be unreliable.</w:t>
      </w:r>
    </w:p>
    <w:p>
      <w:pPr>
        <w:spacing w:after="0" w:line="143"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While this has not happened in our history to date, our emerging technology may encounter failures, up to and including broad recalls, as we continue to product maturity and beyond. With this comes the threat of financial penalties and legal action from customers.</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uncertainty, particularly in the AI space, makes it difficult to anticipate potential impacts on the business of the company.</w:t>
      </w:r>
    </w:p>
    <w:p>
      <w:pPr>
        <w:spacing w:after="0" w:line="176" w:lineRule="exact"/>
        <w:rPr>
          <w:rFonts w:ascii="Times New Roman" w:cs="Times New Roman" w:eastAsia="Times New Roman" w:hAnsi="Times New Roman"/>
          <w:sz w:val="16"/>
          <w:szCs w:val="16"/>
          <w:color w:val="auto"/>
        </w:rPr>
      </w:pPr>
    </w:p>
    <w:p>
      <w:pPr>
        <w:ind w:left="580" w:hanging="286"/>
        <w:spacing w:after="0" w:line="259" w:lineRule="auto"/>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IoT and AI spaces already have a history of IP challenges and litigation. Our patents may be challenged, and suits may be brought against us, especially as we gain momentum and public success. This may result in unexpected legal costs, settlements, license fees and barriers to growth.</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Material Supply Agreements</w:t>
      </w:r>
    </w:p>
    <w:p>
      <w:pPr>
        <w:spacing w:after="0" w:line="17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We have agreements in place with Wiliot, the company which provides our chip and passive labels for tracking and ARSHON, the company which helped create our initial PCB board. However, the remaining individual components are purchased using purchase orders and are not yet subject to supplier agreements. Following our initial production runs, we plan to implement a dual source policy for our components wherever possible so we’re not reliant on one provider. For example, we are ordering PCB boards from both AET and ARSHON. We’re ordering chips from Wiliot and from Identiv. Identiv is recognized as one of the world’s largest producers of specialty RFID tags, inlays and labels. In fact, Identiv is the main supplier for Wiliot.</w:t>
      </w:r>
    </w:p>
    <w:p>
      <w:pPr>
        <w:spacing w:after="0" w:line="15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The agreement between CID Holdco, Inc. (Client) and Arshon Technology (Contractor) outlines several material terms, including the rights and obligations of both parties, as well as termination and payment provisions. The Contractor is responsible for providing services such as designing and developing Perth PCBs, including schematics, prototypes, production boards, and test jigs. Deliverables include Gerber files, BOM, schematics, and PCBs. These services are to be performed independently, with the Contractor taking responsibility for reporting compensation as income and complying with all applicable laws. The Client is obligated to provide payments as outlined in the Statement of Work (SOW) and reimburse pre-approved travel and related expenses. Intellectual property rights for all deliverables created</w:t>
      </w:r>
    </w:p>
    <w:p>
      <w:pPr>
        <w:sectPr>
          <w:pgSz w:w="11900" w:h="16840" w:orient="portrait"/>
          <w:cols w:equalWidth="0" w:num="1">
            <w:col w:w="10580"/>
          </w:cols>
          <w:pgMar w:left="660" w:top="555" w:right="660" w:bottom="50" w:gutter="0" w:footer="0" w:header="0"/>
          <w:type w:val="continuous"/>
        </w:sectPr>
      </w:pPr>
    </w:p>
    <w:bookmarkStart w:id="45" w:name="page46"/>
    <w:bookmarkEnd w:id="45"/>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during the performance of services are assigned to the Client, and the Contractor is required to maintain confidentiality of all Client-provided information, returning or destroying such information upon termination of the agreement.</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The agreement may be terminated for breach if the defaulting party does not remedy the breach within 10 days of notice. Additionally, it can be terminated immediately in cases involving fraud, misconduct, tax violations, or bankruptcy. Either party may also terminate the agreement for convenience with at least 10 days’ written notice, and the agreement automatically terminates if the Deel platform terms are terminated or if either party loses access to Deel. Upon termination, the Contractor is required to return all work products and confidential information, while the Client must pay any accrued but unpaid fees.</w:t>
      </w:r>
    </w:p>
    <w:p>
      <w:pPr>
        <w:spacing w:after="0" w:line="155"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6"/>
          <w:szCs w:val="16"/>
          <w:color w:val="auto"/>
        </w:rPr>
        <w:t>The material terms of the agreement between Wiliot Ltd. and CID Holdco Inc. dba Dot Ai Corporation (the “Partner”) include key rights, obligations, termination provisions, and payment terms. Under the agreement, Wiliot grants the Partner non -exclusive rights to promote, market, and resell Wiliot’s IoT Pixels, Hardware, and Cloud subscriptions as part of an Integrated Solution. The Partner also has the right to provide professional services related to Wiliot’s products. The Partner is required to maintain certification and compliance with integration requirements while ensuring customer relationships align with the agreement’s terms. Intellectual property rights remain with Wiliot for its products and solutions, while the Partner retains rights to its own developments based on Wiliot’s intellectual property with proper attribution.</w:t>
      </w:r>
    </w:p>
    <w:p>
      <w:pPr>
        <w:spacing w:after="0" w:line="161" w:lineRule="exact"/>
        <w:rPr>
          <w:sz w:val="20"/>
          <w:szCs w:val="20"/>
          <w:color w:val="auto"/>
        </w:rPr>
      </w:pPr>
    </w:p>
    <w:p>
      <w:pPr>
        <w:jc w:val="both"/>
        <w:ind w:right="40"/>
        <w:spacing w:after="0" w:line="299" w:lineRule="auto"/>
        <w:rPr>
          <w:sz w:val="20"/>
          <w:szCs w:val="20"/>
          <w:color w:val="auto"/>
        </w:rPr>
      </w:pPr>
      <w:r>
        <w:rPr>
          <w:rFonts w:ascii="Times New Roman" w:cs="Times New Roman" w:eastAsia="Times New Roman" w:hAnsi="Times New Roman"/>
          <w:sz w:val="14"/>
          <w:szCs w:val="14"/>
          <w:color w:val="auto"/>
        </w:rPr>
        <w:t>The agreement can be terminated under several conditions, including mutual convenience with 90 days’ notice, material breach not remedied within 30 days, insolvency, or bankruptcy. Upon termination, the Partner must cease use of Wiliot’s branding and fulfill existing purchase orders. Wiliot retains discretion over customer approvals and the supply chain, and the Partner cannot market or distribute Wiliot products outside the agreed-upon territory and vertical without prior consent.</w:t>
      </w:r>
    </w:p>
    <w:p>
      <w:pPr>
        <w:spacing w:after="0" w:line="119"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Payment provisions include milestone- based invoicing, with 50% due upon purchase order acceptance and the remainder upon delivery. Wiliot Cloud subscriptions are billed monthly or annually, with fees based on the chosen functionalities. Payments must be made in U.S. dollars and within specified timeframes, and are non-refundable. Pricing adjustments require 30 days’ notice, and taxes and additional charges are the Partner’s responsibility. Overall, the agreement emphasizes a collaborative yet clearly delineated partnership, protecting both parties’ intellectual property and operational interests.</w:t>
      </w:r>
    </w:p>
    <w:p>
      <w:pPr>
        <w:spacing w:after="0" w:line="155"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Payments under the agreement are milestone -based, tied to the completion of specific deliverables as outlined in the SOW. The Client is also responsible for reimbursing reasonable, pre-approved expenses incurred by the Contractor during service performance. All payments are processed through the Deel platform in accordance with Deel’s terms and conditions, ensuring compliance with their payment facilitation processes.”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Facilities</w:t>
      </w:r>
    </w:p>
    <w:p>
      <w:pPr>
        <w:spacing w:after="0" w:line="178"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We are headquartered in Las Vegas, Nevada, where we also host a Customer Experience Center in the warehouse area of one of our channel partners. Our management and administrative staff are in Bethesda, MD where we maintain an office for east coast customer engagement, government meetings and supporting lobbying activity. Our embedded development team and DFM capability is built around our CTO in Worcester, MA and our core software team is in Bangalore India. At the time of this filing, we are in the process of setting up our manufacturing subsidiary with assembly and test lines in Puerto Rico.</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Assembly &amp;</w:t>
            </w:r>
          </w:p>
        </w:tc>
        <w:tc>
          <w:tcPr>
            <w:tcW w:w="100" w:type="dxa"/>
            <w:vAlign w:val="bottom"/>
          </w:tcPr>
          <w:p>
            <w:pPr>
              <w:spacing w:after="0"/>
              <w:rPr>
                <w:sz w:val="16"/>
                <w:szCs w:val="16"/>
                <w:color w:val="auto"/>
              </w:rPr>
            </w:pPr>
          </w:p>
        </w:tc>
        <w:tc>
          <w:tcPr>
            <w:tcW w:w="112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8"/>
              </w:rPr>
              <w:t>EU</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India</w:t>
            </w:r>
          </w:p>
        </w:tc>
        <w:tc>
          <w:tcPr>
            <w:tcW w:w="0" w:type="dxa"/>
            <w:vAlign w:val="bottom"/>
          </w:tcPr>
          <w:p>
            <w:pPr>
              <w:spacing w:after="0"/>
              <w:rPr>
                <w:sz w:val="1"/>
                <w:szCs w:val="1"/>
                <w:color w:val="auto"/>
              </w:rPr>
            </w:pPr>
          </w:p>
        </w:tc>
      </w:tr>
      <w:tr>
        <w:trPr>
          <w:trHeight w:val="199"/>
        </w:trPr>
        <w:tc>
          <w:tcPr>
            <w:tcW w:w="2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Admin</w:t>
            </w:r>
          </w:p>
        </w:tc>
        <w:tc>
          <w:tcPr>
            <w:tcW w:w="120" w:type="dxa"/>
            <w:vAlign w:val="bottom"/>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Corporate HQ</w:t>
            </w:r>
          </w:p>
        </w:tc>
        <w:tc>
          <w:tcPr>
            <w:tcW w:w="12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Systems Lab</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Test</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7"/>
              </w:rPr>
              <w:t>Subsidiary</w:t>
            </w: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Subsidiary</w:t>
            </w:r>
          </w:p>
        </w:tc>
        <w:tc>
          <w:tcPr>
            <w:tcW w:w="0" w:type="dxa"/>
            <w:vAlign w:val="bottom"/>
          </w:tcPr>
          <w:p>
            <w:pPr>
              <w:spacing w:after="0"/>
              <w:rPr>
                <w:sz w:val="1"/>
                <w:szCs w:val="1"/>
                <w:color w:val="auto"/>
              </w:rPr>
            </w:pPr>
          </w:p>
        </w:tc>
      </w:tr>
      <w:tr>
        <w:trPr>
          <w:trHeight w:val="167"/>
        </w:trPr>
        <w:tc>
          <w:tcPr>
            <w:tcW w:w="2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5"/>
              </w:rPr>
              <w:t>Bethesda,</w:t>
            </w:r>
          </w:p>
        </w:tc>
        <w:tc>
          <w:tcPr>
            <w:tcW w:w="120" w:type="dxa"/>
            <w:vAlign w:val="bottom"/>
          </w:tcPr>
          <w:p>
            <w:pPr>
              <w:spacing w:after="0"/>
              <w:rPr>
                <w:sz w:val="14"/>
                <w:szCs w:val="14"/>
                <w:color w:val="auto"/>
              </w:rPr>
            </w:pPr>
          </w:p>
        </w:tc>
        <w:tc>
          <w:tcPr>
            <w:tcW w:w="158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8"/>
              </w:rPr>
              <w:t>Las Vegas</w:t>
            </w:r>
          </w:p>
        </w:tc>
        <w:tc>
          <w:tcPr>
            <w:tcW w:w="120" w:type="dxa"/>
            <w:vAlign w:val="bottom"/>
          </w:tcPr>
          <w:p>
            <w:pPr>
              <w:spacing w:after="0"/>
              <w:rPr>
                <w:sz w:val="14"/>
                <w:szCs w:val="14"/>
                <w:color w:val="auto"/>
              </w:rPr>
            </w:pPr>
          </w:p>
        </w:tc>
        <w:tc>
          <w:tcPr>
            <w:tcW w:w="12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Worcester</w:t>
            </w:r>
          </w:p>
        </w:tc>
        <w:tc>
          <w:tcPr>
            <w:tcW w:w="120" w:type="dxa"/>
            <w:vAlign w:val="bottom"/>
          </w:tcPr>
          <w:p>
            <w:pPr>
              <w:spacing w:after="0"/>
              <w:rPr>
                <w:sz w:val="14"/>
                <w:szCs w:val="14"/>
                <w:color w:val="auto"/>
              </w:rPr>
            </w:pPr>
          </w:p>
        </w:tc>
        <w:tc>
          <w:tcPr>
            <w:tcW w:w="11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6"/>
              </w:rPr>
              <w:t>Manati</w:t>
            </w:r>
          </w:p>
        </w:tc>
        <w:tc>
          <w:tcPr>
            <w:tcW w:w="100" w:type="dxa"/>
            <w:vAlign w:val="bottom"/>
          </w:tcPr>
          <w:p>
            <w:pPr>
              <w:spacing w:after="0"/>
              <w:rPr>
                <w:sz w:val="14"/>
                <w:szCs w:val="14"/>
                <w:color w:val="auto"/>
              </w:rPr>
            </w:pPr>
          </w:p>
        </w:tc>
        <w:tc>
          <w:tcPr>
            <w:tcW w:w="1120" w:type="dxa"/>
            <w:vAlign w:val="bottom"/>
          </w:tcPr>
          <w:p>
            <w:pPr>
              <w:jc w:val="center"/>
              <w:ind w:left="82"/>
              <w:spacing w:after="0" w:line="167" w:lineRule="exact"/>
              <w:rPr>
                <w:sz w:val="20"/>
                <w:szCs w:val="20"/>
                <w:color w:val="auto"/>
              </w:rPr>
            </w:pPr>
            <w:r>
              <w:rPr>
                <w:rFonts w:ascii="Times New Roman" w:cs="Times New Roman" w:eastAsia="Times New Roman" w:hAnsi="Times New Roman"/>
                <w:sz w:val="16"/>
                <w:szCs w:val="16"/>
                <w:color w:val="auto"/>
                <w:w w:val="98"/>
              </w:rPr>
              <w:t>Germany or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Bangalore India</w:t>
            </w:r>
          </w:p>
        </w:tc>
        <w:tc>
          <w:tcPr>
            <w:tcW w:w="0" w:type="dxa"/>
            <w:vAlign w:val="bottom"/>
          </w:tcPr>
          <w:p>
            <w:pPr>
              <w:spacing w:after="0"/>
              <w:rPr>
                <w:sz w:val="1"/>
                <w:szCs w:val="1"/>
                <w:color w:val="auto"/>
              </w:rPr>
            </w:pPr>
          </w:p>
        </w:tc>
      </w:tr>
      <w:tr>
        <w:trPr>
          <w:trHeight w:val="193"/>
        </w:trPr>
        <w:tc>
          <w:tcPr>
            <w:tcW w:w="2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Size (sq ft)</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Maryland</w:t>
            </w:r>
          </w:p>
        </w:tc>
        <w:tc>
          <w:tcPr>
            <w:tcW w:w="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Nevada</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Massachusetts</w:t>
            </w: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Puerto Rico</w:t>
            </w:r>
          </w:p>
        </w:tc>
        <w:tc>
          <w:tcPr>
            <w:tcW w:w="100" w:type="dxa"/>
            <w:vAlign w:val="bottom"/>
          </w:tcPr>
          <w:p>
            <w:pPr>
              <w:spacing w:after="0"/>
              <w:rPr>
                <w:sz w:val="16"/>
                <w:szCs w:val="16"/>
                <w:color w:val="auto"/>
              </w:rPr>
            </w:pPr>
          </w:p>
        </w:tc>
        <w:tc>
          <w:tcPr>
            <w:tcW w:w="112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6"/>
              </w:rPr>
              <w:t>Switzerland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322"/>
              <w:spacing w:after="0" w:line="180" w:lineRule="exact"/>
              <w:rPr>
                <w:sz w:val="20"/>
                <w:szCs w:val="20"/>
                <w:color w:val="auto"/>
              </w:rPr>
            </w:pPr>
            <w:r>
              <w:rPr>
                <w:rFonts w:ascii="Times New Roman" w:cs="Times New Roman" w:eastAsia="Times New Roman" w:hAnsi="Times New Roman"/>
                <w:sz w:val="16"/>
                <w:szCs w:val="16"/>
                <w:color w:val="auto"/>
              </w:rPr>
              <w:t>2,969</w:t>
            </w:r>
          </w:p>
        </w:tc>
        <w:tc>
          <w:tcPr>
            <w:tcW w:w="1700" w:type="dxa"/>
            <w:vAlign w:val="bottom"/>
            <w:gridSpan w:val="2"/>
          </w:tcPr>
          <w:p>
            <w:pPr>
              <w:jc w:val="right"/>
              <w:ind w:right="542"/>
              <w:spacing w:after="0" w:line="180" w:lineRule="exact"/>
              <w:rPr>
                <w:sz w:val="20"/>
                <w:szCs w:val="20"/>
                <w:color w:val="auto"/>
              </w:rPr>
            </w:pPr>
            <w:r>
              <w:rPr>
                <w:rFonts w:ascii="Times New Roman" w:cs="Times New Roman" w:eastAsia="Times New Roman" w:hAnsi="Times New Roman"/>
                <w:sz w:val="16"/>
                <w:szCs w:val="16"/>
                <w:color w:val="auto"/>
              </w:rPr>
              <w:t>2,000</w:t>
            </w:r>
          </w:p>
        </w:tc>
        <w:tc>
          <w:tcPr>
            <w:tcW w:w="1380" w:type="dxa"/>
            <w:vAlign w:val="bottom"/>
            <w:gridSpan w:val="2"/>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600</w:t>
            </w:r>
          </w:p>
        </w:tc>
        <w:tc>
          <w:tcPr>
            <w:tcW w:w="1260" w:type="dxa"/>
            <w:vAlign w:val="bottom"/>
            <w:gridSpan w:val="2"/>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Terms</w:t>
            </w:r>
          </w:p>
        </w:tc>
        <w:tc>
          <w:tcPr>
            <w:tcW w:w="100" w:type="dxa"/>
            <w:vAlign w:val="bottom"/>
          </w:tcPr>
          <w:p>
            <w:pPr>
              <w:spacing w:after="0"/>
              <w:rPr>
                <w:sz w:val="15"/>
                <w:szCs w:val="15"/>
                <w:color w:val="auto"/>
              </w:rPr>
            </w:pPr>
          </w:p>
        </w:tc>
        <w:tc>
          <w:tcPr>
            <w:tcW w:w="11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5"/>
              </w:rPr>
              <w:t>63 months</w:t>
            </w:r>
          </w:p>
        </w:tc>
        <w:tc>
          <w:tcPr>
            <w:tcW w:w="120" w:type="dxa"/>
            <w:vAlign w:val="bottom"/>
          </w:tcPr>
          <w:p>
            <w:pPr>
              <w:spacing w:after="0"/>
              <w:rPr>
                <w:sz w:val="15"/>
                <w:szCs w:val="15"/>
                <w:color w:val="auto"/>
              </w:rPr>
            </w:pPr>
          </w:p>
        </w:tc>
        <w:tc>
          <w:tcPr>
            <w:tcW w:w="15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annual sub-lease</w:t>
            </w:r>
          </w:p>
        </w:tc>
        <w:tc>
          <w:tcPr>
            <w:tcW w:w="120" w:type="dxa"/>
            <w:vAlign w:val="bottom"/>
          </w:tcPr>
          <w:p>
            <w:pPr>
              <w:spacing w:after="0"/>
              <w:rPr>
                <w:sz w:val="15"/>
                <w:szCs w:val="15"/>
                <w:color w:val="auto"/>
              </w:rPr>
            </w:pPr>
          </w:p>
        </w:tc>
        <w:tc>
          <w:tcPr>
            <w:tcW w:w="12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monthly lease</w:t>
            </w:r>
          </w:p>
        </w:tc>
        <w:tc>
          <w:tcPr>
            <w:tcW w:w="120" w:type="dxa"/>
            <w:vAlign w:val="bottom"/>
          </w:tcPr>
          <w:p>
            <w:pPr>
              <w:spacing w:after="0"/>
              <w:rPr>
                <w:sz w:val="15"/>
                <w:szCs w:val="15"/>
                <w:color w:val="auto"/>
              </w:rPr>
            </w:pPr>
          </w:p>
        </w:tc>
        <w:tc>
          <w:tcPr>
            <w:tcW w:w="11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monthly sub-lease</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0" w:type="dxa"/>
            <w:vAlign w:val="bottom"/>
            <w:gridSpan w:val="3"/>
          </w:tcPr>
          <w:p>
            <w:pPr>
              <w:ind w:left="100"/>
              <w:spacing w:after="0" w:line="180" w:lineRule="exact"/>
              <w:rPr>
                <w:sz w:val="20"/>
                <w:szCs w:val="20"/>
                <w:color w:val="auto"/>
              </w:rPr>
            </w:pPr>
            <w:r>
              <w:rPr>
                <w:rFonts w:ascii="Times New Roman" w:cs="Times New Roman" w:eastAsia="Times New Roman" w:hAnsi="Times New Roman"/>
                <w:sz w:val="16"/>
                <w:szCs w:val="16"/>
                <w:color w:val="auto"/>
              </w:rPr>
              <w:t>TBD</w:t>
            </w:r>
          </w:p>
        </w:tc>
        <w:tc>
          <w:tcPr>
            <w:tcW w:w="0" w:type="dxa"/>
            <w:vAlign w:val="bottom"/>
          </w:tcPr>
          <w:p>
            <w:pPr>
              <w:spacing w:after="0"/>
              <w:rPr>
                <w:sz w:val="1"/>
                <w:szCs w:val="1"/>
                <w:color w:val="auto"/>
              </w:rPr>
            </w:pPr>
          </w:p>
        </w:tc>
      </w:tr>
      <w:tr>
        <w:trPr>
          <w:trHeight w:val="167"/>
        </w:trPr>
        <w:tc>
          <w:tcPr>
            <w:tcW w:w="214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Lessor</w:t>
            </w:r>
          </w:p>
        </w:tc>
        <w:tc>
          <w:tcPr>
            <w:tcW w:w="100" w:type="dxa"/>
            <w:vAlign w:val="bottom"/>
          </w:tcPr>
          <w:p>
            <w:pPr>
              <w:spacing w:after="0"/>
              <w:rPr>
                <w:sz w:val="14"/>
                <w:szCs w:val="14"/>
                <w:color w:val="auto"/>
              </w:rPr>
            </w:pPr>
          </w:p>
        </w:tc>
        <w:tc>
          <w:tcPr>
            <w:tcW w:w="11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IN-REL 7500</w:t>
            </w:r>
          </w:p>
        </w:tc>
        <w:tc>
          <w:tcPr>
            <w:tcW w:w="120" w:type="dxa"/>
            <w:vAlign w:val="bottom"/>
          </w:tcPr>
          <w:p>
            <w:pPr>
              <w:spacing w:after="0"/>
              <w:rPr>
                <w:sz w:val="14"/>
                <w:szCs w:val="14"/>
                <w:color w:val="auto"/>
              </w:rPr>
            </w:pPr>
          </w:p>
        </w:tc>
        <w:tc>
          <w:tcPr>
            <w:tcW w:w="158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POPE</w:t>
            </w:r>
          </w:p>
        </w:tc>
        <w:tc>
          <w:tcPr>
            <w:tcW w:w="120" w:type="dxa"/>
            <w:vAlign w:val="bottom"/>
          </w:tcPr>
          <w:p>
            <w:pPr>
              <w:spacing w:after="0"/>
              <w:rPr>
                <w:sz w:val="14"/>
                <w:szCs w:val="14"/>
                <w:color w:val="auto"/>
              </w:rPr>
            </w:pPr>
          </w:p>
        </w:tc>
        <w:tc>
          <w:tcPr>
            <w:tcW w:w="12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WORCLAB</w:t>
            </w:r>
          </w:p>
        </w:tc>
        <w:tc>
          <w:tcPr>
            <w:tcW w:w="120" w:type="dxa"/>
            <w:vAlign w:val="bottom"/>
          </w:tcPr>
          <w:p>
            <w:pPr>
              <w:spacing w:after="0"/>
              <w:rPr>
                <w:sz w:val="14"/>
                <w:szCs w:val="14"/>
                <w:color w:val="auto"/>
              </w:rPr>
            </w:pPr>
          </w:p>
        </w:tc>
        <w:tc>
          <w:tcPr>
            <w:tcW w:w="11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ENZYMATIC</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Monthly Cost</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OGR, LLC</w:t>
            </w:r>
          </w:p>
        </w:tc>
        <w:tc>
          <w:tcPr>
            <w:tcW w:w="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TECHNOLOGIES</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$7,051.38</w:t>
            </w:r>
          </w:p>
        </w:tc>
        <w:tc>
          <w:tcPr>
            <w:tcW w:w="120" w:type="dxa"/>
            <w:vAlign w:val="bottom"/>
          </w:tcPr>
          <w:p>
            <w:pPr>
              <w:spacing w:after="0"/>
              <w:rPr>
                <w:sz w:val="15"/>
                <w:szCs w:val="15"/>
                <w:color w:val="auto"/>
              </w:rPr>
            </w:pPr>
          </w:p>
        </w:tc>
        <w:tc>
          <w:tcPr>
            <w:tcW w:w="1580" w:type="dxa"/>
            <w:vAlign w:val="bottom"/>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1380" w:type="dxa"/>
            <w:vAlign w:val="bottom"/>
            <w:gridSpan w:val="2"/>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$650</w:t>
            </w:r>
          </w:p>
        </w:tc>
        <w:tc>
          <w:tcPr>
            <w:tcW w:w="1260" w:type="dxa"/>
            <w:vAlign w:val="bottom"/>
            <w:gridSpan w:val="2"/>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6"/>
          <w:szCs w:val="16"/>
          <w:color w:val="auto"/>
        </w:rPr>
        <w:t>We do not own any real property. We believe that these facilities are suitable to meet our needs in the short term, and that, when needed, suitable additional or alternative space will be available to accommodate any expansion of our operations.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58"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Intellectual property rights are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offerings are equally important to establishing and maintaining our technology position.</w:t>
      </w: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We control access to and use of our proprietary technology and other confidential information through the use of internal and external controls, including contractual protections with employees, contractors, customers and partners. We generally require our employees, consultants and other third parties to enter into confidentiality and proprietary rights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 See the section titled “</w:t>
      </w:r>
      <w:r>
        <w:rPr>
          <w:rFonts w:ascii="Times New Roman" w:cs="Times New Roman" w:eastAsia="Times New Roman" w:hAnsi="Times New Roman"/>
          <w:sz w:val="16"/>
          <w:szCs w:val="16"/>
          <w:i w:val="1"/>
          <w:iCs w:val="1"/>
          <w:color w:val="auto"/>
        </w:rPr>
        <w:t>Risk Factors — Intellectual Property</w:t>
      </w:r>
      <w:r>
        <w:rPr>
          <w:rFonts w:ascii="Times New Roman" w:cs="Times New Roman" w:eastAsia="Times New Roman" w:hAnsi="Times New Roman"/>
          <w:sz w:val="16"/>
          <w:szCs w:val="16"/>
          <w:color w:val="auto"/>
        </w:rPr>
        <w:t>” for a discussion of risks related to our intellectual property.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Regulatory Environment</w:t>
      </w:r>
    </w:p>
    <w:p>
      <w:pPr>
        <w:spacing w:after="0" w:line="178"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We are subject to a wide variety of laws and regulations in the United States and other jurisdictions and devote considerable resources to compliance with these laws and regulations.</w:t>
      </w:r>
    </w:p>
    <w:p>
      <w:pPr>
        <w:spacing w:after="0" w:line="143"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4"/>
          <w:szCs w:val="14"/>
          <w:color w:val="auto"/>
        </w:rPr>
        <w:t>We are subject to laws and regulations governing issues such as privacy, data security, telecommunications, the use of biometric data, labor and employment, anti-discrimination, whistleblowing and worker confidentiality obligations, product liability, consumer protection and warnings, marketing, taxation, competition, arbitration agreements and class action waiver provisions, and terms of service, among other issues. We could become subject to additional legal or regulatory requirements if laws, regulations, or guidance change in the jurisdictions in which we operate. This could include the need to obtain new and different types of licenses or certifications to</w:t>
      </w:r>
    </w:p>
    <w:p>
      <w:pPr>
        <w:sectPr>
          <w:pgSz w:w="11900" w:h="16840" w:orient="portrait"/>
          <w:cols w:equalWidth="0" w:num="1">
            <w:col w:w="10600"/>
          </w:cols>
          <w:pgMar w:left="660" w:top="557" w:right="640" w:bottom="131" w:gutter="0" w:footer="0" w:header="0"/>
        </w:sectPr>
      </w:pPr>
    </w:p>
    <w:bookmarkStart w:id="46" w:name="page47"/>
    <w:bookmarkEnd w:id="46"/>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offer certain products or functionalities. Overall, we are committed to complying with, and helping our customers comply with, applicable regulations and requirements, and we will continue to devote significant internal resources to these efforts.</w:t>
      </w:r>
    </w:p>
    <w:p>
      <w:pPr>
        <w:spacing w:after="0" w:line="1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See the section titled “</w:t>
      </w:r>
      <w:r>
        <w:rPr>
          <w:rFonts w:ascii="Times New Roman" w:cs="Times New Roman" w:eastAsia="Times New Roman" w:hAnsi="Times New Roman"/>
          <w:sz w:val="16"/>
          <w:szCs w:val="16"/>
          <w:i w:val="1"/>
          <w:iCs w:val="1"/>
          <w:color w:val="auto"/>
        </w:rPr>
        <w:t>Risk Factors — Risks Related to Government Regulation</w:t>
      </w:r>
      <w:r>
        <w:rPr>
          <w:rFonts w:ascii="Times New Roman" w:cs="Times New Roman" w:eastAsia="Times New Roman" w:hAnsi="Times New Roman"/>
          <w:sz w:val="16"/>
          <w:szCs w:val="16"/>
          <w:color w:val="auto"/>
        </w:rPr>
        <w:t>” for additional information about the laws and regulations to which we are subject and the risks to our business associated with such laws and regulations.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Data Protection and Privacy Program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dedicated to protecting and securing the data of our customers as part of our overall data protection and privacy program.</w:t>
      </w:r>
    </w:p>
    <w:p>
      <w:pPr>
        <w:spacing w:after="0" w:line="17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In addition to the privacy and security measures that we incorporate into the design, engineering, and testing processes for our solution, we have company-wide policies that describe how we collect, use, protect and disclose data. We provide ongoing training to our employees to appropriately handle and secure data. We are also able to assist our customers in demonstrating their compliance with applicable data protection and privacy regulations through the use of template accountability documentation (e.g., data protection impact assessments and supporting policies), which can be configured and tailored by customers to address their particular use cases and organizational requirements. We offer EU Model Clauses, also known as Standard Contractual Clauses, for the purpose of helping enable our customers’ continued compliance with the changing regulatory landscape in connection with transferring personal data subject to the GDPR to third countries that have not been found to provide adequate protection to such personal data, including the United States, highlighting a commitment to protect personal information in accordance with a set of privacy principles that offer meaningful privacy protections and recourse for EU individuals. We also maintain a self- certification under EU-US and Swiss-US Privacy Shield. We hold our service providers and sub processors to the same high data-protection and privacy standards to which we hold ourselves, including through contractual commitments and periodic reviews and audits.</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See the section titled “</w:t>
      </w:r>
      <w:r>
        <w:rPr>
          <w:rFonts w:ascii="Times New Roman" w:cs="Times New Roman" w:eastAsia="Times New Roman" w:hAnsi="Times New Roman"/>
          <w:sz w:val="16"/>
          <w:szCs w:val="16"/>
          <w:i w:val="1"/>
          <w:iCs w:val="1"/>
          <w:color w:val="auto"/>
        </w:rPr>
        <w:t>Risk Factors — Risks Related to Government Regulation</w:t>
      </w:r>
      <w:r>
        <w:rPr>
          <w:rFonts w:ascii="Times New Roman" w:cs="Times New Roman" w:eastAsia="Times New Roman" w:hAnsi="Times New Roman"/>
          <w:sz w:val="16"/>
          <w:szCs w:val="16"/>
          <w:color w:val="auto"/>
        </w:rPr>
        <w:t>” for additional information about the laws and regulations to which we are subject and the risks to our business associated with such laws and regulations.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Legal Proceedings</w:t>
      </w:r>
    </w:p>
    <w:p>
      <w:pPr>
        <w:spacing w:after="0" w:line="178"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From time to time, we may become involved in litigation or other legal proceedings. Other than as described below,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5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Company has been made aware of a complaint (the “Complaint”) filed by William Reny (“Plaintiff”), a greater than ten percent (10%) holder of the Company’s outstanding common stock, par value $0.001 per share, against SEE ID, Charles Maddox and Ed Nabrotzky, each a director of SEE ID, and Does 1-20 (collectively with SEE ID, Mr. Maddox and Mr. Nabrotzky, the “Defendants”), in the District Court of Clark County, Nevada.</w:t>
      </w:r>
    </w:p>
    <w:p>
      <w:pPr>
        <w:spacing w:after="0" w:line="15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Complaint alleges, among other things, (a) breach of Plaintiff’s employment agreement, and an implied covenant of good faith and fair dealing in respect thereof, by SEE ID by (i) terminating Mr. Reny’s employment for “cause,” (ii) not paying Plaintiff certain compensation and benefits, (iii) not permitting Plaintiff to transfer shares to a third party, and (iv) otherwise harming Plaintiff; (b) tortious interference with a contract, tortious interference with prospective economic advantage and conspiracy/concert of action by Messrs. Maddox and Nabrotzky with respect to a contract Plaintiff had with a third party to purchase a home by not permitting Mr. Reny to transfer shares to a third party; (c) conversion, failure to produce business records under NRS chapter 78 or unjust enrichment by one or more of the Defendants. Plaintiff seeks direct damages, interest, statutory damages and penalties, records production, injunctive relief as appropriate, an accounting, reasonable attorney’s fees and costs and punitive damages in excess of $50,000.00.</w:t>
      </w:r>
    </w:p>
    <w:p>
      <w:pPr>
        <w:spacing w:after="0" w:line="15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Company and the Defendants intend to vigorously defend themselves against this litigation and to pursue available legal remedies. Except as required by law, the Company does not intend to comment further on this matter.</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940" w:type="dxa"/>
            <w:vAlign w:val="bottom"/>
            <w:tcBorders>
              <w:bottom w:val="single" w:sz="8" w:color="auto"/>
            </w:tcBorders>
            <w:gridSpan w:val="3"/>
          </w:tcPr>
          <w:p>
            <w:pPr>
              <w:jc w:val="right"/>
              <w:ind w:right="5122"/>
              <w:spacing w:after="0"/>
              <w:rPr>
                <w:sz w:val="20"/>
                <w:szCs w:val="20"/>
                <w:color w:val="auto"/>
              </w:rPr>
            </w:pPr>
            <w:r>
              <w:rPr>
                <w:rFonts w:ascii="Times New Roman" w:cs="Times New Roman" w:eastAsia="Times New Roman" w:hAnsi="Times New Roman"/>
                <w:sz w:val="16"/>
                <w:szCs w:val="16"/>
                <w:color w:val="auto"/>
              </w:rPr>
              <w:t>74</w:t>
            </w:r>
          </w:p>
        </w:tc>
      </w:tr>
      <w:tr>
        <w:trPr>
          <w:trHeight w:val="886"/>
        </w:trPr>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940" w:type="dxa"/>
            <w:vAlign w:val="bottom"/>
            <w:gridSpan w:val="3"/>
          </w:tcPr>
          <w:p>
            <w:pPr>
              <w:jc w:val="center"/>
              <w:ind w:right="4522"/>
              <w:spacing w:after="0"/>
              <w:rPr>
                <w:sz w:val="20"/>
                <w:szCs w:val="20"/>
                <w:color w:val="auto"/>
              </w:rPr>
            </w:pPr>
            <w:r>
              <w:rPr>
                <w:rFonts w:ascii="Times New Roman" w:cs="Times New Roman" w:eastAsia="Times New Roman" w:hAnsi="Times New Roman"/>
                <w:sz w:val="16"/>
                <w:szCs w:val="16"/>
                <w:b w:val="1"/>
                <w:bCs w:val="1"/>
                <w:color w:val="auto"/>
                <w:w w:val="97"/>
              </w:rPr>
              <w:t>MANAGEMENT</w:t>
            </w:r>
          </w:p>
        </w:tc>
      </w:tr>
      <w:tr>
        <w:trPr>
          <w:trHeight w:val="360"/>
        </w:trPr>
        <w:tc>
          <w:tcPr>
            <w:tcW w:w="3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Executive Officers and Directors.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378"/>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Executive Officers</w:t>
            </w:r>
          </w:p>
        </w:tc>
        <w:tc>
          <w:tcPr>
            <w:tcW w:w="2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ind w:left="362"/>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28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6"/>
                <w:szCs w:val="16"/>
                <w:b w:val="1"/>
                <w:bCs w:val="1"/>
                <w:color w:val="auto"/>
              </w:rPr>
              <w:t>Positions</w:t>
            </w:r>
          </w:p>
        </w:tc>
      </w:tr>
      <w:tr>
        <w:trPr>
          <w:trHeight w:val="180"/>
        </w:trPr>
        <w:tc>
          <w:tcPr>
            <w:tcW w:w="35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Edmund Nabrotzky</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left="382"/>
              <w:spacing w:after="0" w:line="180" w:lineRule="exact"/>
              <w:rPr>
                <w:sz w:val="20"/>
                <w:szCs w:val="20"/>
                <w:color w:val="auto"/>
              </w:rPr>
            </w:pPr>
            <w:r>
              <w:rPr>
                <w:rFonts w:ascii="Times New Roman" w:cs="Times New Roman" w:eastAsia="Times New Roman" w:hAnsi="Times New Roman"/>
                <w:sz w:val="16"/>
                <w:szCs w:val="16"/>
                <w:color w:val="auto"/>
                <w:w w:val="99"/>
              </w:rPr>
              <w:t>59</w:t>
            </w: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Chief Executive Officer, Director (Class III)</w:t>
            </w:r>
          </w:p>
        </w:tc>
      </w:tr>
      <w:tr>
        <w:trPr>
          <w:trHeight w:val="180"/>
        </w:trPr>
        <w:tc>
          <w:tcPr>
            <w:tcW w:w="3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Charles Maddox</w:t>
            </w:r>
          </w:p>
        </w:tc>
        <w:tc>
          <w:tcPr>
            <w:tcW w:w="1120" w:type="dxa"/>
            <w:vAlign w:val="bottom"/>
            <w:gridSpan w:val="2"/>
          </w:tcPr>
          <w:p>
            <w:pPr>
              <w:jc w:val="center"/>
              <w:ind w:left="602"/>
              <w:spacing w:after="0" w:line="180" w:lineRule="exact"/>
              <w:rPr>
                <w:sz w:val="20"/>
                <w:szCs w:val="20"/>
                <w:color w:val="auto"/>
              </w:rPr>
            </w:pPr>
            <w:r>
              <w:rPr>
                <w:rFonts w:ascii="Times New Roman" w:cs="Times New Roman" w:eastAsia="Times New Roman" w:hAnsi="Times New Roman"/>
                <w:sz w:val="16"/>
                <w:szCs w:val="16"/>
                <w:color w:val="auto"/>
                <w:w w:val="99"/>
              </w:rPr>
              <w:t>43</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Chief Financial Officer and Chief Operating Officer</w:t>
            </w:r>
          </w:p>
        </w:tc>
      </w:tr>
      <w:tr>
        <w:trPr>
          <w:trHeight w:val="180"/>
        </w:trPr>
        <w:tc>
          <w:tcPr>
            <w:tcW w:w="35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Vijayan Nambiar</w:t>
            </w:r>
          </w:p>
        </w:tc>
        <w:tc>
          <w:tcPr>
            <w:tcW w:w="1120" w:type="dxa"/>
            <w:vAlign w:val="bottom"/>
            <w:gridSpan w:val="2"/>
            <w:shd w:val="clear" w:color="auto" w:fill="CCEEFF"/>
          </w:tcPr>
          <w:p>
            <w:pPr>
              <w:jc w:val="center"/>
              <w:ind w:left="602"/>
              <w:spacing w:after="0" w:line="180" w:lineRule="exact"/>
              <w:rPr>
                <w:sz w:val="20"/>
                <w:szCs w:val="20"/>
                <w:color w:val="auto"/>
              </w:rPr>
            </w:pPr>
            <w:r>
              <w:rPr>
                <w:rFonts w:ascii="Times New Roman" w:cs="Times New Roman" w:eastAsia="Times New Roman" w:hAnsi="Times New Roman"/>
                <w:sz w:val="16"/>
                <w:szCs w:val="16"/>
                <w:color w:val="auto"/>
                <w:w w:val="99"/>
              </w:rPr>
              <w:t>48</w:t>
            </w: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Chief Technology Officer</w:t>
            </w:r>
          </w:p>
        </w:tc>
      </w:tr>
      <w:tr>
        <w:trPr>
          <w:trHeight w:val="180"/>
        </w:trPr>
        <w:tc>
          <w:tcPr>
            <w:tcW w:w="35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Directors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80" w:type="dxa"/>
            <w:vAlign w:val="bottom"/>
          </w:tcPr>
          <w:p>
            <w:pPr>
              <w:spacing w:after="0"/>
              <w:rPr>
                <w:sz w:val="15"/>
                <w:szCs w:val="15"/>
                <w:color w:val="auto"/>
              </w:rPr>
            </w:pPr>
          </w:p>
        </w:tc>
      </w:tr>
      <w:tr>
        <w:trPr>
          <w:trHeight w:val="180"/>
        </w:trPr>
        <w:tc>
          <w:tcPr>
            <w:tcW w:w="35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Dr. Sheldon Paul</w:t>
            </w:r>
          </w:p>
        </w:tc>
        <w:tc>
          <w:tcPr>
            <w:tcW w:w="1120" w:type="dxa"/>
            <w:vAlign w:val="bottom"/>
            <w:gridSpan w:val="2"/>
            <w:shd w:val="clear" w:color="auto" w:fill="CCEEFF"/>
          </w:tcPr>
          <w:p>
            <w:pPr>
              <w:jc w:val="center"/>
              <w:ind w:left="602"/>
              <w:spacing w:after="0" w:line="180" w:lineRule="exact"/>
              <w:rPr>
                <w:sz w:val="20"/>
                <w:szCs w:val="20"/>
                <w:color w:val="auto"/>
              </w:rPr>
            </w:pPr>
            <w:r>
              <w:rPr>
                <w:rFonts w:ascii="Times New Roman" w:cs="Times New Roman" w:eastAsia="Times New Roman" w:hAnsi="Times New Roman"/>
                <w:sz w:val="16"/>
                <w:szCs w:val="16"/>
                <w:color w:val="auto"/>
                <w:w w:val="99"/>
              </w:rPr>
              <w:t>58</w:t>
            </w: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Director (Class I)</w:t>
            </w:r>
          </w:p>
        </w:tc>
      </w:tr>
      <w:tr>
        <w:trPr>
          <w:trHeight w:val="180"/>
        </w:trPr>
        <w:tc>
          <w:tcPr>
            <w:tcW w:w="3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Phyllis Newhouse</w:t>
            </w:r>
          </w:p>
        </w:tc>
        <w:tc>
          <w:tcPr>
            <w:tcW w:w="1120" w:type="dxa"/>
            <w:vAlign w:val="bottom"/>
            <w:gridSpan w:val="2"/>
          </w:tcPr>
          <w:p>
            <w:pPr>
              <w:jc w:val="center"/>
              <w:ind w:left="602"/>
              <w:spacing w:after="0" w:line="180" w:lineRule="exact"/>
              <w:rPr>
                <w:sz w:val="20"/>
                <w:szCs w:val="20"/>
                <w:color w:val="auto"/>
              </w:rPr>
            </w:pPr>
            <w:r>
              <w:rPr>
                <w:rFonts w:ascii="Times New Roman" w:cs="Times New Roman" w:eastAsia="Times New Roman" w:hAnsi="Times New Roman"/>
                <w:sz w:val="16"/>
                <w:szCs w:val="16"/>
                <w:color w:val="auto"/>
                <w:w w:val="99"/>
              </w:rPr>
              <w:t>62</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Director (Class I)</w:t>
            </w:r>
          </w:p>
        </w:tc>
      </w:tr>
      <w:tr>
        <w:trPr>
          <w:trHeight w:val="180"/>
        </w:trPr>
        <w:tc>
          <w:tcPr>
            <w:tcW w:w="35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Janice Bryant Howroyd</w:t>
            </w:r>
          </w:p>
        </w:tc>
        <w:tc>
          <w:tcPr>
            <w:tcW w:w="1120" w:type="dxa"/>
            <w:vAlign w:val="bottom"/>
            <w:gridSpan w:val="2"/>
            <w:shd w:val="clear" w:color="auto" w:fill="CCEEFF"/>
          </w:tcPr>
          <w:p>
            <w:pPr>
              <w:jc w:val="center"/>
              <w:ind w:left="602"/>
              <w:spacing w:after="0" w:line="180" w:lineRule="exact"/>
              <w:rPr>
                <w:sz w:val="20"/>
                <w:szCs w:val="20"/>
                <w:color w:val="auto"/>
              </w:rPr>
            </w:pPr>
            <w:r>
              <w:rPr>
                <w:rFonts w:ascii="Times New Roman" w:cs="Times New Roman" w:eastAsia="Times New Roman" w:hAnsi="Times New Roman"/>
                <w:sz w:val="16"/>
                <w:szCs w:val="16"/>
                <w:color w:val="auto"/>
                <w:w w:val="99"/>
              </w:rPr>
              <w:t>72</w:t>
            </w: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Director (Class II)</w:t>
            </w:r>
          </w:p>
        </w:tc>
      </w:tr>
      <w:tr>
        <w:trPr>
          <w:trHeight w:val="180"/>
        </w:trPr>
        <w:tc>
          <w:tcPr>
            <w:tcW w:w="3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Walter Skowronski</w:t>
            </w:r>
          </w:p>
        </w:tc>
        <w:tc>
          <w:tcPr>
            <w:tcW w:w="1120" w:type="dxa"/>
            <w:vAlign w:val="bottom"/>
            <w:gridSpan w:val="2"/>
          </w:tcPr>
          <w:p>
            <w:pPr>
              <w:jc w:val="center"/>
              <w:ind w:left="602"/>
              <w:spacing w:after="0" w:line="180" w:lineRule="exact"/>
              <w:rPr>
                <w:sz w:val="20"/>
                <w:szCs w:val="20"/>
                <w:color w:val="auto"/>
              </w:rPr>
            </w:pPr>
            <w:r>
              <w:rPr>
                <w:rFonts w:ascii="Times New Roman" w:cs="Times New Roman" w:eastAsia="Times New Roman" w:hAnsi="Times New Roman"/>
                <w:sz w:val="16"/>
                <w:szCs w:val="16"/>
                <w:color w:val="auto"/>
                <w:w w:val="99"/>
              </w:rPr>
              <w:t>76</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Director (Class II)</w:t>
            </w:r>
          </w:p>
        </w:tc>
      </w:tr>
      <w:tr>
        <w:trPr>
          <w:trHeight w:val="180"/>
        </w:trPr>
        <w:tc>
          <w:tcPr>
            <w:tcW w:w="35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Dr. David Carlson</w:t>
            </w:r>
          </w:p>
        </w:tc>
        <w:tc>
          <w:tcPr>
            <w:tcW w:w="1120" w:type="dxa"/>
            <w:vAlign w:val="bottom"/>
            <w:gridSpan w:val="2"/>
            <w:shd w:val="clear" w:color="auto" w:fill="CCEEFF"/>
          </w:tcPr>
          <w:p>
            <w:pPr>
              <w:jc w:val="center"/>
              <w:ind w:left="602"/>
              <w:spacing w:after="0" w:line="180" w:lineRule="exact"/>
              <w:rPr>
                <w:sz w:val="20"/>
                <w:szCs w:val="20"/>
                <w:color w:val="auto"/>
              </w:rPr>
            </w:pPr>
            <w:r>
              <w:rPr>
                <w:rFonts w:ascii="Times New Roman" w:cs="Times New Roman" w:eastAsia="Times New Roman" w:hAnsi="Times New Roman"/>
                <w:sz w:val="16"/>
                <w:szCs w:val="16"/>
                <w:color w:val="auto"/>
                <w:w w:val="99"/>
              </w:rPr>
              <w:t>66</w:t>
            </w: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Director (Class III)</w:t>
            </w:r>
          </w:p>
        </w:tc>
      </w:tr>
      <w:tr>
        <w:trPr>
          <w:trHeight w:val="20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Jeff Saling</w:t>
            </w:r>
          </w:p>
        </w:tc>
        <w:tc>
          <w:tcPr>
            <w:tcW w:w="1120" w:type="dxa"/>
            <w:vAlign w:val="bottom"/>
            <w:gridSpan w:val="2"/>
          </w:tcPr>
          <w:p>
            <w:pPr>
              <w:jc w:val="center"/>
              <w:ind w:left="602"/>
              <w:spacing w:after="0"/>
              <w:rPr>
                <w:sz w:val="20"/>
                <w:szCs w:val="20"/>
                <w:color w:val="auto"/>
              </w:rPr>
            </w:pPr>
            <w:r>
              <w:rPr>
                <w:rFonts w:ascii="Times New Roman" w:cs="Times New Roman" w:eastAsia="Times New Roman" w:hAnsi="Times New Roman"/>
                <w:sz w:val="16"/>
                <w:szCs w:val="16"/>
                <w:color w:val="auto"/>
                <w:w w:val="99"/>
              </w:rPr>
              <w:t>68</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Director (Class III)</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Set forth below is biographical information about each of the individuals named in the tables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Executive Officers</w:t>
      </w:r>
    </w:p>
    <w:p>
      <w:pPr>
        <w:spacing w:after="0" w:line="178"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6"/>
          <w:szCs w:val="16"/>
          <w:b w:val="1"/>
          <w:bCs w:val="1"/>
          <w:color w:val="auto"/>
        </w:rPr>
        <w:t xml:space="preserve">Ed Nabrotzky. </w:t>
      </w:r>
      <w:r>
        <w:rPr>
          <w:rFonts w:ascii="Times New Roman" w:cs="Times New Roman" w:eastAsia="Times New Roman" w:hAnsi="Times New Roman"/>
          <w:sz w:val="16"/>
          <w:szCs w:val="16"/>
          <w:color w:val="auto"/>
        </w:rPr>
        <w:t>Mr. Nabrotzky is the co -founder and Chief Executive Officer of CID Holdco. Mr. Nabrotzky previously served as the President of Litum from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January 2022 to August 2022, served as an Adjunct Faculty Member at the Simon Business School, University of Rochester from December 2019 to June 2022, and served as the Director, Sales &amp; Strategy at Panasonic North America from January 2019 to October 2021. From September 2011 to January 2019, Mr. Nabrotzky served as the Chief Solutions Officer at Omni-ID. Mr. Nabrotzky also served as the President of Dynamic e-Horizons Inc. from August 2009 to March 2012. Prior to that, he was with Molex as the Group Product Marketing from January 2006 to December 2009. Mr. Nabrotzky started his career with Woodhead Industries Inc. in April 1998 and served the company until December 2006 as the VP &amp; General Manager. Mr. Nabrotzky is preparing to defend his dissertation in completing a PhD in Technology Management from Indiana State University, an MBA from Ivey Business School at Western University, and a B.Sc. in Computer Science from Western University. Mr. Nabrotzky has been selected to serve as a member of the Board of Directors of the Company because of the perspective and experience he brings as our co-founder and Chief Executive Officer as well as his management experience.</w:t>
      </w:r>
    </w:p>
    <w:p>
      <w:pPr>
        <w:spacing w:after="0" w:line="15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Charlie Maddox. </w:t>
      </w:r>
      <w:r>
        <w:rPr>
          <w:rFonts w:ascii="Times New Roman" w:cs="Times New Roman" w:eastAsia="Times New Roman" w:hAnsi="Times New Roman"/>
          <w:sz w:val="16"/>
          <w:szCs w:val="16"/>
          <w:color w:val="auto"/>
        </w:rPr>
        <w:t>Mr. Maddox serves as the Chief Financial Officer and Chief Operating Officer of CID Holdco. A seasoned entrepreneur and leader, Charlie has co-founded multiple startups valued collectively at over $300M and has raised more than $8M in seed capital for CID Holdco. Leveraging over 20 years of experience in finance, operations, and strategic planning, he has been instrumental in scaling technology-driven businesses and driving operational efficiency as CID Holdco transitions to a publicly traded company. Mr. Maddox holds an MBA from Worcester Polytechnic Institute (WPI) and a B.Sc. in Computer Science from Florida State University (FSU).</w:t>
      </w:r>
    </w:p>
    <w:p>
      <w:pPr>
        <w:sectPr>
          <w:pgSz w:w="11900" w:h="16840" w:orient="portrait"/>
          <w:cols w:equalWidth="0" w:num="1">
            <w:col w:w="10580"/>
          </w:cols>
          <w:pgMar w:left="660" w:top="557" w:right="660" w:bottom="153" w:gutter="0" w:footer="0" w:header="0"/>
        </w:sectPr>
      </w:pPr>
    </w:p>
    <w:bookmarkStart w:id="47" w:name="page48"/>
    <w:bookmarkEnd w:id="47"/>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Before his tech career, Charlie served as a USAF C-17 pilot and Director of Operations, managing the continuous global deployment of $11.12B in assets. His disciplined, data-driven leadership style has been honed through years of managing high-stakes operations and advising early-stage companies as an angel investor. At CID Holdco, Charlie aligns operational excellence with long-term strategic goals, ensuring robust financial performance while supporting the company’s innovative plug-and-play tracking solutions and mission to streamline operations through AI-powered insights.</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Vijayan Nambiar. </w:t>
      </w:r>
      <w:r>
        <w:rPr>
          <w:rFonts w:ascii="Times New Roman" w:cs="Times New Roman" w:eastAsia="Times New Roman" w:hAnsi="Times New Roman"/>
          <w:sz w:val="16"/>
          <w:szCs w:val="16"/>
          <w:color w:val="auto"/>
        </w:rPr>
        <w:t>Mr. Nambiar is Chief Technology Officer of CID Holdco. Ms. Nambiar brings over 24 years of experience in leading product development from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conception to field rollout for a variety of next-gen embedded real-time hardware &amp; cloud solutions. Ms. Nambiar holds a Masters in Computer Science and an MBA, showcasing a solid educational foundation in both technical and business domains. As a former Senior Manager of Strategy at Verizon, Mr. Nambiar managed the 5G device ecosystem and the Fios Wi-Fi router teams. During his tenure at</w:t>
      </w:r>
    </w:p>
    <w:p>
      <w:pPr>
        <w:spacing w:after="0" w:line="154"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Verizon, Mr. Nambiar successfully shipped over 5 million devices and generated more than $1.5 billion in revenue, underscoring his ability to drive substantial business growth and innovation. Mr. Nambiar’s entrepreneurial spirit is evidenced by his involvement in three startups as part of the founding engineering team. Notably, his work at SimpliVity culminated in a significant achievement when the company was acquired by HP for $650 million. Mr. Nambiar’s deep understanding of the startup environment and strategic execution has been pivotal in driving technological advancements and successful exits.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Non-Employee Directors</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b w:val="1"/>
          <w:bCs w:val="1"/>
          <w:color w:val="auto"/>
        </w:rPr>
        <w:t xml:space="preserve">Jeff Saling </w:t>
      </w:r>
      <w:r>
        <w:rPr>
          <w:rFonts w:ascii="Times New Roman" w:cs="Times New Roman" w:eastAsia="Times New Roman" w:hAnsi="Times New Roman"/>
          <w:sz w:val="16"/>
          <w:szCs w:val="16"/>
          <w:color w:val="auto"/>
        </w:rPr>
        <w:t>is a serial entrepreneur, seasoned executive, and prolific investor with over 30 years of experience in launching, scaling, and exiting startups in the SaaS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cloud domains. He is currently the executive director and co -founder of StartUpNV, Nevada’s non-profit statewide startup accelerator, where he leads the vision, strategy, and operations to support and accelerate the growth of Nevada-based startups. Jeff is also an active angel investor and co-president of Sierra Angels, one of the longest running angel groups in the US, and a general partner of 1864 Fund, a seed-stage venture capital fund that invests in high-potential startups outside of traditional venture enclaves. He is passionate about creating a vibrant and diverse startup ecosystem in Nevada, and he leverages his extensive network, expertise, and resources to connect founders with mentors, customers, talent, and capital. In addition, Jeff is an adjunct professor in the College of Engineering at the University of Nevada, Reno, where he teaches entrepreneurship and innovation courses.</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b w:val="1"/>
          <w:bCs w:val="1"/>
          <w:color w:val="auto"/>
        </w:rPr>
        <w:t xml:space="preserve">Janic Bryant Howroyd </w:t>
      </w:r>
      <w:r>
        <w:rPr>
          <w:rFonts w:ascii="Times New Roman" w:cs="Times New Roman" w:eastAsia="Times New Roman" w:hAnsi="Times New Roman"/>
          <w:sz w:val="16"/>
          <w:szCs w:val="16"/>
          <w:color w:val="auto"/>
        </w:rPr>
        <w:t>has more than 40 years of experience as a director and executive of not-for-profit and for profit companies. Since September 1978, 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Howroyd has served as the founder and chief executive officer of the ActOne Group, an international talent and technology enterprise focusing on employment, talent management and digital solutions. Ms. Howroyd has served as a board member of ShoulderUp Technology Acquisition Gorp., the Los Angeles Economic Development Corporation, Women’s Business Enterprise National Counsel Global Business Committee, and most recently has joined the global board of directors of United Way. Ms. Howroyd previously served on the Board of Advisors for the White House Initiative on Historically Black Colleges and Universities during the Obama Administration. Ms. Howroyd also served on the Federal Communications Commission’s Advisory Committee on diversity and digital empowerment to encourage new entrepreneurs to create digital enterprises during the first Trump administration. Ms. Howroyd attended North Carolina A&amp;T State University from which she received one of several honorary doctorates she holds. Ms. Howroyd is well-qualified to serve on our Board because of her employment and talent management experience, as well as her extensive leadership roles within government entities.</w:t>
      </w:r>
    </w:p>
    <w:p>
      <w:pPr>
        <w:spacing w:after="0" w:line="15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Dr. Sheldon W. Paul </w:t>
      </w:r>
      <w:r>
        <w:rPr>
          <w:rFonts w:ascii="Times New Roman" w:cs="Times New Roman" w:eastAsia="Times New Roman" w:hAnsi="Times New Roman"/>
          <w:sz w:val="16"/>
          <w:szCs w:val="16"/>
          <w:color w:val="auto"/>
        </w:rPr>
        <w:t>is an obstetrician- gynecologist in Las Vegas, Nevada and is affiliated with Summerlin Hospital Medical Center. He received his medical degree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from University of Nevada Reno School of Medicine and has been in practice for more than 25 years. Dr. Paul has developed, owned and operated multiple clinics over his years of practice. He has also branched into other several other successful businesses and investments, including early investments in Dot Ai. Dr. Paul is a founder and controlling member of Pope Technologies LLC, which is SEE ID’s primary distributor and currently subleases office space to SEE ID. He brings unique practical entrepreneurial experience to the board.</w:t>
      </w:r>
    </w:p>
    <w:p>
      <w:pPr>
        <w:spacing w:after="0" w:line="1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b w:val="1"/>
          <w:bCs w:val="1"/>
          <w:color w:val="auto"/>
        </w:rPr>
        <w:t>David Carlson</w:t>
      </w:r>
      <w:r>
        <w:rPr>
          <w:rFonts w:ascii="Times New Roman" w:cs="Times New Roman" w:eastAsia="Times New Roman" w:hAnsi="Times New Roman"/>
          <w:sz w:val="16"/>
          <w:szCs w:val="16"/>
          <w:color w:val="auto"/>
        </w:rPr>
        <w:t>, DO, MBA has been the Chief Medical Officer in South King County for Virginia Mason Franciscan Health since 2023. He recently served as a medical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director for Seamar Community Health Centers in Pierce and Thurston Counties from during 2023. Prior to joining VMFH, Dr. Carlson served as chief physician officer for Multicare from 2017 to 2022, chief physician executive for Hospital Sisters Health System from 2014 to 2017, and chief medical officer for Conemaugh Health System in Johnstown, PA from 2007 to 2014. Previous leadership roles also include Ochsner Clinic Foundation in Baton Rouge, LA; Summit Health System in Chambersburg, PA; and Lovelace Health Systems in Albuquerque, NM. Dr. Carlson is a member and is currently Chairman of the Board for the Physician Insurance Company, and has been a board member of United Way Pierce County since 2018. He has also served on the boards of the Washington Healthcare Alliance and Physicians of Southwest Washington. Dr. Carlson is a board-certified family practice physician, with a subspecialty in geriatrics. He earned his Bachelor of Science degree from Pennsylvania State University, his medical degree from Philadelphia College of Osteopathic Medicine, and his Master of Business Administration from Alvernia University.</w:t>
      </w: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color w:val="auto"/>
        </w:rPr>
        <w:t xml:space="preserve">Walter Skowronski </w:t>
      </w:r>
      <w:r>
        <w:rPr>
          <w:rFonts w:ascii="Times New Roman" w:cs="Times New Roman" w:eastAsia="Times New Roman" w:hAnsi="Times New Roman"/>
          <w:sz w:val="14"/>
          <w:szCs w:val="14"/>
          <w:color w:val="auto"/>
        </w:rPr>
        <w:t>has more than 40 years of experience as a senior financial executive of NYSE-listed public companies. From July 2023 through December 30,</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2024, Mr. Skowronski served as a director of Coliseum Acquisition Corp., which completed a business combination with Rain Enhancement Technologies (NASDAQ: RAIN, RAINW) in December of 2024. From 2003 to his retirement in 2009, Mr. Skowronski served as Senior Vice President of The Boeing Company and President of Boeing Capital Company, a wholly -owned Boeing subsidiary responsible for arranging, structuring and providing financing for Boeing’s commercial airplane and space and defense products and services. While at Boeing, Mr. Skowronski instituted new risk management, customer relations and investor outreach programs. Previously, he served as Senior Vice President of Finance and Treasurer of Boeing from 1999 to 2003. Mr. Skowronski joined Lockheed Corp. in 1990, where he served as Vice President and Treasurer and Vice President of Investor Relations. Mr. Skowronski became Vice President and Treasurer of Lockheed Martin in March 1999 upon the merger of Lockheed Corp. and Martin Marietta Corp. and developed the new finance and treasury function for the organization. Mr. Skowronski is a former director of the National Investor Relations Institute, serving as its chairman and chief executive officer in 1989. He previously served on the board of Physicians Insurance Company and was a member of the board of directors of United States Enrichment Corp. (USEC) from 2011 to the company’s emergence from Chapter 11 bankruptcy in September 2014. He was also the Lockheed Martin -designated director on the board of directors of Calcomp Corp. from 1997 to 1999. Mr. Skowronski holds a Bachelor’s of Electrical Engineering from Northeastern University and a Master’s degree in Corporate Finance from Boston University.</w:t>
      </w:r>
    </w:p>
    <w:p>
      <w:pPr>
        <w:spacing w:after="0" w:line="319"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Phyllis Newhouse </w:t>
      </w:r>
      <w:r>
        <w:rPr>
          <w:rFonts w:ascii="Times New Roman" w:cs="Times New Roman" w:eastAsia="Times New Roman" w:hAnsi="Times New Roman"/>
          <w:sz w:val="14"/>
          <w:szCs w:val="14"/>
          <w:color w:val="auto"/>
        </w:rPr>
        <w:t>previously served as Chief Executive Officer of ShoulderUp Technology Acquisition Corp. Ms. Newhouse is known as a pioneer in cybersecurity.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Ms. Newhouse is an entrepreneur, retired military senior non-commissioned officer, mentor, founder and Chief Executive Officer of XtremeSolutions, Inc., an Atlanta-based cybersecurity firm (“XSI”), and a founder, Chief Executive Officer and Director of Athena Technology Acquisition Corp., a blank check company focused on identifying acquisitions of business in technology, direct to consumer and fintech industries. While serving in the United States Army on various assignments, Ms. Newhouse focused on national security and worked on several projects, which outlined the Cyber Espionage Task Force. After her service in the army, Ms. Newhouse founded XSI in 2002, which offers a wide range of IT expertise and provides industry leading, state-of-the-art information technology and cybersecurity services and solutions. XSI has employees in 42 states, with 40% of its workforce made up of veterans. In 2019, Ms. Newhouse founded ShoulderUp, a nonprofit dedicated to connecting and supporting women in their entrepreneurial journeys. Ms. Newhouse currently serves on the board of directors of the Technology Association of Georgia, is a member of the Business Executives for National Security, and since April 2021, has served on the Board of Directors of the Sabre Corporation. She also serves on the executive board and is a member of the Women President Organization. Ms. Newhouse also serves on the Board of Directors of Girls Inc., a nonprofit organization</w:t>
      </w:r>
    </w:p>
    <w:p>
      <w:pPr>
        <w:sectPr>
          <w:pgSz w:w="11900" w:h="16840" w:orient="portrait"/>
          <w:cols w:equalWidth="0" w:num="1">
            <w:col w:w="10580"/>
          </w:cols>
          <w:pgMar w:left="660" w:top="737" w:right="660" w:bottom="166" w:gutter="0" w:footer="0" w:header="0"/>
        </w:sectPr>
      </w:pPr>
    </w:p>
    <w:bookmarkStart w:id="48" w:name="page49"/>
    <w:bookmarkEnd w:id="48"/>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that encourages all girls to be “Strong, Smart, and Bold.” Ms. Newhouse received her B.A. in Liberal Arts Science from Saint Leo College in 1986, she is a graduate of the Institute of Entrepreneurial Leadership program sponsored by John F. Kennedy University, and she received an Honorary Doctor of Philosophy from CICA International University.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Family Relationships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no family relationships between any of our executive officers and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Composition</w:t>
      </w:r>
    </w:p>
    <w:p>
      <w:pPr>
        <w:spacing w:after="0" w:line="178"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Our business and affairs are organized under the direction of our board of directors. Our board of directors currently consists of seven members. The primary responsibilities of our board of directors are to provide oversight, strategic guidance, counseling and direction to our management. Our board of directors meets on a regular basis and additionally as required.</w:t>
      </w: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Our board of directors is divided into three classes, Class I, Class II and Class III, with members of each class serving staggered three-year terms. Currently, our board of directors is divided into the following classes:</w:t>
      </w:r>
    </w:p>
    <w:p>
      <w:pPr>
        <w:spacing w:after="0" w:line="143" w:lineRule="exact"/>
        <w:rPr>
          <w:sz w:val="20"/>
          <w:szCs w:val="20"/>
          <w:color w:val="auto"/>
        </w:rPr>
      </w:pPr>
    </w:p>
    <w:p>
      <w:pPr>
        <w:ind w:left="580" w:hanging="286"/>
        <w:spacing w:after="0"/>
        <w:tabs>
          <w:tab w:leader="none" w:pos="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I, which consists of Dr. Sheldon Paul and Phyllis Newhouse, whose terms will expire at the first annual meeting of stockholders to be held in 2026;</w:t>
      </w:r>
    </w:p>
    <w:p>
      <w:pPr>
        <w:spacing w:after="0" w:line="176" w:lineRule="exact"/>
        <w:rPr>
          <w:rFonts w:ascii="Times New Roman" w:cs="Times New Roman" w:eastAsia="Times New Roman" w:hAnsi="Times New Roman"/>
          <w:sz w:val="16"/>
          <w:szCs w:val="16"/>
          <w:color w:val="auto"/>
        </w:rPr>
      </w:pPr>
    </w:p>
    <w:p>
      <w:pPr>
        <w:ind w:left="580" w:right="40" w:hanging="286"/>
        <w:spacing w:after="0" w:line="259" w:lineRule="auto"/>
        <w:tabs>
          <w:tab w:leader="none" w:pos="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II, which consists of Janice Bryant Howroyd and Walter Skowronski whose term will expire at the Company’s second annual meeting of stockholders to be held in 2027; and</w:t>
      </w:r>
    </w:p>
    <w:p>
      <w:pPr>
        <w:spacing w:after="0" w:line="143" w:lineRule="exact"/>
        <w:rPr>
          <w:rFonts w:ascii="Times New Roman" w:cs="Times New Roman" w:eastAsia="Times New Roman" w:hAnsi="Times New Roman"/>
          <w:sz w:val="16"/>
          <w:szCs w:val="16"/>
          <w:color w:val="auto"/>
        </w:rPr>
      </w:pPr>
    </w:p>
    <w:p>
      <w:pPr>
        <w:ind w:left="580" w:right="60" w:hanging="286"/>
        <w:spacing w:after="0" w:line="259" w:lineRule="auto"/>
        <w:tabs>
          <w:tab w:leader="none" w:pos="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III, which consists of Edmund Nabrotzky, Dr. David Carlson and Jeff Saling, whose terms will expire at the Company’s third annual meeting of stockholders to be held in 2028.</w:t>
      </w:r>
    </w:p>
    <w:p>
      <w:pPr>
        <w:spacing w:after="0" w:line="1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our board of directors may have the effect of delaying or preventing changes in our control or management.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We adhere to the rules of Nasdaq in determining whether a director is independent. The Board consults with its counsel to ensure that the Board’s determinations are consistent with those rules and all relevant securities and other laws and regulations regarding the independence of directors. The Nasdaq listing standards generally define an “independent director” as a person that, in the opinion of the issuer’s board of directors, has no material relationship with the listed company (either directly or as a partner, stockholder or officer of an organization that has a relationship with the company). The Board has determined that each of the directors on the Board (other than Edmund Nabrotzky) are independent as defined under the listing standards of Nasdaq. Our independent directors will have regularly scheduled meetings at which only independent directors are present.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Leadership Structure and Role in Risk Oversight</w:t>
      </w:r>
    </w:p>
    <w:p>
      <w:pPr>
        <w:spacing w:after="0" w:line="17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4"/>
          <w:szCs w:val="14"/>
          <w:color w:val="auto"/>
        </w:rPr>
        <w:t>The Board oversees the risk management activities designed and implemented by our management. The Board does not anticipate having a standing risk management committee, but rather executes its oversight responsibility both directly and through its standing committees. The Board also considers specific risk topics, including risks associated with our strategic initiatives, business plans and capital structure. Our management, including our executive officers, are primarily responsible for managing the risks associated with operation and business of the company and provide appropriate updates to the Board and the Audit Committee. The Board delegates to the Audit Committee oversight of its risk management process, and our other Board committees also consider risks as they perform their respective committee responsibilities. All board committees report to the Board as appropriate, including, but not limited to, when a matter rises to the level of a material or enterprise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Committees</w:t>
      </w:r>
    </w:p>
    <w:p>
      <w:pPr>
        <w:spacing w:after="0" w:line="17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Board has an Audit Committee, a Compensation Committee and a Nominating and Corporate Governance Committee, each of which has the composition and responsibilities described below.</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Committee is responsible for, among other things:</w:t>
      </w:r>
    </w:p>
    <w:p>
      <w:pPr>
        <w:spacing w:after="0" w:line="176"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evaluating the performance, independence and qualifications of the Company’s independent auditors and determining whether to retain the Company’s existing independent auditors or engage new independent auditors;</w:t>
      </w:r>
    </w:p>
    <w:p>
      <w:pPr>
        <w:spacing w:after="0" w:line="143" w:lineRule="exact"/>
        <w:rPr>
          <w:sz w:val="20"/>
          <w:szCs w:val="20"/>
          <w:color w:val="auto"/>
        </w:rPr>
      </w:pPr>
    </w:p>
    <w:p>
      <w:pPr>
        <w:ind w:left="580" w:hanging="286"/>
        <w:spacing w:after="0"/>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Company’s financial reporting processes and disclosure controls;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the engagement of the Company’s independent auditors to perform audit services and any permissible non-audit services;</w:t>
      </w:r>
    </w:p>
    <w:p>
      <w:pPr>
        <w:spacing w:after="0" w:line="176"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adequacy and effectiveness of the Company’s internal control policies and procedures, including the responsibilities, budget, staffing and effectiveness of the Company’s internal audit function;</w:t>
      </w:r>
    </w:p>
    <w:p>
      <w:pPr>
        <w:spacing w:after="0" w:line="143"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the independent auditors the annual audit plan, including the scope of audit activities and all critical accounting policies and practices to be used by the Company;</w:t>
      </w:r>
    </w:p>
    <w:p>
      <w:pPr>
        <w:spacing w:after="0" w:line="143" w:lineRule="exact"/>
        <w:rPr>
          <w:rFonts w:ascii="Times New Roman" w:cs="Times New Roman" w:eastAsia="Times New Roman" w:hAnsi="Times New Roman"/>
          <w:sz w:val="16"/>
          <w:szCs w:val="16"/>
          <w:color w:val="auto"/>
        </w:rPr>
      </w:pPr>
    </w:p>
    <w:p>
      <w:pPr>
        <w:ind w:left="580" w:right="40" w:hanging="286"/>
        <w:spacing w:after="0" w:line="259" w:lineRule="auto"/>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reviewing at least annually a report by the Company’s independent auditors describing the independent auditors’ internal quality control procedures and any material issues raised by the most recent internal quality-control review;</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the rotation of partners of the Company’s independent auditors on the Company’s engagement team as required by law;</w:t>
      </w:r>
    </w:p>
    <w:p>
      <w:pPr>
        <w:sectPr>
          <w:pgSz w:w="11900" w:h="16840" w:orient="portrait"/>
          <w:cols w:equalWidth="0" w:num="1">
            <w:col w:w="10580"/>
          </w:cols>
          <w:pgMar w:left="660" w:top="557" w:right="660" w:bottom="386" w:gutter="0" w:footer="0" w:header="0"/>
        </w:sectPr>
      </w:pPr>
    </w:p>
    <w:bookmarkStart w:id="49" w:name="page50"/>
    <w:bookmarkEnd w:id="49"/>
    <w:p>
      <w:pPr>
        <w:ind w:left="580" w:right="40" w:hanging="286"/>
        <w:spacing w:after="0" w:line="259" w:lineRule="auto"/>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engagement of any independent auditor, and at least annually thereafter, reviewing relationships that may reasonably be thought to bear on their independence, and assessing and otherwise taking the appropriate action to oversee the independence of the Company’s independent auditor;</w:t>
      </w:r>
    </w:p>
    <w:p>
      <w:pPr>
        <w:spacing w:after="0" w:line="155" w:lineRule="exact"/>
        <w:rPr>
          <w:rFonts w:ascii="Times New Roman" w:cs="Times New Roman" w:eastAsia="Times New Roman" w:hAnsi="Times New Roman"/>
          <w:sz w:val="16"/>
          <w:szCs w:val="16"/>
          <w:color w:val="auto"/>
        </w:rPr>
      </w:pPr>
    </w:p>
    <w:p>
      <w:pPr>
        <w:jc w:val="both"/>
        <w:ind w:left="580" w:right="20" w:hanging="286"/>
        <w:spacing w:after="0" w:line="247" w:lineRule="auto"/>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Company’s annual and quarterly financial statements and reports, including the disclosures contained in the “Management’s Discussion and Analysis of Financial Condition and Results of Operations” section of such periodic reports, and discussing the statements and reports with the Company’s independent auditors and management;</w:t>
      </w:r>
    </w:p>
    <w:p>
      <w:pPr>
        <w:spacing w:after="0" w:line="152"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the Company’s independent auditors and management significant issues that arise regarding accounting principles and financial statement presentation and matters concerning the scope, adequacy, and effectiveness of the Company’s financial controls and critical accounting policies;</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management and the Company’s auditors any earnings announcements and other public announcements regarding material developments;</w:t>
      </w:r>
    </w:p>
    <w:p>
      <w:pPr>
        <w:spacing w:after="0" w:line="176"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procedures for the receipt, retention and treatment of complaints received by the Company regarding financial controls, accounting, auditing or other matters;</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report that the SEC requires in the Company’s annual proxy statement;</w:t>
      </w:r>
    </w:p>
    <w:p>
      <w:pPr>
        <w:spacing w:after="0" w:line="176"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providing oversight of any related party transactions in accordance with the Company’s related party transaction policy and reviewing and monitoring compliance with legal and regulatory responsibilities, including the Company’s code of ethics;</w:t>
      </w:r>
    </w:p>
    <w:p>
      <w:pPr>
        <w:spacing w:after="0" w:line="143"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Company’s major financial risk exposures, including the guidelines and policies to govern the process by which risk assessment and risk management is implemented; and</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evaluating on an annual basis the performance of the audit committee and the audit committee charter.</w:t>
      </w:r>
    </w:p>
    <w:p>
      <w:pPr>
        <w:spacing w:after="0" w:line="176"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Our Audit Committee consists of Janice Bryant Howroyd, Walter Skowronski and Dr. David Carlson, with Walter Skowronski serving as the audit committee chair. The Board has affirmatively determined that Janice Bryant Howroyd, Walter Skowronski and Dr. David Carlson, each meet the definition of “independent director” for purposes of serving on the audit committee under Rule 10A-3 of the Exchange Act and the Nasdaq rules. Each member of our Audit Committee also meets the financial literacy requirements of the Nasdaq listing standards. The Board has adopted a written charter for the Audit Committee, which is available on our corporate website. The information contained on our website is not incorporated by reference into this prospectus.</w:t>
      </w: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Compensation Committee is responsible for, among other things:</w:t>
      </w:r>
    </w:p>
    <w:p>
      <w:pPr>
        <w:spacing w:after="0" w:line="176" w:lineRule="exact"/>
        <w:rPr>
          <w:sz w:val="20"/>
          <w:szCs w:val="20"/>
          <w:color w:val="auto"/>
        </w:rPr>
      </w:pPr>
    </w:p>
    <w:p>
      <w:pPr>
        <w:ind w:left="580" w:hanging="286"/>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the corporate objectives that pertain to the determination of executive compensation;</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the compensation and other terms of employment of the Company’s executive officers;</w:t>
      </w:r>
    </w:p>
    <w:p>
      <w:pPr>
        <w:spacing w:after="0" w:line="176"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performance goals and objectives relevant to the compensation of the Company’s executive officers and assessing their performance against these goals and objectives;</w:t>
      </w:r>
    </w:p>
    <w:p>
      <w:pPr>
        <w:spacing w:after="0" w:line="143" w:lineRule="exact"/>
        <w:rPr>
          <w:rFonts w:ascii="Times New Roman" w:cs="Times New Roman" w:eastAsia="Times New Roman" w:hAnsi="Times New Roman"/>
          <w:sz w:val="16"/>
          <w:szCs w:val="16"/>
          <w:color w:val="auto"/>
        </w:rPr>
      </w:pPr>
    </w:p>
    <w:p>
      <w:pPr>
        <w:ind w:left="580" w:hanging="286"/>
        <w:spacing w:after="0" w:line="259"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recommendations to the Board regarding the adoption or amendment of equity and cash incentive plans and approving amendments to such plans to the extent authorized by the Board;</w:t>
      </w:r>
    </w:p>
    <w:p>
      <w:pPr>
        <w:spacing w:after="0" w:line="143"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to the Board regarding the type and amount of compensation to be paid or awarded to the Company’s non-employee board members;</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assessing the independence of compensation consultants, legal counsel and other advisors as required by Section 10C of the Exchange Act;</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administering the Company’s equity incentive plans, to the extent such authority is delegated by the Board;</w:t>
      </w:r>
    </w:p>
    <w:p>
      <w:pPr>
        <w:spacing w:after="0" w:line="176"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the terms of any employment agreements, severance arrangements, change in control protections, indemnification agreements and any other material arrangements for the Company’s executive officers;</w:t>
      </w:r>
    </w:p>
    <w:p>
      <w:pPr>
        <w:spacing w:after="0" w:line="143" w:lineRule="exact"/>
        <w:rPr>
          <w:rFonts w:ascii="Times New Roman" w:cs="Times New Roman" w:eastAsia="Times New Roman" w:hAnsi="Times New Roman"/>
          <w:sz w:val="16"/>
          <w:szCs w:val="16"/>
          <w:color w:val="auto"/>
        </w:rPr>
      </w:pPr>
    </w:p>
    <w:p>
      <w:pPr>
        <w:ind w:left="580" w:right="40" w:hanging="286"/>
        <w:spacing w:after="0" w:line="259"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management the Company’s disclosures under the caption “Compensation Discussion and Analysis” in the Company’s periodic reports or proxy statements to be filed with the SEC, to the extent such caption is included in any such periodic report or proxy statement;</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an annual report on executive compensation that the SEC requires in the Company’s annual proxy statement; and</w:t>
      </w:r>
    </w:p>
    <w:p>
      <w:pPr>
        <w:spacing w:after="0" w:line="176" w:lineRule="exact"/>
        <w:rPr>
          <w:rFonts w:ascii="Times New Roman" w:cs="Times New Roman" w:eastAsia="Times New Roman" w:hAnsi="Times New Roman"/>
          <w:sz w:val="16"/>
          <w:szCs w:val="16"/>
          <w:color w:val="auto"/>
        </w:rPr>
      </w:pPr>
    </w:p>
    <w:p>
      <w:pPr>
        <w:ind w:left="580" w:hanging="286"/>
        <w:spacing w:after="0" w:line="259"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evaluating on an annual basis the performance of the compensation committee and recommending such changes as deemed necessary with the Board.</w:t>
      </w:r>
    </w:p>
    <w:p>
      <w:pPr>
        <w:spacing w:after="0" w:line="143"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Our compensation committee consists of Jeff Saling, and Dr. David Carlson, with Jeff Saling serving as chairman. Our board of directors has determined that each of the members of the compensation committee is a non- employee director, as defined in Rule 16b-3 promulgated under the Exchange Act, and satisfies the independence requirements of the Nasdaq. The Board has adopted a written charter for the Compensation Committee, which is available on our corporate website. The information contained on our website is not incorporated by reference into this prospectus.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Nominating and Corporate Governance Committee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Nominating and Corporate Governance Committee is responsible for, among other things:</w:t>
      </w:r>
    </w:p>
    <w:p>
      <w:pPr>
        <w:spacing w:after="0" w:line="176" w:lineRule="exact"/>
        <w:rPr>
          <w:sz w:val="20"/>
          <w:szCs w:val="20"/>
          <w:color w:val="auto"/>
        </w:rPr>
      </w:pPr>
    </w:p>
    <w:p>
      <w:pPr>
        <w:ind w:left="580" w:hanging="286"/>
        <w:spacing w:after="0"/>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reviewing and making recommendations of candidates to serve on the Board;</w:t>
      </w:r>
    </w:p>
    <w:p>
      <w:pPr>
        <w:spacing w:after="0" w:line="176"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performance of the Board, committees of the Board and individual directors and determining whether continued service on the Board is appropriate;</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nominations by stockholders of candidates for election to the Board;</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current size, composition and organization of the Board and its committees and making recommendations to the Board for approvals;</w:t>
      </w:r>
    </w:p>
    <w:p>
      <w:pPr>
        <w:sectPr>
          <w:pgSz w:w="11900" w:h="16840" w:orient="portrait"/>
          <w:cols w:equalWidth="0" w:num="1">
            <w:col w:w="10580"/>
          </w:cols>
          <w:pgMar w:left="660" w:top="557" w:right="660" w:bottom="206" w:gutter="0" w:footer="0" w:header="0"/>
        </w:sectPr>
      </w:pPr>
    </w:p>
    <w:bookmarkStart w:id="50" w:name="page51"/>
    <w:bookmarkEnd w:id="50"/>
    <w:p>
      <w:pPr>
        <w:ind w:left="580" w:hanging="286"/>
        <w:spacing w:after="0"/>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 set of corporate governance policies and principles and recommending to the Board any changes to such policies and principles;</w:t>
      </w:r>
    </w:p>
    <w:p>
      <w:pPr>
        <w:spacing w:after="0" w:line="188"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issues and developments related to corporate governance and identifying and bringing to the attention of the Board current and emerging corporate governance trends; and</w:t>
      </w:r>
    </w:p>
    <w:p>
      <w:pPr>
        <w:spacing w:after="0" w:line="143"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periodically the nominating and corporate governance committee charter, structure and membership requirements and recommending any proposed changes to the Board, including undertaking an annual review of its own performance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Our Nominating and Corporate governance committee consists of Dr. David Carlson, Janice Bryant Howroyd, and Walter Skowronski, with Dr. David Carlson serving as chairman. Our board of directors has determined that each of the members of nominating and corporate governance committee satisfies the independence requirements of Nasdaq and the SEC. The Board has adopted a written charter for the Nominating and Corporate Governance Committee, which is available on our corporate website. The information contained on our website is not incorporated by reference into this prospectus.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Limitation on Liability and Indemnification of Directors and Officers</w:t>
      </w:r>
    </w:p>
    <w:p>
      <w:pPr>
        <w:spacing w:after="0" w:line="17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Our Amended and Restated Certificate of Incorporation limits the Company’s directors’ liability to the fullest extent permitted under the DGCL. The DGCL allows for directors of a corporation to not be personally liable for monetary damages for breach of their fiduciary duties as directors, except for liability:</w:t>
      </w:r>
    </w:p>
    <w:p>
      <w:pPr>
        <w:spacing w:after="0" w:line="143" w:lineRule="exact"/>
        <w:rPr>
          <w:sz w:val="20"/>
          <w:szCs w:val="20"/>
          <w:color w:val="auto"/>
        </w:rPr>
      </w:pPr>
    </w:p>
    <w:p>
      <w:pPr>
        <w:ind w:left="580" w:hanging="286"/>
        <w:spacing w:after="0"/>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transaction from which the director derives an improper personal benefit;</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act or omission not in good faith or that involves intentional misconduct or a knowing violation of law;</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unlawful payment of dividends or redemption of shares; or</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breach of a director’s duty of loyalty to the corporation or its stockholders.</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If the DGCL is amended to authorize corporate action further eliminating or limiting the personal liability of directors, then the liability of our directors will be eliminated or limited to the fullest extent permitted by the DGCL, as so amended. The DGCL and our Bylaws provide that the Company will, in certain situations, indemnify the Company’s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57"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We maintain a directors’ and officers’ insurance policy pursuant to which our directors and officers are insured against liability for actions taken in their capacities as directors and officers. We believe these provisions in our Amended and Restated Certificate of Incorporation and Bylaws and the indemnification agreements are necessary to attract and retain qualified persons as directors and officers.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Code of Business Conduct and Business Ethics for Employees, Executive Officers, and Directors</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Company has adopted a Code of Conduct and Business Ethics applicable to its directors, executive officers and employees, including its principal executive officer, principal financial officer, principal accounting officer or controller, or persons performing similar functions that complies with the rules and regulations of the Nasdaq. The Code of Conduct and Business Ethics codifies the business and ethical principles that govern all aspects of the Company’s business. A copy of the Code of Conduct and Business Ethics has been filed with the SEC and is provided on our website, https://daic.ai/. The Company will disclose on its website all disclosures that are required by law or the Nasdaq listing standards concerning any amendments to or waivers of certain provisions of its Code of Conduct and Business Ethics. The information on any of our websites is deemed not to be incorporated in this prospectus.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This discussion may contain forward-looking statements that are based on our current plans, considerations, expectations and determinations regarding future compensation programs. Actual compensation programs that we adopt may differ materially from the prior programs summarized or referred to in this discussion. All descriptions and share counts in this section are provided on a pre-Business Combination basis.</w:t>
      </w:r>
    </w:p>
    <w:p>
      <w:pPr>
        <w:spacing w:after="0" w:line="152"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As an emerging growth company, we have opted to comply with the executive compensation rules applicable to “smaller reporting companies,” as such term is defined under the Securities Act of 1933, as amended, which require compensation disclosure for our principal executive officer and our next two most highly compensated executive officers (other than our principal executive officer (collectively, the “Named Executive Officers” or “NEOs”). Also, as an emerging growth company, we are not required to include, and have not included, a Compensation Discussion and Analysis (CD&amp;A) and certain of the other compensation tables required by Item 402 of Regulation S-K in this prospectus.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executives are our Named Executive Officers:</w:t>
      </w:r>
    </w:p>
    <w:p>
      <w:pPr>
        <w:spacing w:after="0" w:line="176" w:lineRule="exact"/>
        <w:rPr>
          <w:sz w:val="20"/>
          <w:szCs w:val="20"/>
          <w:color w:val="auto"/>
        </w:rPr>
      </w:pPr>
    </w:p>
    <w:p>
      <w:pPr>
        <w:ind w:left="580" w:hanging="286"/>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Ed Nabrotzky, Chief Executive Officer;</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Charles Maddox, Chief Financial Officer/Chief Operations Officer; and</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Vijayan Nambiar, Chief Technology Officer.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information regarding the compensation of SEE ID’s named executive officers for the years ended December 31, 2024 and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Nonequity</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Option</w:t>
            </w:r>
          </w:p>
        </w:tc>
        <w:tc>
          <w:tcPr>
            <w:tcW w:w="180" w:type="dxa"/>
            <w:vAlign w:val="bottom"/>
          </w:tcPr>
          <w:p>
            <w:pPr>
              <w:spacing w:after="0"/>
              <w:rPr>
                <w:sz w:val="15"/>
                <w:szCs w:val="15"/>
                <w:color w:val="auto"/>
              </w:rPr>
            </w:pPr>
          </w:p>
        </w:tc>
        <w:tc>
          <w:tcPr>
            <w:tcW w:w="11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Incentive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Compensation</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9"/>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98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Year</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Salary ($)</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 ($)</w:t>
            </w:r>
          </w:p>
        </w:tc>
        <w:tc>
          <w:tcPr>
            <w:tcW w:w="1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180" w:type="dxa"/>
            <w:vAlign w:val="bottom"/>
          </w:tcPr>
          <w:p>
            <w:pPr>
              <w:spacing w:after="0"/>
              <w:rPr>
                <w:sz w:val="17"/>
                <w:szCs w:val="17"/>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w w:val="97"/>
              </w:rPr>
              <w:t>Bonus ($)</w:t>
            </w:r>
          </w:p>
        </w:tc>
        <w:tc>
          <w:tcPr>
            <w:tcW w:w="1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Total ($)</w:t>
            </w:r>
          </w:p>
        </w:tc>
      </w:tr>
      <w:tr>
        <w:trPr>
          <w:trHeight w:val="180"/>
        </w:trPr>
        <w:tc>
          <w:tcPr>
            <w:tcW w:w="192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Ed Nabrotzky</w:t>
            </w: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2024</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230,000</w:t>
            </w:r>
          </w:p>
        </w:tc>
        <w:tc>
          <w:tcPr>
            <w:tcW w:w="2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ind w:left="8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ind w:left="98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color w:val="auto"/>
                <w:w w:val="88"/>
              </w:rPr>
              <w:t>5,821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235,821</w:t>
            </w:r>
          </w:p>
        </w:tc>
        <w:tc>
          <w:tcPr>
            <w:tcW w:w="80" w:type="dxa"/>
            <w:vAlign w:val="bottom"/>
            <w:tcBorders>
              <w:top w:val="single" w:sz="8" w:color="CCEEFF"/>
            </w:tcBorders>
            <w:shd w:val="clear" w:color="auto" w:fill="CCEEFF"/>
          </w:tcPr>
          <w:p>
            <w:pPr>
              <w:spacing w:after="0"/>
              <w:rPr>
                <w:sz w:val="15"/>
                <w:szCs w:val="15"/>
                <w:color w:val="auto"/>
              </w:rPr>
            </w:pPr>
          </w:p>
        </w:tc>
      </w:tr>
      <w:tr>
        <w:trPr>
          <w:trHeight w:val="180"/>
        </w:trPr>
        <w:tc>
          <w:tcPr>
            <w:tcW w:w="192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2023</w:t>
            </w:r>
          </w:p>
        </w:tc>
        <w:tc>
          <w:tcPr>
            <w:tcW w:w="3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230,000</w:t>
            </w:r>
          </w:p>
        </w:tc>
        <w:tc>
          <w:tcPr>
            <w:tcW w:w="1020" w:type="dxa"/>
            <w:vAlign w:val="bottom"/>
            <w:shd w:val="clear" w:color="auto" w:fill="CCEEFF"/>
          </w:tcPr>
          <w:p>
            <w:pPr>
              <w:ind w:left="8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ind w:left="98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color w:val="auto"/>
              </w:rPr>
              <w:t>5,821</w:t>
            </w:r>
          </w:p>
        </w:tc>
        <w:tc>
          <w:tcPr>
            <w:tcW w:w="26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235,821</w:t>
            </w:r>
          </w:p>
        </w:tc>
      </w:tr>
    </w:tbl>
    <w:p>
      <w:pPr>
        <w:sectPr>
          <w:pgSz w:w="11900" w:h="16840" w:orient="portrait"/>
          <w:cols w:equalWidth="0" w:num="1">
            <w:col w:w="10580"/>
          </w:cols>
          <w:pgMar w:left="660" w:top="557" w:right="660" w:bottom="161"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Charles Maddox</w:t>
            </w:r>
          </w:p>
        </w:tc>
        <w:tc>
          <w:tcPr>
            <w:tcW w:w="10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2024</w:t>
            </w:r>
          </w:p>
        </w:tc>
        <w:tc>
          <w:tcPr>
            <w:tcW w:w="5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230,000</w:t>
            </w:r>
          </w:p>
        </w:tc>
        <w:tc>
          <w:tcPr>
            <w:tcW w:w="420" w:type="dxa"/>
            <w:vAlign w:val="bottom"/>
          </w:tcPr>
          <w:p>
            <w:pPr>
              <w:spacing w:after="0"/>
              <w:rPr>
                <w:sz w:val="17"/>
                <w:szCs w:val="17"/>
                <w:color w:val="auto"/>
              </w:rPr>
            </w:pPr>
          </w:p>
        </w:tc>
        <w:tc>
          <w:tcPr>
            <w:tcW w:w="12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230,000</w:t>
            </w:r>
          </w:p>
        </w:tc>
      </w:tr>
      <w:tr>
        <w:trPr>
          <w:trHeight w:val="311"/>
        </w:trPr>
        <w:tc>
          <w:tcPr>
            <w:tcW w:w="192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Chief Financial</w:t>
            </w:r>
          </w:p>
        </w:tc>
        <w:tc>
          <w:tcPr>
            <w:tcW w:w="10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2023</w:t>
            </w:r>
          </w:p>
        </w:tc>
        <w:tc>
          <w:tcPr>
            <w:tcW w:w="5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230,000</w:t>
            </w:r>
          </w:p>
        </w:tc>
        <w:tc>
          <w:tcPr>
            <w:tcW w:w="420" w:type="dxa"/>
            <w:vAlign w:val="bottom"/>
          </w:tcPr>
          <w:p>
            <w:pPr>
              <w:spacing w:after="0"/>
              <w:rPr>
                <w:sz w:val="24"/>
                <w:szCs w:val="24"/>
                <w:color w:val="auto"/>
              </w:rPr>
            </w:pPr>
          </w:p>
        </w:tc>
        <w:tc>
          <w:tcPr>
            <w:tcW w:w="12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230,000</w:t>
            </w:r>
          </w:p>
        </w:tc>
      </w:tr>
      <w:tr>
        <w:trPr>
          <w:trHeight w:val="180"/>
        </w:trPr>
        <w:tc>
          <w:tcPr>
            <w:tcW w:w="19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i w:val="1"/>
                <w:iCs w:val="1"/>
                <w:color w:val="auto"/>
              </w:rPr>
              <w:t>Officer/Chief Operations</w:t>
            </w: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5"/>
        </w:trPr>
        <w:tc>
          <w:tcPr>
            <w:tcW w:w="192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0"/>
        </w:trPr>
        <w:tc>
          <w:tcPr>
            <w:tcW w:w="19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Vijayan Nambiar</w:t>
            </w:r>
          </w:p>
        </w:tc>
        <w:tc>
          <w:tcPr>
            <w:tcW w:w="1020" w:type="dxa"/>
            <w:vAlign w:val="bottom"/>
            <w:shd w:val="clear" w:color="auto" w:fill="CCEEFF"/>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2024</w:t>
            </w:r>
          </w:p>
        </w:tc>
        <w:tc>
          <w:tcPr>
            <w:tcW w:w="520" w:type="dxa"/>
            <w:vAlign w:val="bottom"/>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230,000</w:t>
            </w: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ind w:left="5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ind w:left="5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ind w:left="6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230,000</w:t>
            </w:r>
          </w:p>
        </w:tc>
      </w:tr>
      <w:tr>
        <w:trPr>
          <w:trHeight w:val="180"/>
        </w:trPr>
        <w:tc>
          <w:tcPr>
            <w:tcW w:w="192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i w:val="1"/>
                <w:iCs w:val="1"/>
                <w:color w:val="auto"/>
              </w:rPr>
              <w:t>Chief Technology Officer</w:t>
            </w:r>
          </w:p>
        </w:tc>
        <w:tc>
          <w:tcPr>
            <w:tcW w:w="1020" w:type="dxa"/>
            <w:vAlign w:val="bottom"/>
            <w:shd w:val="clear" w:color="auto" w:fill="CCEEFF"/>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2023</w:t>
            </w:r>
          </w:p>
        </w:tc>
        <w:tc>
          <w:tcPr>
            <w:tcW w:w="520" w:type="dxa"/>
            <w:vAlign w:val="bottom"/>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230,000</w:t>
            </w:r>
          </w:p>
        </w:tc>
        <w:tc>
          <w:tcPr>
            <w:tcW w:w="420" w:type="dxa"/>
            <w:vAlign w:val="bottom"/>
            <w:shd w:val="clear" w:color="auto" w:fill="CCEEFF"/>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18,585</w:t>
            </w:r>
          </w:p>
        </w:tc>
        <w:tc>
          <w:tcPr>
            <w:tcW w:w="1260" w:type="dxa"/>
            <w:vAlign w:val="bottom"/>
            <w:shd w:val="clear" w:color="auto" w:fill="CCEEFF"/>
          </w:tcPr>
          <w:p>
            <w:pPr>
              <w:ind w:left="5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ind w:left="5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ind w:left="6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248,585</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Year-End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CID Holdco had not issued any equity awards as of December 31, 2024, and 2023.</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Employment Agreements</w:t>
      </w:r>
      <w:r>
        <w:rPr>
          <w:rFonts w:ascii="Arial" w:cs="Arial" w:eastAsia="Arial" w:hAnsi="Arial"/>
          <w:sz w:val="16"/>
          <w:szCs w:val="16"/>
          <w:b w:val="1"/>
          <w:bCs w:val="1"/>
          <w:color w:val="auto"/>
        </w:rPr>
        <w:t xml:space="preserve"> </w:t>
      </w:r>
    </w:p>
    <w:p>
      <w:pPr>
        <w:spacing w:after="0" w:line="19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Set forth below is a description of the employment agreements of the named executive officers as of December 31, 2024. Each employment agreement of the named executive officers does not have a specific term and provides that the applicable named executive officer is an at-will employee.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Agreement between Edmund Nabrotzky and SEE ID</w:t>
      </w:r>
    </w:p>
    <w:p>
      <w:pPr>
        <w:spacing w:after="0" w:line="17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Mr. Nabrotzky is employed by SEE ID for the position of Chief Executive Officer (CEO), and his duties are those normally associated with his position and such duties as are assigned to him from time to time, subject to the oversight and direction of the Board of Directors of SEE ID or its designee. Mr. Nabrotzky’s annual base salary as of December 31, 2024 was $230,000 and he is entitled to receive a cash bonus from SEE ID as incentive for key performance milestones, to be paid in amounts and at such times as are reasonably determined by the Board of Directors of SEE ID.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Agreement between Charles Maddox and SEE ID</w:t>
      </w:r>
    </w:p>
    <w:p>
      <w:pPr>
        <w:spacing w:after="0" w:line="17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Mr. Maddox is employed by SEE ID for the positions of Chief Operating Officer and Chief Financial Officer, and his duties are those normally associated with his position and such duties as are assigned to him from time to time, subject to the oversight and direction of the CEO or his designee. Mr. Maddox’s annual base salary as of December 31, 2024 was $ 230,000 and he is eligible to receive an annual cash bonus from SEE ID’s net income, to be paid in amounts and at such times as are reasonably determined by the Board of Directors of SEE ID.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Agreement between Vijayan Nambiar and SEE ID</w:t>
      </w:r>
    </w:p>
    <w:p>
      <w:pPr>
        <w:spacing w:after="0" w:line="178"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Mr. Nambiar is employed by SEE ID for the position of Chief Technology Officer, and his duties are those normally associated with his position and such duties as are assigned to him from time to time, subject to the oversight and direction of the CEO or his designee. Mr. Nambiar’s annual base salary as of December 31, 2024 was $230,000.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 of Control Payments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connection with the closing of the Business Combination, the following Change of Control Payments were made to the following executive officers of SEE ID:</w:t>
      </w:r>
    </w:p>
    <w:p>
      <w:pPr>
        <w:spacing w:after="0" w:line="176" w:lineRule="exact"/>
        <w:rPr>
          <w:sz w:val="20"/>
          <w:szCs w:val="20"/>
          <w:color w:val="auto"/>
        </w:rPr>
      </w:pPr>
    </w:p>
    <w:p>
      <w:pPr>
        <w:ind w:left="580" w:hanging="286"/>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Edmund Nabrotzky (Chief Executive Officer): $320,000</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Charles Maddox (Chief Financial Officer/Chief Operations Officer): $250,000</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Vijayan Nambiar (Chief Technology Officer): $200,000</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Bob Reny (Chief Revenue Officer): $60,000</w:t>
      </w:r>
    </w:p>
    <w:p>
      <w:pPr>
        <w:spacing w:after="0" w:line="172"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Certain Change of Control Payments could constitute “parachute payments” under Section 280G of the Internal Revenue Code of 1986, as amended (the “</w:t>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xml:space="preserve">”). Prior to the Closing, the SEE ID intends to (i) solicit from each person who has a right to Change of Control Payments that would be deemed to constitute “parachute payments” a waiver of such person’s rights to some of such payments (a “ </w:t>
      </w:r>
      <w:r>
        <w:rPr>
          <w:rFonts w:ascii="Times New Roman" w:cs="Times New Roman" w:eastAsia="Times New Roman" w:hAnsi="Times New Roman"/>
          <w:sz w:val="16"/>
          <w:szCs w:val="16"/>
          <w:b w:val="1"/>
          <w:bCs w:val="1"/>
          <w:i w:val="1"/>
          <w:iCs w:val="1"/>
          <w:color w:val="auto"/>
        </w:rPr>
        <w:t>Parachute Payment Waiver</w:t>
      </w:r>
      <w:r>
        <w:rPr>
          <w:rFonts w:ascii="Times New Roman" w:cs="Times New Roman" w:eastAsia="Times New Roman" w:hAnsi="Times New Roman"/>
          <w:sz w:val="16"/>
          <w:szCs w:val="16"/>
          <w:color w:val="auto"/>
        </w:rPr>
        <w:t>”) so that all remaining payments applicable to such person shall not be deemed “excess parachute payments” that would not be deductible under Section 280G of the Code (“</w:t>
      </w:r>
      <w:r>
        <w:rPr>
          <w:rFonts w:ascii="Times New Roman" w:cs="Times New Roman" w:eastAsia="Times New Roman" w:hAnsi="Times New Roman"/>
          <w:sz w:val="16"/>
          <w:szCs w:val="16"/>
          <w:b w:val="1"/>
          <w:bCs w:val="1"/>
          <w:i w:val="1"/>
          <w:iCs w:val="1"/>
          <w:color w:val="auto"/>
        </w:rPr>
        <w:t>Waived 280G Payments</w:t>
      </w:r>
      <w:r>
        <w:rPr>
          <w:rFonts w:ascii="Times New Roman" w:cs="Times New Roman" w:eastAsia="Times New Roman" w:hAnsi="Times New Roman"/>
          <w:sz w:val="16"/>
          <w:szCs w:val="16"/>
          <w:color w:val="auto"/>
        </w:rPr>
        <w:t>”) and (ii) submit to the SEE ID stockholders for approval all Waived 280G Payments that may be received by a person who has delivered a Parachute Payment Waiver in accordance with Section 280G(b)(5)(B) of the Code. If the requisite approval is not obtained, the applicable Waived 280G Payment will not be made to the extent that it would cause any amount to constitute a “parachute payment.”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may adopt other change of control bonus plans in the future.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Incentive Plan</w:t>
      </w:r>
    </w:p>
    <w:p>
      <w:pPr>
        <w:spacing w:after="0" w:line="17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A Sales Incentive Plan will be adopted to incentivize the business development team’s achievement of certain performance targets, and such plan will be subject to change from time to time. Certain employees may receive cash commissions and/or incentive stock options under the sales incentive plan.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Structure</w:t>
      </w:r>
    </w:p>
    <w:p>
      <w:pPr>
        <w:spacing w:after="0" w:line="17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Company intends to engage a third-party compensation consultant to identify a peer group of similarly situated companies and assist the Company with designing an appropriate compensation structure, targeting a structure and compensation metrics that are within the median range for peer group companies.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Limitation of Liability and Indemnification</w:t>
      </w:r>
    </w:p>
    <w:p>
      <w:pPr>
        <w:spacing w:after="0" w:line="1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amended and restated certificate of incorporation of the Combined Company and amended and restated bylaws, each to be effective upon the Closing, will provide that we will indemnify our directors and officers, and may indemnify our employees and other agents, to the fullest extent permitted by Delaware law. Delaware law prohibits the amended and restated certificate of incorporation of the Combined Company from limiting the liability of our directors for the following:</w:t>
      </w:r>
    </w:p>
    <w:p>
      <w:pPr>
        <w:sectPr>
          <w:pgSz w:w="11900" w:h="16840" w:orient="portrait"/>
          <w:cols w:equalWidth="0" w:num="1">
            <w:col w:w="10580"/>
          </w:cols>
          <w:pgMar w:left="660" w:top="557" w:right="660" w:bottom="206" w:gutter="0" w:footer="0" w:header="0"/>
        </w:sectPr>
      </w:pPr>
    </w:p>
    <w:bookmarkStart w:id="52" w:name="page53"/>
    <w:bookmarkEnd w:id="52"/>
    <w:p>
      <w:pPr>
        <w:ind w:left="580" w:hanging="286"/>
        <w:spacing w:after="0"/>
        <w:tabs>
          <w:tab w:leader="none" w:pos="5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breach of the director’s duty of loyalty to us or to our stockholders;</w:t>
      </w:r>
    </w:p>
    <w:p>
      <w:pPr>
        <w:spacing w:after="0" w:line="21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acts or omissions not in good faith or that involve intentional misconduct or a knowing violation of law;</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unlawful payment of dividends or unlawful stock repurchases or redemptions; and</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transaction from which the director derived an improper personal benefit.</w:t>
      </w:r>
    </w:p>
    <w:p>
      <w:pPr>
        <w:spacing w:after="0" w:line="176"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If Delaware law is amended to authorize corporate action further eliminating or limiting the personal liability of a director, then the liability of our directors will be eliminated or limited to the fullest extent permitted by Delaware law, as so amended. The amended and restated certificate of incorporation of the Combined Company does not eliminate a director’s duty of care and, in appropriate circumstances, equitable remedies, such as injunctive or other forms of non-monetary relief, remain available under Delaware law.</w:t>
      </w:r>
    </w:p>
    <w:p>
      <w:pPr>
        <w:spacing w:after="0" w:line="155"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43"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6"/>
          <w:szCs w:val="16"/>
          <w:color w:val="auto"/>
        </w:rPr>
        <w:t>In addition to the indemnification required in the amended and restated certificate of incorporation of the Combined Company and amended and restated bylaws, we intend to enter into an indemnification agreement with each member of our board of directors and each of our officers prior to the Closing.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58"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6"/>
          <w:szCs w:val="16"/>
          <w:color w:val="auto"/>
        </w:rPr>
        <w:t>The limitation of liability and indemnification provisions in the amended and restated certificate of incorporation of the Combined Company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178" w:lineRule="exact"/>
        <w:rPr>
          <w:sz w:val="20"/>
          <w:szCs w:val="20"/>
          <w:color w:val="auto"/>
        </w:rPr>
      </w:pPr>
    </w:p>
    <w:p>
      <w:pPr>
        <w:jc w:val="both"/>
        <w:ind w:right="40"/>
        <w:spacing w:after="0" w:line="299" w:lineRule="auto"/>
        <w:rPr>
          <w:sz w:val="20"/>
          <w:szCs w:val="20"/>
          <w:color w:val="auto"/>
        </w:rPr>
      </w:pPr>
      <w:r>
        <w:rPr>
          <w:rFonts w:ascii="Times New Roman" w:cs="Times New Roman" w:eastAsia="Times New Roman" w:hAnsi="Times New Roman"/>
          <w:sz w:val="14"/>
          <w:szCs w:val="14"/>
          <w:color w:val="auto"/>
        </w:rPr>
        <w:t>The Company is an “emerging growth company,” as defined under the JOBS Act. As an emerging growth company, we are exempt from certain disclosure requirements related to executive compensation, including the requirement to hold advisory votes on the executive pay of our NEOs, as well as the requirement to disclose the ratio of the CEO’s annual total compensation to the median annual total compensation of our employee who is paid at the median of our employee group.</w:t>
      </w: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780" w:firstLine="2755"/>
        <w:spacing w:after="0" w:line="439" w:lineRule="auto"/>
        <w:rPr>
          <w:sz w:val="20"/>
          <w:szCs w:val="20"/>
          <w:color w:val="auto"/>
        </w:rPr>
      </w:pPr>
      <w:r>
        <w:rPr>
          <w:rFonts w:ascii="Times New Roman" w:cs="Times New Roman" w:eastAsia="Times New Roman" w:hAnsi="Times New Roman"/>
          <w:sz w:val="16"/>
          <w:szCs w:val="16"/>
          <w:b w:val="1"/>
          <w:bCs w:val="1"/>
          <w:color w:val="auto"/>
        </w:rPr>
        <w:t>CERTAIN RELATIONSHIPS AND RELATED PARTY TRANSACTIONS Registration Rights and Lock Up Agreement</w:t>
      </w:r>
    </w:p>
    <w:p>
      <w:pPr>
        <w:spacing w:after="0" w:line="1"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At the Closing, the Company entered into that certain Registration Rights and Lock-Up Agreement with the Holders pursuant to which, (1) subject to certain exceptions, the Holders may not transfer or make any public announcement of any intention to effect a transfer of any of the equity interests of securities of the Company beneficially owned by the Holder during the period ending 180 days after the Closing Date; and (2) the Holders are entitled to certain “shelf” and “piggyback” registration rights. The Registration Rights and Lock-Up Agreement also provides that the Company will pay certain expenses relating to such registrations and indemnify the stockholder signatories thereto against (or make contributions in respect of) certain liabilities that may arise under the Securities Act.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Warrant Assumption Agreement</w:t>
      </w:r>
    </w:p>
    <w:p>
      <w:pPr>
        <w:spacing w:after="0" w:line="15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 in and to,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Party Policy</w:t>
      </w:r>
    </w:p>
    <w:p>
      <w:pPr>
        <w:spacing w:after="0" w:line="154"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4"/>
          <w:szCs w:val="14"/>
          <w:color w:val="auto"/>
        </w:rPr>
        <w:t>The audit committee of our board of directors has adopted a policy setting forth the policies and procedures for its review and approval or ratification of “related party transactions.” A “related party transaction” is any consummated or proposed transaction or series of transactions: (i) in which the company was or is to be a participant;</w:t>
      </w:r>
    </w:p>
    <w:p>
      <w:pPr>
        <w:spacing w:after="0" w:line="1" w:lineRule="exact"/>
        <w:rPr>
          <w:sz w:val="20"/>
          <w:szCs w:val="20"/>
          <w:color w:val="auto"/>
        </w:rPr>
      </w:pPr>
    </w:p>
    <w:p>
      <w:pPr>
        <w:jc w:val="both"/>
        <w:ind w:right="20" w:firstLine="6"/>
        <w:spacing w:after="0" w:line="235" w:lineRule="auto"/>
        <w:tabs>
          <w:tab w:leader="none" w:pos="23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Related Party Transactions</w:t>
      </w:r>
    </w:p>
    <w:p>
      <w:pPr>
        <w:spacing w:after="0" w:line="15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sectPr>
          <w:pgSz w:w="11900" w:h="16840" w:orient="portrait"/>
          <w:cols w:equalWidth="0" w:num="1">
            <w:col w:w="10600"/>
          </w:cols>
          <w:pgMar w:left="660" w:top="557" w:right="640" w:bottom="0" w:gutter="0" w:footer="0" w:header="0"/>
        </w:sectPr>
      </w:pPr>
    </w:p>
    <w:bookmarkStart w:id="53" w:name="page54"/>
    <w:bookmarkEnd w:id="53"/>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In August 2024, the Company entered into a $1,500,000 purchase order with Pope Technologies LLC for certain products, hardware, installation, programming, subscription, and training, of which $750,000 has been received by the Company and is reported as deferred revenue as of June 30, 2025 and December 31, 2024 in the accompanying condensed consolidated balance sheets. Pope Technologies LLC is owned by a director of the Company.</w:t>
      </w:r>
    </w:p>
    <w:p>
      <w:pPr>
        <w:spacing w:after="0" w:line="12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$4,254 and $4,702 for the three months ended June 30, 2025 and 2024, respectively, and $8,591 and $8,533 for the six months ended June 30, 2025 and 2024, respectively. As of June 30, 2025 and December 31, 2024, amounts outstanding under this agreement were $4,254 and $1,164, respectively, and are included in “Accounts receivable” on the accompanying condensed consolidated balance sheets.</w:t>
      </w:r>
    </w:p>
    <w:p>
      <w:pPr>
        <w:spacing w:after="0" w:line="133"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$3,840 and $7,680 for the three and six months ended June 30, 2025, respectively.</w:t>
      </w:r>
    </w:p>
    <w:p>
      <w:pPr>
        <w:spacing w:after="0" w:line="12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$2,334 and $2,334 for the three and six months ended June 30, 2025, respectively. For the three and six months ended June 30, 2024, the rent expense was $1,167 and $4,668, respectively.</w:t>
      </w:r>
    </w:p>
    <w:p>
      <w:pPr>
        <w:spacing w:after="0" w:line="1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Beginning on March 1, 2025, the Company began subleasing an office space in Campo Alegre Manati, Puerto Rico from Enzymatic Holdings Corp. The term of this sublease was month-to-month lease, and the rent was $ 12,333 per month. This lease ended on May 31, 2025. The Company renewed the lease on June 1, 2025 for a term of five years. The rent expense for the short term lease expense was $24,666 and $36,999 for the three and six months ended June 30, 2025, respectively.</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information regarding the beneficial ownership of shares of Common Stock of the Company as of September 18, 2025 by:</w:t>
      </w:r>
    </w:p>
    <w:p>
      <w:pPr>
        <w:spacing w:after="0" w:line="176" w:lineRule="exact"/>
        <w:rPr>
          <w:sz w:val="20"/>
          <w:szCs w:val="20"/>
          <w:color w:val="auto"/>
        </w:rPr>
      </w:pPr>
    </w:p>
    <w:p>
      <w:pPr>
        <w:ind w:left="580" w:hanging="286"/>
        <w:spacing w:after="0"/>
        <w:tabs>
          <w:tab w:leader="none" w:pos="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known by the Company to be the beneficial owner of more than 5% of the Common Stock of the Company;</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Company’s executive officers and directors; and</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executive officers and directors of the Company as a group</w:t>
      </w:r>
    </w:p>
    <w:p>
      <w:pPr>
        <w:spacing w:after="0" w:line="17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4"/>
          <w:szCs w:val="14"/>
          <w:color w:val="auto"/>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w:t>
      </w:r>
    </w:p>
    <w:p>
      <w:pPr>
        <w:spacing w:after="0" w:line="1" w:lineRule="exact"/>
        <w:rPr>
          <w:sz w:val="20"/>
          <w:szCs w:val="20"/>
          <w:color w:val="auto"/>
        </w:rPr>
      </w:pPr>
    </w:p>
    <w:p>
      <w:pPr>
        <w:jc w:val="both"/>
        <w:ind w:firstLine="6"/>
        <w:spacing w:after="0" w:line="235" w:lineRule="auto"/>
        <w:tabs>
          <w:tab w:leader="none" w:pos="218"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shares of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w:t>
      </w:r>
    </w:p>
    <w:p>
      <w:pPr>
        <w:spacing w:after="0" w:line="16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Unless otherwise indicated, we believe that all persons named in the table below have sole voting and investment power with respect to all shares of the Company’s Common Stock beneficially owned by them.</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The beneficial ownership of Common Stock is based on 27,636,939 shares of our Common Stock issued and outstanding.</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80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Name of Beneficial Owners</w:t>
            </w:r>
            <w:r>
              <w:rPr>
                <w:rFonts w:ascii="Times New Roman" w:cs="Times New Roman" w:eastAsia="Times New Roman" w:hAnsi="Times New Roman"/>
                <w:sz w:val="26"/>
                <w:szCs w:val="26"/>
                <w:b w:val="1"/>
                <w:bCs w:val="1"/>
                <w:i w:val="1"/>
                <w:iCs w:val="1"/>
                <w:color w:val="auto"/>
                <w:vertAlign w:val="superscript"/>
              </w:rPr>
              <w:t>(1)</w:t>
            </w:r>
          </w:p>
        </w:tc>
        <w:tc>
          <w:tcPr>
            <w:tcW w:w="10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40" w:type="dxa"/>
            <w:vAlign w:val="bottom"/>
            <w:vMerge w:val="restart"/>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04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Directors and Executive Officers</w:t>
            </w: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Edmund Nabrotzky</w:t>
            </w:r>
          </w:p>
        </w:tc>
        <w:tc>
          <w:tcPr>
            <w:tcW w:w="11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3,571,614</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180"/>
        </w:trPr>
        <w:tc>
          <w:tcPr>
            <w:tcW w:w="8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Charles Maddox</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2,052,788</w:t>
            </w:r>
          </w:p>
        </w:tc>
        <w:tc>
          <w:tcPr>
            <w:tcW w:w="20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Vijayan Nambiar</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0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Sheldon Paul</w:t>
            </w:r>
            <w:r>
              <w:rPr>
                <w:rFonts w:ascii="Times New Roman" w:cs="Times New Roman" w:eastAsia="Times New Roman" w:hAnsi="Times New Roman"/>
                <w:sz w:val="25"/>
                <w:szCs w:val="25"/>
                <w:color w:val="auto"/>
                <w:vertAlign w:val="superscript"/>
              </w:rPr>
              <w:t>(2)</w:t>
            </w: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709,717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 xml:space="preserve">Janice Bryant Howroyd </w:t>
            </w:r>
            <w:r>
              <w:rPr>
                <w:rFonts w:ascii="Times New Roman" w:cs="Times New Roman" w:eastAsia="Times New Roman" w:hAnsi="Times New Roman"/>
                <w:sz w:val="25"/>
                <w:szCs w:val="25"/>
                <w:color w:val="auto"/>
                <w:vertAlign w:val="superscript"/>
              </w:rPr>
              <w:t>(3)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79,689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Walter Skowronski</w:t>
            </w:r>
          </w:p>
        </w:tc>
        <w:tc>
          <w:tcPr>
            <w:tcW w:w="100" w:type="dxa"/>
            <w:vAlign w:val="bottom"/>
          </w:tcPr>
          <w:p>
            <w:pPr>
              <w:spacing w:after="0"/>
              <w:rPr>
                <w:sz w:val="15"/>
                <w:szCs w:val="15"/>
                <w:color w:val="auto"/>
              </w:rPr>
            </w:pPr>
          </w:p>
        </w:tc>
        <w:tc>
          <w:tcPr>
            <w:tcW w:w="12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David Carlson</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Jeff Saling</w:t>
            </w:r>
          </w:p>
        </w:tc>
        <w:tc>
          <w:tcPr>
            <w:tcW w:w="100" w:type="dxa"/>
            <w:vAlign w:val="bottom"/>
          </w:tcPr>
          <w:p>
            <w:pPr>
              <w:spacing w:after="0"/>
              <w:rPr>
                <w:sz w:val="15"/>
                <w:szCs w:val="15"/>
                <w:color w:val="auto"/>
              </w:rPr>
            </w:pPr>
          </w:p>
        </w:tc>
        <w:tc>
          <w:tcPr>
            <w:tcW w:w="12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 xml:space="preserve">Phyllis Newhouse </w:t>
            </w:r>
            <w:r>
              <w:rPr>
                <w:rFonts w:ascii="Times New Roman" w:cs="Times New Roman" w:eastAsia="Times New Roman" w:hAnsi="Times New Roman"/>
                <w:sz w:val="25"/>
                <w:szCs w:val="25"/>
                <w:color w:val="auto"/>
                <w:vertAlign w:val="superscript"/>
              </w:rPr>
              <w:t>(4)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3,377,730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180"/>
        </w:trPr>
        <w:tc>
          <w:tcPr>
            <w:tcW w:w="8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All directors and executive officers as a group</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9,711,849</w:t>
            </w:r>
          </w:p>
        </w:tc>
        <w:tc>
          <w:tcPr>
            <w:tcW w:w="20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Five Percent Holders</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William Tremaine Renny</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4,967,391</w:t>
            </w:r>
          </w:p>
        </w:tc>
        <w:tc>
          <w:tcPr>
            <w:tcW w:w="20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Jeffery Andersen</w:t>
            </w:r>
          </w:p>
        </w:tc>
        <w:tc>
          <w:tcPr>
            <w:tcW w:w="11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1,524,924</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348"/>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ShoulderUp 2021 Trust </w:t>
            </w:r>
            <w:r>
              <w:rPr>
                <w:rFonts w:ascii="Times New Roman" w:cs="Times New Roman" w:eastAsia="Times New Roman" w:hAnsi="Times New Roman"/>
                <w:sz w:val="26"/>
                <w:szCs w:val="26"/>
                <w:color w:val="auto"/>
                <w:vertAlign w:val="superscript"/>
              </w:rPr>
              <w:t>(5)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2,354,416</w:t>
            </w:r>
          </w:p>
        </w:tc>
        <w:tc>
          <w:tcPr>
            <w:tcW w:w="2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bl>
    <w:p>
      <w:pPr>
        <w:spacing w:after="0" w:line="3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color w:val="auto"/>
        </w:rPr>
        <w:t>*</w:t>
        <w:tab/>
        <w:t>Less than one percent.</w:t>
      </w:r>
    </w:p>
    <w:p>
      <w:pPr>
        <w:spacing w:after="0" w:line="176" w:lineRule="exact"/>
        <w:rPr>
          <w:sz w:val="20"/>
          <w:szCs w:val="20"/>
          <w:color w:val="auto"/>
        </w:rPr>
      </w:pPr>
    </w:p>
    <w:p>
      <w:pPr>
        <w:ind w:left="300" w:hanging="294"/>
        <w:spacing w:after="0"/>
        <w:tabs>
          <w:tab w:leader="none" w:pos="3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business address of each of those listed in the table above is 5661 S Cameron St, Suite 100, Las Vegas, NV 89118.</w:t>
      </w:r>
    </w:p>
    <w:p>
      <w:pPr>
        <w:spacing w:after="0" w:line="176" w:lineRule="exact"/>
        <w:rPr>
          <w:rFonts w:ascii="Times New Roman" w:cs="Times New Roman" w:eastAsia="Times New Roman" w:hAnsi="Times New Roman"/>
          <w:sz w:val="16"/>
          <w:szCs w:val="16"/>
          <w:color w:val="auto"/>
        </w:rPr>
      </w:pPr>
    </w:p>
    <w:p>
      <w:pPr>
        <w:jc w:val="both"/>
        <w:ind w:left="300" w:right="20" w:hanging="294"/>
        <w:spacing w:after="0" w:line="247" w:lineRule="auto"/>
        <w:tabs>
          <w:tab w:leader="none" w:pos="3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112,842 shares directly held by SSP Technology Holdings, LLC; (ii) 478,094 shares directly held by The Paul Family Trust ; and (iii) 118,781 shares directly held The Sheldon Paul IT. Mr. Paul is the managing member of SSP Technology Holdings, LLC and the sole trustee of The Paul Family Trust and The Sheldon Paul IT and may be deemed to share voting and investment power over the shares by the foregoing entities.</w:t>
      </w:r>
    </w:p>
    <w:p>
      <w:pPr>
        <w:spacing w:after="0" w:line="152" w:lineRule="exact"/>
        <w:rPr>
          <w:rFonts w:ascii="Times New Roman" w:cs="Times New Roman" w:eastAsia="Times New Roman" w:hAnsi="Times New Roman"/>
          <w:sz w:val="16"/>
          <w:szCs w:val="16"/>
          <w:color w:val="auto"/>
        </w:rPr>
      </w:pPr>
    </w:p>
    <w:p>
      <w:pPr>
        <w:ind w:left="300" w:right="40" w:hanging="294"/>
        <w:spacing w:after="0" w:line="259" w:lineRule="auto"/>
        <w:tabs>
          <w:tab w:leader="none" w:pos="3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directly held by ASK, LLC. Janice Howroyd is the sole member of ASK, LLC and has voting and investment control of the shares held by ASK, LLC.</w:t>
      </w:r>
    </w:p>
    <w:p>
      <w:pPr>
        <w:spacing w:after="0" w:line="143" w:lineRule="exact"/>
        <w:rPr>
          <w:rFonts w:ascii="Times New Roman" w:cs="Times New Roman" w:eastAsia="Times New Roman" w:hAnsi="Times New Roman"/>
          <w:sz w:val="16"/>
          <w:szCs w:val="16"/>
          <w:color w:val="auto"/>
        </w:rPr>
      </w:pPr>
    </w:p>
    <w:p>
      <w:pPr>
        <w:ind w:left="300" w:right="20" w:hanging="294"/>
        <w:spacing w:after="0" w:line="259" w:lineRule="auto"/>
        <w:tabs>
          <w:tab w:leader="none" w:pos="3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1,023,314 shares directly held by Phyllis Newhouse; and (ii) 2,354,416 shares directly held by ShoulderUp 2021 Trust. Ms. Newhouse is the trustee of ShoulderUp 2021 Trust and may be deemed to share voting and investment power over the shares held by ShoulderUp 2021 Trust.</w:t>
      </w:r>
    </w:p>
    <w:p>
      <w:pPr>
        <w:sectPr>
          <w:pgSz w:w="11900" w:h="16840" w:orient="portrait"/>
          <w:cols w:equalWidth="0" w:num="1">
            <w:col w:w="10580"/>
          </w:cols>
          <w:pgMar w:left="660" w:top="713" w:right="660" w:bottom="317" w:gutter="0" w:footer="0" w:header="0"/>
        </w:sectPr>
      </w:pPr>
    </w:p>
    <w:bookmarkStart w:id="54" w:name="page55"/>
    <w:bookmarkEnd w:id="54"/>
    <w:p>
      <w:pPr>
        <w:ind w:left="300" w:right="20" w:hanging="294"/>
        <w:spacing w:after="0" w:line="259" w:lineRule="auto"/>
        <w:tabs>
          <w:tab w:leader="none" w:pos="3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directly held by ShoulderUp 2021 Trust. The address of the principal business office of ShoulderUp 2021 Trust is 2291 Loring Oak PL NW Marietta, GA 30064</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SELLING SECURITYHOLDERS</w:t>
      </w:r>
    </w:p>
    <w:p>
      <w:pPr>
        <w:spacing w:after="0" w:line="15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 Selling Securityholders listed in the table below may from time to time offer and sell any or all of the shares of Common Stock and Warrants set forth below pursuant to this prospectus. When we refer to the “Selling Securityholders” in this prospectus, we refer to the persons listed in the table below, and the pledgees, donees, permitted transferees, assignees, successors and others who later come to hold any of the Selling Securityholders’ interest in the shares of Common Stock after the date of this prospectus other than through a public sale.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as of the date of this prospectus:</w:t>
      </w:r>
    </w:p>
    <w:p>
      <w:pPr>
        <w:spacing w:after="0" w:line="152" w:lineRule="exact"/>
        <w:rPr>
          <w:sz w:val="20"/>
          <w:szCs w:val="20"/>
          <w:color w:val="auto"/>
        </w:rPr>
      </w:pPr>
    </w:p>
    <w:p>
      <w:pPr>
        <w:ind w:left="580" w:hanging="286"/>
        <w:spacing w:after="0"/>
        <w:tabs>
          <w:tab w:leader="none" w:pos="5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of the Selling Securityholders for whom we are registering shares of Common Stock for resale to the public,</w:t>
      </w:r>
    </w:p>
    <w:p>
      <w:pPr>
        <w:spacing w:after="0" w:line="152" w:lineRule="exact"/>
        <w:rPr>
          <w:rFonts w:ascii="Times New Roman" w:cs="Times New Roman" w:eastAsia="Times New Roman" w:hAnsi="Times New Roman"/>
          <w:sz w:val="16"/>
          <w:szCs w:val="16"/>
          <w:color w:val="auto"/>
        </w:rPr>
      </w:pPr>
    </w:p>
    <w:p>
      <w:pPr>
        <w:ind w:left="580" w:hanging="286"/>
        <w:spacing w:after="0" w:line="259" w:lineRule="auto"/>
        <w:tabs>
          <w:tab w:leader="none" w:pos="5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percentage of shares of Common Stock that the Selling Securityholders beneficially owned prior to the offering for resale of the securities under this prospectus,</w:t>
      </w:r>
    </w:p>
    <w:p>
      <w:pPr>
        <w:spacing w:after="0" w:line="119"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percentage of shares of Common Stock that may be offered from time to time for resale for theaccount of the Selling Securityholders pursuant to this prospectus, and</w:t>
      </w:r>
    </w:p>
    <w:p>
      <w:pPr>
        <w:spacing w:after="0" w:line="119" w:lineRule="exact"/>
        <w:rPr>
          <w:rFonts w:ascii="Times New Roman" w:cs="Times New Roman" w:eastAsia="Times New Roman" w:hAnsi="Times New Roman"/>
          <w:sz w:val="16"/>
          <w:szCs w:val="16"/>
          <w:color w:val="auto"/>
        </w:rPr>
      </w:pPr>
    </w:p>
    <w:p>
      <w:pPr>
        <w:ind w:left="580" w:hanging="286"/>
        <w:spacing w:after="0" w:line="259" w:lineRule="auto"/>
        <w:tabs>
          <w:tab w:leader="none" w:pos="5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percentage of shares to be beneficially owned by the Selling Securityholders after the offering of the resale securities (assuming all of the offered shares of Common Stock are sold by the Selling Securityholders).</w:t>
      </w:r>
    </w:p>
    <w:p>
      <w:pPr>
        <w:spacing w:after="0" w:line="11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Our registration of the shares of Common Stock does not necessarily mean that the Selling Securityholders will sell all or any of such Common Stock. A Selling Securityholder may sell all, some or none of such securities in this offering. See “</w:t>
      </w:r>
      <w:r>
        <w:rPr>
          <w:rFonts w:ascii="Times New Roman" w:cs="Times New Roman" w:eastAsia="Times New Roman" w:hAnsi="Times New Roman"/>
          <w:sz w:val="16"/>
          <w:szCs w:val="16"/>
          <w:i w:val="1"/>
          <w:iCs w:val="1"/>
          <w:color w:val="auto"/>
        </w:rPr>
        <w:t>Plan of Distribution</w:t>
      </w:r>
      <w:r>
        <w:rPr>
          <w:rFonts w:ascii="Times New Roman" w:cs="Times New Roman" w:eastAsia="Times New Roman" w:hAnsi="Times New Roman"/>
          <w:sz w:val="16"/>
          <w:szCs w:val="16"/>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gridSpan w:val="9"/>
          </w:tcPr>
          <w:p>
            <w:pPr>
              <w:ind w:left="480"/>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gridSpan w:val="2"/>
          </w:tcPr>
          <w:p>
            <w:pPr>
              <w:jc w:val="center"/>
              <w:ind w:right="60"/>
              <w:spacing w:after="0" w:line="165"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20" w:type="dxa"/>
            <w:vAlign w:val="bottom"/>
          </w:tcPr>
          <w:p>
            <w:pPr>
              <w:spacing w:after="0"/>
              <w:rPr>
                <w:sz w:val="15"/>
                <w:szCs w:val="15"/>
                <w:color w:val="auto"/>
              </w:rPr>
            </w:pPr>
          </w:p>
        </w:tc>
        <w:tc>
          <w:tcPr>
            <w:tcW w:w="106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8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80" w:type="dxa"/>
            <w:vAlign w:val="bottom"/>
          </w:tcPr>
          <w:p>
            <w:pPr>
              <w:spacing w:after="0"/>
              <w:rPr>
                <w:sz w:val="15"/>
                <w:szCs w:val="15"/>
                <w:color w:val="auto"/>
              </w:rPr>
            </w:pPr>
          </w:p>
        </w:tc>
        <w:tc>
          <w:tcPr>
            <w:tcW w:w="6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2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4"/>
              </w:rPr>
              <w:t>Beneficially</w:t>
            </w:r>
          </w:p>
        </w:tc>
        <w:tc>
          <w:tcPr>
            <w:tcW w:w="180" w:type="dxa"/>
            <w:vAlign w:val="bottom"/>
          </w:tcPr>
          <w:p>
            <w:pPr>
              <w:spacing w:after="0"/>
              <w:rPr>
                <w:sz w:val="15"/>
                <w:szCs w:val="15"/>
                <w:color w:val="auto"/>
              </w:rPr>
            </w:pPr>
          </w:p>
        </w:tc>
        <w:tc>
          <w:tcPr>
            <w:tcW w:w="80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8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Beneficially</w:t>
            </w:r>
          </w:p>
        </w:tc>
        <w:tc>
          <w:tcPr>
            <w:tcW w:w="200" w:type="dxa"/>
            <w:vAlign w:val="bottom"/>
          </w:tcPr>
          <w:p>
            <w:pPr>
              <w:spacing w:after="0"/>
              <w:rPr>
                <w:sz w:val="15"/>
                <w:szCs w:val="15"/>
                <w:color w:val="auto"/>
              </w:rPr>
            </w:pPr>
          </w:p>
        </w:tc>
        <w:tc>
          <w:tcPr>
            <w:tcW w:w="7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5"/>
              </w:rPr>
              <w:t>Percent</w:t>
            </w: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20" w:type="dxa"/>
            <w:vAlign w:val="bottom"/>
          </w:tcPr>
          <w:p>
            <w:pPr>
              <w:spacing w:after="0"/>
              <w:rPr>
                <w:sz w:val="15"/>
                <w:szCs w:val="15"/>
                <w:color w:val="auto"/>
              </w:rPr>
            </w:pPr>
          </w:p>
        </w:tc>
        <w:tc>
          <w:tcPr>
            <w:tcW w:w="106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Registered</w:t>
            </w:r>
          </w:p>
        </w:tc>
        <w:tc>
          <w:tcPr>
            <w:tcW w:w="8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3"/>
              </w:rPr>
              <w:t>Owned</w:t>
            </w:r>
          </w:p>
        </w:tc>
        <w:tc>
          <w:tcPr>
            <w:tcW w:w="180" w:type="dxa"/>
            <w:vAlign w:val="bottom"/>
          </w:tcPr>
          <w:p>
            <w:pPr>
              <w:spacing w:after="0"/>
              <w:rPr>
                <w:sz w:val="15"/>
                <w:szCs w:val="15"/>
                <w:color w:val="auto"/>
              </w:rPr>
            </w:pPr>
          </w:p>
        </w:tc>
        <w:tc>
          <w:tcPr>
            <w:tcW w:w="6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98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Registered</w:t>
            </w:r>
          </w:p>
        </w:tc>
        <w:tc>
          <w:tcPr>
            <w:tcW w:w="1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7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0" w:type="dxa"/>
            <w:vAlign w:val="bottom"/>
          </w:tcPr>
          <w:p>
            <w:pPr>
              <w:spacing w:after="0"/>
              <w:rPr>
                <w:sz w:val="1"/>
                <w:szCs w:val="1"/>
                <w:color w:val="auto"/>
              </w:rPr>
            </w:pPr>
          </w:p>
        </w:tc>
      </w:tr>
      <w:tr>
        <w:trPr>
          <w:trHeight w:val="205"/>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Selling Securityholder</w:t>
            </w:r>
            <w:r>
              <w:rPr>
                <w:rFonts w:ascii="Times New Roman" w:cs="Times New Roman" w:eastAsia="Times New Roman" w:hAnsi="Times New Roman"/>
                <w:sz w:val="26"/>
                <w:szCs w:val="26"/>
                <w:b w:val="1"/>
                <w:bCs w:val="1"/>
                <w:color w:val="auto"/>
                <w:vertAlign w:val="superscript"/>
              </w:rPr>
              <w:t>1</w:t>
            </w:r>
          </w:p>
        </w:tc>
        <w:tc>
          <w:tcPr>
            <w:tcW w:w="100" w:type="dxa"/>
            <w:vAlign w:val="bottom"/>
            <w:vMerge w:val="restart"/>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2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1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2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80" w:type="dxa"/>
            <w:vAlign w:val="bottom"/>
          </w:tcPr>
          <w:p>
            <w:pPr>
              <w:spacing w:after="0"/>
              <w:rPr>
                <w:sz w:val="17"/>
                <w:szCs w:val="17"/>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200" w:type="dxa"/>
            <w:vAlign w:val="bottom"/>
          </w:tcPr>
          <w:p>
            <w:pPr>
              <w:spacing w:after="0"/>
              <w:rPr>
                <w:sz w:val="17"/>
                <w:szCs w:val="17"/>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Hereby</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Hereby</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Charles K Maddox</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2,052,788</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2,052,788</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Edmund S Nabrotzky</w:t>
            </w:r>
            <w:r>
              <w:rPr>
                <w:rFonts w:ascii="Times New Roman" w:cs="Times New Roman" w:eastAsia="Times New Roman" w:hAnsi="Times New Roman"/>
                <w:sz w:val="25"/>
                <w:szCs w:val="25"/>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3,571,614</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3,571,614</w:t>
            </w:r>
          </w:p>
        </w:tc>
        <w:tc>
          <w:tcPr>
            <w:tcW w:w="160" w:type="dxa"/>
            <w:vAlign w:val="bottom"/>
          </w:tcPr>
          <w:p>
            <w:pPr>
              <w:spacing w:after="0"/>
              <w:rPr>
                <w:sz w:val="18"/>
                <w:szCs w:val="18"/>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SJP Investments, LLC</w:t>
            </w:r>
            <w:r>
              <w:rPr>
                <w:rFonts w:ascii="Times New Roman" w:cs="Times New Roman" w:eastAsia="Times New Roman" w:hAnsi="Times New Roman"/>
                <w:sz w:val="25"/>
                <w:szCs w:val="25"/>
                <w:color w:val="auto"/>
                <w:vertAlign w:val="superscript"/>
              </w:rPr>
              <w:t>4</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149,459</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149,459</w:t>
            </w: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SSP Technology Holdings, LLC</w:t>
            </w:r>
            <w:r>
              <w:rPr>
                <w:rFonts w:ascii="Times New Roman" w:cs="Times New Roman" w:eastAsia="Times New Roman" w:hAnsi="Times New Roman"/>
                <w:sz w:val="25"/>
                <w:szCs w:val="25"/>
                <w:color w:val="auto"/>
                <w:vertAlign w:val="superscript"/>
              </w:rPr>
              <w:t>5</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112,842</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112,842</w:t>
            </w:r>
          </w:p>
        </w:tc>
        <w:tc>
          <w:tcPr>
            <w:tcW w:w="82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The Paul Family Trust dated June 3, 2005</w:t>
            </w:r>
            <w:r>
              <w:rPr>
                <w:rFonts w:ascii="Times New Roman" w:cs="Times New Roman" w:eastAsia="Times New Roman" w:hAnsi="Times New Roman"/>
                <w:sz w:val="25"/>
                <w:szCs w:val="25"/>
                <w:color w:val="auto"/>
                <w:vertAlign w:val="superscript"/>
              </w:rPr>
              <w:t>6</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478,094</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478,094</w:t>
            </w: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The Sheldon Paul IT</w:t>
            </w:r>
            <w:r>
              <w:rPr>
                <w:rFonts w:ascii="Times New Roman" w:cs="Times New Roman" w:eastAsia="Times New Roman" w:hAnsi="Times New Roman"/>
                <w:sz w:val="25"/>
                <w:szCs w:val="25"/>
                <w:color w:val="auto"/>
                <w:vertAlign w:val="superscript"/>
              </w:rPr>
              <w:t>7</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118,781</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118,781</w:t>
            </w:r>
          </w:p>
        </w:tc>
        <w:tc>
          <w:tcPr>
            <w:tcW w:w="82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Tracking Technology Holdings, LLC</w:t>
            </w:r>
            <w:r>
              <w:rPr>
                <w:rFonts w:ascii="Times New Roman" w:cs="Times New Roman" w:eastAsia="Times New Roman" w:hAnsi="Times New Roman"/>
                <w:sz w:val="25"/>
                <w:szCs w:val="25"/>
                <w:color w:val="auto"/>
                <w:vertAlign w:val="superscript"/>
              </w:rPr>
              <w:t>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1,389,346</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1,389,346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48"/>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William Tremaine Reny</w:t>
            </w:r>
            <w:r>
              <w:rPr>
                <w:rFonts w:ascii="Times New Roman" w:cs="Times New Roman" w:eastAsia="Times New Roman" w:hAnsi="Times New Roman"/>
                <w:sz w:val="26"/>
                <w:szCs w:val="26"/>
                <w:color w:val="auto"/>
                <w:vertAlign w:val="superscript"/>
              </w:rPr>
              <w:t>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4,967,391</w:t>
            </w:r>
          </w:p>
        </w:tc>
        <w:tc>
          <w:tcPr>
            <w:tcW w:w="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4,967,391</w:t>
            </w:r>
          </w:p>
        </w:tc>
        <w:tc>
          <w:tcPr>
            <w:tcW w:w="160" w:type="dxa"/>
            <w:vAlign w:val="bottom"/>
          </w:tcPr>
          <w:p>
            <w:pPr>
              <w:spacing w:after="0"/>
              <w:rPr>
                <w:sz w:val="24"/>
                <w:szCs w:val="24"/>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4"/>
                <w:szCs w:val="2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67703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77035" cy="15240"/>
                    </a:xfrm>
                    <a:prstGeom prst="rect">
                      <a:avLst/>
                    </a:prstGeom>
                    <a:noFill/>
                  </pic:spPr>
                </pic:pic>
              </a:graphicData>
            </a:graphic>
          </wp:anchor>
        </w:drawing>
      </w:r>
    </w:p>
    <w:p>
      <w:pPr>
        <w:spacing w:after="0" w:line="3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color w:val="auto"/>
        </w:rPr>
        <w:t>*</w:t>
        <w:tab/>
        <w:t>Less than a percent</w:t>
      </w:r>
    </w:p>
    <w:p>
      <w:pPr>
        <w:spacing w:after="0" w:line="56" w:lineRule="exact"/>
        <w:rPr>
          <w:sz w:val="20"/>
          <w:szCs w:val="20"/>
          <w:color w:val="auto"/>
        </w:rPr>
      </w:pPr>
    </w:p>
    <w:p>
      <w:pPr>
        <w:ind w:left="300" w:hanging="294"/>
        <w:spacing w:after="0"/>
        <w:tabs>
          <w:tab w:leader="none" w:pos="300" w:val="left"/>
        </w:tabs>
        <w:numPr>
          <w:ilvl w:val="0"/>
          <w:numId w:val="4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Unless otherwise noted, the business address of each of those listed in the table above is 5661 S Cameron St, Suite 100, Las Vegas, NV 89118.</w:t>
      </w:r>
    </w:p>
    <w:p>
      <w:pPr>
        <w:spacing w:after="0" w:line="37" w:lineRule="exact"/>
        <w:rPr>
          <w:sz w:val="20"/>
          <w:szCs w:val="20"/>
          <w:color w:val="auto"/>
        </w:rPr>
      </w:pPr>
    </w:p>
    <w:p>
      <w:pPr>
        <w:ind w:left="300" w:hanging="294"/>
        <w:spacing w:after="0"/>
        <w:tabs>
          <w:tab w:leader="none" w:pos="300" w:val="left"/>
        </w:tabs>
        <w:numPr>
          <w:ilvl w:val="0"/>
          <w:numId w:val="4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Mr. Maddox is the Chief Financial Officer and Chief Operating Officer of the Company.</w:t>
      </w:r>
    </w:p>
    <w:p>
      <w:pPr>
        <w:spacing w:after="0" w:line="37" w:lineRule="exact"/>
        <w:rPr>
          <w:sz w:val="20"/>
          <w:szCs w:val="20"/>
          <w:color w:val="auto"/>
        </w:rPr>
      </w:pPr>
    </w:p>
    <w:p>
      <w:pPr>
        <w:ind w:left="300" w:hanging="294"/>
        <w:spacing w:after="0"/>
        <w:tabs>
          <w:tab w:leader="none" w:pos="300" w:val="left"/>
        </w:tabs>
        <w:numPr>
          <w:ilvl w:val="0"/>
          <w:numId w:val="4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Mr. Nabrotzky is the Chief Executive Officer and a director of the Company.</w:t>
      </w:r>
    </w:p>
    <w:p>
      <w:pPr>
        <w:spacing w:after="0" w:line="146" w:lineRule="exact"/>
        <w:rPr>
          <w:sz w:val="20"/>
          <w:szCs w:val="20"/>
          <w:color w:val="auto"/>
        </w:rPr>
      </w:pPr>
    </w:p>
    <w:p>
      <w:pPr>
        <w:ind w:left="300" w:hanging="294"/>
        <w:spacing w:after="0" w:line="242" w:lineRule="auto"/>
        <w:tabs>
          <w:tab w:leader="none" w:pos="3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directly held by SJP Investments, LLC. Steven Paul is the managing member of SJP Investments, LLC. The address of the principal business office of SJP Investments, LLC is 1000 N Green Valley Pkwy, Ste 440-350, Henderson, NV 89074.</w:t>
      </w:r>
    </w:p>
    <w:p>
      <w:pPr>
        <w:spacing w:after="0" w:line="132" w:lineRule="exact"/>
        <w:rPr>
          <w:sz w:val="20"/>
          <w:szCs w:val="20"/>
          <w:color w:val="auto"/>
        </w:rPr>
      </w:pPr>
    </w:p>
    <w:p>
      <w:pPr>
        <w:jc w:val="both"/>
        <w:ind w:left="300" w:right="40" w:hanging="294"/>
        <w:spacing w:after="0" w:line="202" w:lineRule="auto"/>
        <w:tabs>
          <w:tab w:leader="none" w:pos="300" w:val="left"/>
        </w:tabs>
        <w:numPr>
          <w:ilvl w:val="0"/>
          <w:numId w:val="4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SSP Technology Holdings, LLC. Sheldon Paul is the managing member of SSP Technology Holdings, LLC. Mr. Paul is a director of the Company. The address of the principal business office of SSP Technology Holdings, LLC is 1000 N Green Valley Pkwy, Ste 440-350, Henderson, NV 89074.</w:t>
      </w:r>
    </w:p>
    <w:p>
      <w:pPr>
        <w:spacing w:after="0" w:line="135" w:lineRule="exact"/>
        <w:rPr>
          <w:sz w:val="20"/>
          <w:szCs w:val="20"/>
          <w:color w:val="auto"/>
        </w:rPr>
      </w:pPr>
    </w:p>
    <w:p>
      <w:pPr>
        <w:jc w:val="both"/>
        <w:ind w:left="300" w:right="20" w:hanging="294"/>
        <w:spacing w:after="0" w:line="202" w:lineRule="auto"/>
        <w:tabs>
          <w:tab w:leader="none" w:pos="300" w:val="left"/>
        </w:tabs>
        <w:numPr>
          <w:ilvl w:val="0"/>
          <w:numId w:val="4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The Paul Family Trust dated June 3, 2005. Sheldon Paul is the sole trustee of The Paul Family Trust dated June 3, 2005. Mr. Paul is a director of the Company. The address of the principal business office of The Paul Family Trust dated June 3, 2005 is 8671 Golden Canyon, Las Vegas, NV 89129.</w:t>
      </w:r>
    </w:p>
    <w:p>
      <w:pPr>
        <w:spacing w:after="0" w:line="135" w:lineRule="exact"/>
        <w:rPr>
          <w:sz w:val="20"/>
          <w:szCs w:val="20"/>
          <w:color w:val="auto"/>
        </w:rPr>
      </w:pPr>
    </w:p>
    <w:p>
      <w:pPr>
        <w:ind w:left="300" w:right="40" w:hanging="294"/>
        <w:spacing w:after="0" w:line="190" w:lineRule="auto"/>
        <w:tabs>
          <w:tab w:leader="none" w:pos="300" w:val="left"/>
        </w:tabs>
        <w:numPr>
          <w:ilvl w:val="0"/>
          <w:numId w:val="4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The Sheldon Paul IT. Sheldon Paul is the sole trustee of The Sheldon Paul IT. Mr. Paul is a director of the Company. The address of the principal business office of The Sheldon Paul IT is 333 N Rancho Drive, Ste 730, Las Vegas, NV 89106.</w:t>
      </w:r>
    </w:p>
    <w:p>
      <w:pPr>
        <w:spacing w:after="0" w:line="134" w:lineRule="exact"/>
        <w:rPr>
          <w:sz w:val="20"/>
          <w:szCs w:val="20"/>
          <w:color w:val="auto"/>
        </w:rPr>
      </w:pPr>
    </w:p>
    <w:p>
      <w:pPr>
        <w:ind w:left="300" w:right="20" w:hanging="294"/>
        <w:spacing w:after="0" w:line="190" w:lineRule="auto"/>
        <w:tabs>
          <w:tab w:leader="none" w:pos="300" w:val="left"/>
        </w:tabs>
        <w:numPr>
          <w:ilvl w:val="0"/>
          <w:numId w:val="4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Tracking Technology Holdings, LLC, which includes 1,317,750 issued in a private placement offering on June 18, 2025. The address of the principal business office of Tracking Technology Holdings is 199 N. Arroyo Grande Blvd, Ste 150, Henderson, NV 89074.</w:t>
      </w:r>
    </w:p>
    <w:p>
      <w:pPr>
        <w:spacing w:after="0" w:line="134" w:lineRule="exact"/>
        <w:rPr>
          <w:sz w:val="20"/>
          <w:szCs w:val="20"/>
          <w:color w:val="auto"/>
        </w:rPr>
      </w:pPr>
    </w:p>
    <w:p>
      <w:pPr>
        <w:ind w:left="300" w:hanging="294"/>
        <w:spacing w:after="0" w:line="190" w:lineRule="auto"/>
        <w:tabs>
          <w:tab w:leader="none" w:pos="300" w:val="left"/>
        </w:tabs>
        <w:numPr>
          <w:ilvl w:val="0"/>
          <w:numId w:val="5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William Tremaine Reny. Mr. Renny was the Founder and CEO of SEE ID prior to the closing of the Business Combination. The address of the principal business office of William Tremaine Reny is 9 Hawk Ridge Drive, Las Vegas, NV 89135.</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3020" w:type="dxa"/>
        <w:tblCellMar>
          <w:top w:w="0" w:type="dxa"/>
          <w:left w:w="0" w:type="dxa"/>
          <w:bottom w:w="0" w:type="dxa"/>
          <w:right w:w="0" w:type="dxa"/>
        </w:tblCellMar>
      </w:tblPr>
      <w:tr>
        <w:trPr>
          <w:trHeight w:val="199"/>
        </w:trPr>
        <w:tc>
          <w:tcPr>
            <w:tcW w:w="9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7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8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r>
      <w:tr>
        <w:trPr>
          <w:trHeight w:val="165"/>
        </w:trPr>
        <w:tc>
          <w:tcPr>
            <w:tcW w:w="94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100" w:type="dxa"/>
            <w:vAlign w:val="bottom"/>
          </w:tcPr>
          <w:p>
            <w:pPr>
              <w:spacing w:after="0"/>
              <w:rPr>
                <w:sz w:val="14"/>
                <w:szCs w:val="14"/>
                <w:color w:val="auto"/>
              </w:rPr>
            </w:pPr>
          </w:p>
        </w:tc>
        <w:tc>
          <w:tcPr>
            <w:tcW w:w="104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0"/>
        </w:trPr>
        <w:tc>
          <w:tcPr>
            <w:tcW w:w="9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4"/>
              </w:rPr>
              <w:t>Beneficially</w:t>
            </w:r>
          </w:p>
        </w:tc>
        <w:tc>
          <w:tcPr>
            <w:tcW w:w="110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0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200" w:type="dxa"/>
            <w:vAlign w:val="bottom"/>
          </w:tcPr>
          <w:p>
            <w:pPr>
              <w:spacing w:after="0"/>
              <w:rPr>
                <w:sz w:val="15"/>
                <w:szCs w:val="15"/>
                <w:color w:val="auto"/>
              </w:rPr>
            </w:pPr>
          </w:p>
        </w:tc>
        <w:tc>
          <w:tcPr>
            <w:tcW w:w="86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Percent</w:t>
            </w:r>
          </w:p>
        </w:tc>
      </w:tr>
      <w:tr>
        <w:trPr>
          <w:trHeight w:val="180"/>
        </w:trPr>
        <w:tc>
          <w:tcPr>
            <w:tcW w:w="9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10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b w:val="1"/>
                <w:bCs w:val="1"/>
                <w:color w:val="auto"/>
                <w:w w:val="98"/>
              </w:rPr>
              <w:t>Registered</w:t>
            </w:r>
          </w:p>
        </w:tc>
        <w:tc>
          <w:tcPr>
            <w:tcW w:w="10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86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Registered</w:t>
            </w: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r>
      <w:tr>
        <w:trPr>
          <w:trHeight w:val="205"/>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100" w:type="dxa"/>
            <w:vAlign w:val="bottom"/>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200" w:type="dxa"/>
            <w:vAlign w:val="bottom"/>
          </w:tcPr>
          <w:p>
            <w:pPr>
              <w:spacing w:after="0"/>
              <w:rPr>
                <w:sz w:val="17"/>
                <w:szCs w:val="17"/>
                <w:color w:val="auto"/>
              </w:rPr>
            </w:pPr>
          </w:p>
        </w:tc>
        <w:tc>
          <w:tcPr>
            <w:tcW w:w="86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After</w:t>
            </w:r>
          </w:p>
        </w:tc>
      </w:tr>
    </w:tbl>
    <w:p>
      <w:pPr>
        <w:sectPr>
          <w:pgSz w:w="11900" w:h="16840" w:orient="portrait"/>
          <w:cols w:equalWidth="0" w:num="1">
            <w:col w:w="10580"/>
          </w:cols>
          <w:pgMar w:left="660" w:top="557" w:right="660" w:bottom="103"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2"/>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Selling Securityholder</w:t>
            </w:r>
            <w:r>
              <w:rPr>
                <w:rFonts w:ascii="Times New Roman" w:cs="Times New Roman" w:eastAsia="Times New Roman" w:hAnsi="Times New Roman"/>
                <w:sz w:val="26"/>
                <w:szCs w:val="26"/>
                <w:b w:val="1"/>
                <w:bCs w:val="1"/>
                <w:color w:val="auto"/>
                <w:vertAlign w:val="superscript"/>
              </w:rPr>
              <w:t>1</w:t>
            </w:r>
          </w:p>
        </w:tc>
        <w:tc>
          <w:tcPr>
            <w:tcW w:w="8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8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Hereby</w:t>
            </w:r>
          </w:p>
        </w:tc>
        <w:tc>
          <w:tcPr>
            <w:tcW w:w="18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2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Hereby</w:t>
            </w:r>
          </w:p>
        </w:tc>
        <w:tc>
          <w:tcPr>
            <w:tcW w:w="18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2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80" w:type="dxa"/>
            <w:vAlign w:val="bottom"/>
            <w:tcBorders>
              <w:bottom w:val="single" w:sz="8" w:color="CCEEFF"/>
            </w:tcBorders>
          </w:tcPr>
          <w:p>
            <w:pPr>
              <w:spacing w:after="0"/>
              <w:rPr>
                <w:sz w:val="24"/>
                <w:szCs w:val="24"/>
                <w:color w:val="auto"/>
              </w:rPr>
            </w:pP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Johnathan Jerotz &amp; Sarah Jerotz JT Ten</w:t>
            </w:r>
            <w:r>
              <w:rPr>
                <w:rFonts w:ascii="Times New Roman" w:cs="Times New Roman" w:eastAsia="Times New Roman" w:hAnsi="Times New Roman"/>
                <w:sz w:val="25"/>
                <w:szCs w:val="25"/>
                <w:color w:val="auto"/>
                <w:vertAlign w:val="superscript"/>
              </w:rPr>
              <w:t>10</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121,250</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121,250</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9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Kory Coleman</w:t>
            </w:r>
            <w:r>
              <w:rPr>
                <w:rFonts w:ascii="Times New Roman" w:cs="Times New Roman" w:eastAsia="Times New Roman" w:hAnsi="Times New Roman"/>
                <w:sz w:val="25"/>
                <w:szCs w:val="25"/>
                <w:color w:val="auto"/>
                <w:vertAlign w:val="superscript"/>
              </w:rPr>
              <w:t>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97,000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97,000</w:t>
            </w:r>
          </w:p>
        </w:tc>
        <w:tc>
          <w:tcPr>
            <w:tcW w:w="18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John Phillips Shackelford Jr.</w:t>
            </w:r>
            <w:r>
              <w:rPr>
                <w:rFonts w:ascii="Times New Roman" w:cs="Times New Roman" w:eastAsia="Times New Roman" w:hAnsi="Times New Roman"/>
                <w:sz w:val="25"/>
                <w:szCs w:val="25"/>
                <w:color w:val="auto"/>
                <w:vertAlign w:val="superscript"/>
              </w:rPr>
              <w:t>12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76,387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76,387</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9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Aaron Nemec</w:t>
            </w:r>
            <w:r>
              <w:rPr>
                <w:rFonts w:ascii="Times New Roman" w:cs="Times New Roman" w:eastAsia="Times New Roman" w:hAnsi="Times New Roman"/>
                <w:sz w:val="25"/>
                <w:szCs w:val="25"/>
                <w:color w:val="auto"/>
                <w:vertAlign w:val="superscript"/>
              </w:rPr>
              <w:t>13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72,750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72,750</w:t>
            </w:r>
          </w:p>
        </w:tc>
        <w:tc>
          <w:tcPr>
            <w:tcW w:w="18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Steven Just</w:t>
            </w:r>
            <w:r>
              <w:rPr>
                <w:rFonts w:ascii="Times New Roman" w:cs="Times New Roman" w:eastAsia="Times New Roman" w:hAnsi="Times New Roman"/>
                <w:sz w:val="25"/>
                <w:szCs w:val="25"/>
                <w:color w:val="auto"/>
                <w:vertAlign w:val="superscript"/>
              </w:rPr>
              <w:t>14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9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Michael S. Rodgers</w:t>
            </w:r>
            <w:r>
              <w:rPr>
                <w:rFonts w:ascii="Times New Roman" w:cs="Times New Roman" w:eastAsia="Times New Roman" w:hAnsi="Times New Roman"/>
                <w:sz w:val="25"/>
                <w:szCs w:val="25"/>
                <w:color w:val="auto"/>
                <w:vertAlign w:val="superscript"/>
              </w:rPr>
              <w:t>15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48,500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48,500</w:t>
            </w:r>
          </w:p>
        </w:tc>
        <w:tc>
          <w:tcPr>
            <w:tcW w:w="18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168"/>
        </w:trPr>
        <w:tc>
          <w:tcPr>
            <w:tcW w:w="29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Christopher John Winspear &amp; Gina Gilbert</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28"/>
        </w:trPr>
        <w:tc>
          <w:tcPr>
            <w:tcW w:w="2940" w:type="dxa"/>
            <w:vAlign w:val="bottom"/>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Winspear JT</w:t>
            </w:r>
            <w:r>
              <w:rPr>
                <w:rFonts w:ascii="Times New Roman" w:cs="Times New Roman" w:eastAsia="Times New Roman" w:hAnsi="Times New Roman"/>
                <w:sz w:val="26"/>
                <w:szCs w:val="26"/>
                <w:color w:val="auto"/>
                <w:vertAlign w:val="superscript"/>
              </w:rPr>
              <w:t>16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36,375</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36,375</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9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Trent Stimpson</w:t>
            </w:r>
            <w:r>
              <w:rPr>
                <w:rFonts w:ascii="Times New Roman" w:cs="Times New Roman" w:eastAsia="Times New Roman" w:hAnsi="Times New Roman"/>
                <w:sz w:val="25"/>
                <w:szCs w:val="25"/>
                <w:color w:val="auto"/>
                <w:vertAlign w:val="superscript"/>
              </w:rPr>
              <w:t>17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36,375</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36,375</w:t>
            </w:r>
          </w:p>
        </w:tc>
        <w:tc>
          <w:tcPr>
            <w:tcW w:w="18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James Jacob Porter</w:t>
            </w:r>
            <w:r>
              <w:rPr>
                <w:rFonts w:ascii="Times New Roman" w:cs="Times New Roman" w:eastAsia="Times New Roman" w:hAnsi="Times New Roman"/>
                <w:sz w:val="25"/>
                <w:szCs w:val="25"/>
                <w:color w:val="auto"/>
                <w:vertAlign w:val="superscript"/>
              </w:rPr>
              <w:t>18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30,312</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9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Christy Nichol Nemec</w:t>
            </w:r>
            <w:r>
              <w:rPr>
                <w:rFonts w:ascii="Times New Roman" w:cs="Times New Roman" w:eastAsia="Times New Roman" w:hAnsi="Times New Roman"/>
                <w:sz w:val="25"/>
                <w:szCs w:val="25"/>
                <w:color w:val="auto"/>
                <w:vertAlign w:val="superscript"/>
              </w:rPr>
              <w:t>19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30,312</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30,312</w:t>
            </w:r>
          </w:p>
        </w:tc>
        <w:tc>
          <w:tcPr>
            <w:tcW w:w="18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Bryson T. Smith</w:t>
            </w:r>
            <w:r>
              <w:rPr>
                <w:rFonts w:ascii="Times New Roman" w:cs="Times New Roman" w:eastAsia="Times New Roman" w:hAnsi="Times New Roman"/>
                <w:sz w:val="25"/>
                <w:szCs w:val="25"/>
                <w:color w:val="auto"/>
                <w:vertAlign w:val="superscript"/>
              </w:rPr>
              <w:t>20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30,312</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348"/>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Davies Brothers, LLC</w:t>
            </w:r>
            <w:r>
              <w:rPr>
                <w:rFonts w:ascii="Times New Roman" w:cs="Times New Roman" w:eastAsia="Times New Roman" w:hAnsi="Times New Roman"/>
                <w:sz w:val="26"/>
                <w:szCs w:val="26"/>
                <w:color w:val="auto"/>
                <w:vertAlign w:val="superscript"/>
              </w:rPr>
              <w:t>21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29,100</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29,100</w:t>
            </w:r>
          </w:p>
        </w:tc>
        <w:tc>
          <w:tcPr>
            <w:tcW w:w="180" w:type="dxa"/>
            <w:vAlign w:val="bottom"/>
          </w:tcPr>
          <w:p>
            <w:pPr>
              <w:spacing w:after="0"/>
              <w:rPr>
                <w:sz w:val="24"/>
                <w:szCs w:val="24"/>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24"/>
                <w:szCs w:val="24"/>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24"/>
                <w:szCs w:val="24"/>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24"/>
                <w:szCs w:val="24"/>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24"/>
                <w:szCs w:val="24"/>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24"/>
                <w:szCs w:val="24"/>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167703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77035" cy="15240"/>
                    </a:xfrm>
                    <a:prstGeom prst="rect">
                      <a:avLst/>
                    </a:prstGeom>
                    <a:noFill/>
                  </pic:spPr>
                </pic:pic>
              </a:graphicData>
            </a:graphic>
          </wp:anchor>
        </w:drawing>
      </w:r>
    </w:p>
    <w:p>
      <w:pPr>
        <w:spacing w:after="0" w:line="63" w:lineRule="exact"/>
        <w:rPr>
          <w:sz w:val="20"/>
          <w:szCs w:val="20"/>
          <w:color w:val="auto"/>
        </w:rPr>
      </w:pPr>
    </w:p>
    <w:p>
      <w:pPr>
        <w:ind w:left="300" w:right="20" w:hanging="294"/>
        <w:spacing w:after="0" w:line="190" w:lineRule="auto"/>
        <w:tabs>
          <w:tab w:leader="none" w:pos="300" w:val="left"/>
        </w:tabs>
        <w:numPr>
          <w:ilvl w:val="0"/>
          <w:numId w:val="5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Johnathan Jerotz &amp; Sarah Jerotz JT Ten. The address of the principal business office of Johnathan Jerotz &amp; Sarah Jerotz JT Ten is 3304 Lone Hill Ln, Encinitas, CA 92024.</w:t>
      </w:r>
    </w:p>
    <w:p>
      <w:pPr>
        <w:spacing w:after="0" w:line="73"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5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shares directly held by Kory Coleman. The address of the principal business office of Kory Coleman is 529 E. Oak Hollow Ct., Bountiful, UT 84010.</w:t>
      </w:r>
    </w:p>
    <w:p>
      <w:pPr>
        <w:spacing w:after="0" w:line="157" w:lineRule="exact"/>
        <w:rPr>
          <w:rFonts w:ascii="Times New Roman" w:cs="Times New Roman" w:eastAsia="Times New Roman" w:hAnsi="Times New Roman"/>
          <w:sz w:val="25"/>
          <w:szCs w:val="25"/>
          <w:color w:val="auto"/>
          <w:vertAlign w:val="superscript"/>
        </w:rPr>
      </w:pPr>
    </w:p>
    <w:p>
      <w:pPr>
        <w:ind w:left="300" w:right="40" w:hanging="294"/>
        <w:spacing w:after="0" w:line="190" w:lineRule="auto"/>
        <w:tabs>
          <w:tab w:leader="none" w:pos="300" w:val="left"/>
        </w:tabs>
        <w:numPr>
          <w:ilvl w:val="0"/>
          <w:numId w:val="5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John Phillips Shackelford Jr. The address of the principal business office of John Phillips Shackelford Jr. is 2100 S. Ocean Dr., Apt. 17K, Fort Lauderdale, FL 33316.</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5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Aaron Nemec. The address of the principal business office of Aaron Nemec is 1783 E. Lone Shore Lane, Eagle, ID 83616.</w:t>
      </w:r>
    </w:p>
    <w:p>
      <w:pPr>
        <w:spacing w:after="0" w:line="146" w:lineRule="exact"/>
        <w:rPr>
          <w:rFonts w:ascii="Times New Roman" w:cs="Times New Roman" w:eastAsia="Times New Roman" w:hAnsi="Times New Roman"/>
          <w:sz w:val="26"/>
          <w:szCs w:val="26"/>
          <w:color w:val="auto"/>
          <w:vertAlign w:val="superscript"/>
        </w:rPr>
      </w:pPr>
    </w:p>
    <w:p>
      <w:pPr>
        <w:ind w:left="300" w:hanging="294"/>
        <w:spacing w:after="0" w:line="185" w:lineRule="auto"/>
        <w:tabs>
          <w:tab w:leader="none" w:pos="300" w:val="left"/>
        </w:tabs>
        <w:numPr>
          <w:ilvl w:val="0"/>
          <w:numId w:val="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Steven Just. The address of the principal business office of Steven Just is 3179 S. Cobble Way, Meridian, ID 83642.</w:t>
      </w:r>
    </w:p>
    <w:p>
      <w:pPr>
        <w:spacing w:after="0" w:line="147" w:lineRule="exact"/>
        <w:rPr>
          <w:rFonts w:ascii="Times New Roman" w:cs="Times New Roman" w:eastAsia="Times New Roman" w:hAnsi="Times New Roman"/>
          <w:sz w:val="24"/>
          <w:szCs w:val="24"/>
          <w:color w:val="auto"/>
          <w:vertAlign w:val="superscript"/>
        </w:rPr>
      </w:pPr>
    </w:p>
    <w:p>
      <w:pPr>
        <w:ind w:left="300" w:hanging="294"/>
        <w:spacing w:after="0" w:line="185" w:lineRule="auto"/>
        <w:tabs>
          <w:tab w:leader="none" w:pos="300" w:val="left"/>
        </w:tabs>
        <w:numPr>
          <w:ilvl w:val="0"/>
          <w:numId w:val="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Michael S. Rodgers. The address of the principal business office of Michael S. Rodgers is P.O. Box 891, Meridian, ID 83680.</w:t>
      </w:r>
    </w:p>
    <w:p>
      <w:pPr>
        <w:spacing w:after="0" w:line="157" w:lineRule="exact"/>
        <w:rPr>
          <w:rFonts w:ascii="Times New Roman" w:cs="Times New Roman" w:eastAsia="Times New Roman" w:hAnsi="Times New Roman"/>
          <w:sz w:val="24"/>
          <w:szCs w:val="24"/>
          <w:color w:val="auto"/>
          <w:vertAlign w:val="superscript"/>
        </w:rPr>
      </w:pPr>
    </w:p>
    <w:p>
      <w:pPr>
        <w:ind w:left="300" w:right="20" w:hanging="294"/>
        <w:spacing w:after="0" w:line="190" w:lineRule="auto"/>
        <w:tabs>
          <w:tab w:leader="none" w:pos="300" w:val="left"/>
        </w:tabs>
        <w:numPr>
          <w:ilvl w:val="0"/>
          <w:numId w:val="5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Christopher John Winspear &amp; Gina Gilbert Winspear JT. The address of the principal business office of Christopher John Winspear &amp; Gina Gilbert Winspear JT is 4776 Barcelona Ridge Ct., Las Vegas, NV 89129.</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5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Trent Simpson. The address of the principal business office of Trent Simpson is 6667 Trinity Creek Ln, Star, ID 83669.</w:t>
      </w:r>
    </w:p>
    <w:p>
      <w:pPr>
        <w:spacing w:after="0" w:line="146" w:lineRule="exact"/>
        <w:rPr>
          <w:rFonts w:ascii="Times New Roman" w:cs="Times New Roman" w:eastAsia="Times New Roman" w:hAnsi="Times New Roman"/>
          <w:sz w:val="26"/>
          <w:szCs w:val="26"/>
          <w:color w:val="auto"/>
          <w:vertAlign w:val="superscript"/>
        </w:rPr>
      </w:pPr>
    </w:p>
    <w:p>
      <w:pPr>
        <w:ind w:left="300" w:hanging="294"/>
        <w:spacing w:after="0" w:line="185" w:lineRule="auto"/>
        <w:tabs>
          <w:tab w:leader="none" w:pos="300" w:val="left"/>
        </w:tabs>
        <w:numPr>
          <w:ilvl w:val="0"/>
          <w:numId w:val="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James Jacob Porter. The address of the principal business office of James Jacob Porter, 5 The Ests, Dorado, PR 00646.</w:t>
      </w:r>
    </w:p>
    <w:p>
      <w:pPr>
        <w:spacing w:after="0" w:line="157" w:lineRule="exact"/>
        <w:rPr>
          <w:rFonts w:ascii="Times New Roman" w:cs="Times New Roman" w:eastAsia="Times New Roman" w:hAnsi="Times New Roman"/>
          <w:sz w:val="24"/>
          <w:szCs w:val="24"/>
          <w:color w:val="auto"/>
          <w:vertAlign w:val="superscript"/>
        </w:rPr>
      </w:pPr>
    </w:p>
    <w:p>
      <w:pPr>
        <w:ind w:left="300" w:right="20" w:hanging="294"/>
        <w:spacing w:after="0" w:line="190" w:lineRule="auto"/>
        <w:tabs>
          <w:tab w:leader="none" w:pos="300" w:val="left"/>
        </w:tabs>
        <w:numPr>
          <w:ilvl w:val="0"/>
          <w:numId w:val="5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Christy Nichol Nemec. The address of the principal business office of Christy Nichol Nemec is 1783 E. Lone Shore Ln, Eagle, ID 83616.</w:t>
      </w:r>
    </w:p>
    <w:p>
      <w:pPr>
        <w:spacing w:after="0" w:line="73"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5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shares directly held by Bryson T. Smith. The address of the principal business office of Bryson T. Smith is 4622 N. Arches Ave., Meridian, ID 83646.</w:t>
      </w:r>
    </w:p>
    <w:p>
      <w:pPr>
        <w:spacing w:after="0" w:line="157" w:lineRule="exact"/>
        <w:rPr>
          <w:rFonts w:ascii="Times New Roman" w:cs="Times New Roman" w:eastAsia="Times New Roman" w:hAnsi="Times New Roman"/>
          <w:sz w:val="25"/>
          <w:szCs w:val="25"/>
          <w:color w:val="auto"/>
          <w:vertAlign w:val="superscript"/>
        </w:rPr>
      </w:pPr>
    </w:p>
    <w:p>
      <w:pPr>
        <w:ind w:left="300" w:right="40" w:hanging="294"/>
        <w:spacing w:after="0" w:line="190" w:lineRule="auto"/>
        <w:tabs>
          <w:tab w:leader="none" w:pos="300" w:val="left"/>
        </w:tabs>
        <w:numPr>
          <w:ilvl w:val="0"/>
          <w:numId w:val="5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Davies Brothers, LLC. The address of the principal business office of Davies Brothers, LLC is 2305 W. Boulder Bar Dr., Meridian, ID 83646.</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gridSpan w:val="4"/>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gridSpan w:val="8"/>
          </w:tcPr>
          <w:p>
            <w:pPr>
              <w:ind w:left="540"/>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60" w:type="dxa"/>
            <w:vAlign w:val="bottom"/>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80" w:type="dxa"/>
            <w:vAlign w:val="bottom"/>
          </w:tcPr>
          <w:p>
            <w:pPr>
              <w:spacing w:after="0"/>
              <w:rPr>
                <w:sz w:val="15"/>
                <w:szCs w:val="15"/>
                <w:color w:val="auto"/>
              </w:rPr>
            </w:pPr>
          </w:p>
        </w:tc>
        <w:tc>
          <w:tcPr>
            <w:tcW w:w="8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80" w:type="dxa"/>
            <w:vAlign w:val="bottom"/>
          </w:tcPr>
          <w:p>
            <w:pPr>
              <w:spacing w:after="0"/>
              <w:rPr>
                <w:sz w:val="15"/>
                <w:szCs w:val="15"/>
                <w:color w:val="auto"/>
              </w:rPr>
            </w:pPr>
          </w:p>
        </w:tc>
        <w:tc>
          <w:tcPr>
            <w:tcW w:w="6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Percent</w:t>
            </w:r>
          </w:p>
        </w:tc>
        <w:tc>
          <w:tcPr>
            <w:tcW w:w="180" w:type="dxa"/>
            <w:vAlign w:val="bottom"/>
          </w:tcPr>
          <w:p>
            <w:pPr>
              <w:spacing w:after="0"/>
              <w:rPr>
                <w:sz w:val="15"/>
                <w:szCs w:val="15"/>
                <w:color w:val="auto"/>
              </w:rPr>
            </w:pPr>
          </w:p>
        </w:tc>
        <w:tc>
          <w:tcPr>
            <w:tcW w:w="8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80" w:type="dxa"/>
            <w:vAlign w:val="bottom"/>
          </w:tcPr>
          <w:p>
            <w:pPr>
              <w:spacing w:after="0"/>
              <w:rPr>
                <w:sz w:val="15"/>
                <w:szCs w:val="15"/>
                <w:color w:val="auto"/>
              </w:rPr>
            </w:pPr>
          </w:p>
        </w:tc>
        <w:tc>
          <w:tcPr>
            <w:tcW w:w="7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180" w:type="dxa"/>
            <w:vAlign w:val="bottom"/>
          </w:tcPr>
          <w:p>
            <w:pPr>
              <w:spacing w:after="0"/>
              <w:rPr>
                <w:sz w:val="15"/>
                <w:szCs w:val="15"/>
                <w:color w:val="auto"/>
              </w:rPr>
            </w:pPr>
          </w:p>
        </w:tc>
        <w:tc>
          <w:tcPr>
            <w:tcW w:w="8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80" w:type="dxa"/>
            <w:vAlign w:val="bottom"/>
          </w:tcPr>
          <w:p>
            <w:pPr>
              <w:spacing w:after="0"/>
              <w:rPr>
                <w:sz w:val="15"/>
                <w:szCs w:val="15"/>
                <w:color w:val="auto"/>
              </w:rPr>
            </w:pPr>
          </w:p>
        </w:tc>
        <w:tc>
          <w:tcPr>
            <w:tcW w:w="74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5"/>
              </w:rPr>
              <w:t>Percent</w:t>
            </w:r>
          </w:p>
        </w:tc>
        <w:tc>
          <w:tcPr>
            <w:tcW w:w="0" w:type="dxa"/>
            <w:vAlign w:val="bottom"/>
          </w:tcPr>
          <w:p>
            <w:pPr>
              <w:spacing w:after="0"/>
              <w:rPr>
                <w:sz w:val="1"/>
                <w:szCs w:val="1"/>
                <w:color w:val="auto"/>
              </w:rPr>
            </w:pPr>
          </w:p>
        </w:tc>
      </w:tr>
      <w:tr>
        <w:trPr>
          <w:trHeight w:val="180"/>
        </w:trPr>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60" w:type="dxa"/>
            <w:vAlign w:val="bottom"/>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Registered</w:t>
            </w:r>
          </w:p>
        </w:tc>
        <w:tc>
          <w:tcPr>
            <w:tcW w:w="180" w:type="dxa"/>
            <w:vAlign w:val="bottom"/>
          </w:tcPr>
          <w:p>
            <w:pPr>
              <w:spacing w:after="0"/>
              <w:rPr>
                <w:sz w:val="15"/>
                <w:szCs w:val="15"/>
                <w:color w:val="auto"/>
              </w:rPr>
            </w:pPr>
          </w:p>
        </w:tc>
        <w:tc>
          <w:tcPr>
            <w:tcW w:w="8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80" w:type="dxa"/>
            <w:vAlign w:val="bottom"/>
          </w:tcPr>
          <w:p>
            <w:pPr>
              <w:spacing w:after="0"/>
              <w:rPr>
                <w:sz w:val="15"/>
                <w:szCs w:val="15"/>
                <w:color w:val="auto"/>
              </w:rPr>
            </w:pPr>
          </w:p>
        </w:tc>
        <w:tc>
          <w:tcPr>
            <w:tcW w:w="6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3"/>
              </w:rPr>
              <w:t>Owned</w:t>
            </w:r>
          </w:p>
        </w:tc>
        <w:tc>
          <w:tcPr>
            <w:tcW w:w="180" w:type="dxa"/>
            <w:vAlign w:val="bottom"/>
          </w:tcPr>
          <w:p>
            <w:pPr>
              <w:spacing w:after="0"/>
              <w:rPr>
                <w:sz w:val="15"/>
                <w:szCs w:val="15"/>
                <w:color w:val="auto"/>
              </w:rPr>
            </w:pPr>
          </w:p>
        </w:tc>
        <w:tc>
          <w:tcPr>
            <w:tcW w:w="8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3"/>
              </w:rPr>
              <w:t>Owned</w:t>
            </w:r>
          </w:p>
        </w:tc>
        <w:tc>
          <w:tcPr>
            <w:tcW w:w="180" w:type="dxa"/>
            <w:vAlign w:val="bottom"/>
          </w:tcPr>
          <w:p>
            <w:pPr>
              <w:spacing w:after="0"/>
              <w:rPr>
                <w:sz w:val="15"/>
                <w:szCs w:val="15"/>
                <w:color w:val="auto"/>
              </w:rPr>
            </w:pPr>
          </w:p>
        </w:tc>
        <w:tc>
          <w:tcPr>
            <w:tcW w:w="7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Registered</w:t>
            </w:r>
          </w:p>
        </w:tc>
        <w:tc>
          <w:tcPr>
            <w:tcW w:w="180" w:type="dxa"/>
            <w:vAlign w:val="bottom"/>
          </w:tcPr>
          <w:p>
            <w:pPr>
              <w:spacing w:after="0"/>
              <w:rPr>
                <w:sz w:val="15"/>
                <w:szCs w:val="15"/>
                <w:color w:val="auto"/>
              </w:rPr>
            </w:pPr>
          </w:p>
        </w:tc>
        <w:tc>
          <w:tcPr>
            <w:tcW w:w="8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3"/>
              </w:rPr>
              <w:t>Owned</w:t>
            </w:r>
          </w:p>
        </w:tc>
        <w:tc>
          <w:tcPr>
            <w:tcW w:w="180" w:type="dxa"/>
            <w:vAlign w:val="bottom"/>
          </w:tcPr>
          <w:p>
            <w:pPr>
              <w:spacing w:after="0"/>
              <w:rPr>
                <w:sz w:val="15"/>
                <w:szCs w:val="15"/>
                <w:color w:val="auto"/>
              </w:rPr>
            </w:pPr>
          </w:p>
        </w:tc>
        <w:tc>
          <w:tcPr>
            <w:tcW w:w="74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0" w:type="dxa"/>
            <w:vAlign w:val="bottom"/>
          </w:tcPr>
          <w:p>
            <w:pPr>
              <w:spacing w:after="0"/>
              <w:rPr>
                <w:sz w:val="1"/>
                <w:szCs w:val="1"/>
                <w:color w:val="auto"/>
              </w:rPr>
            </w:pPr>
          </w:p>
        </w:tc>
      </w:tr>
      <w:tr>
        <w:trPr>
          <w:trHeight w:val="205"/>
        </w:trPr>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Selling Securityholder</w:t>
            </w:r>
            <w:r>
              <w:rPr>
                <w:rFonts w:ascii="Times New Roman" w:cs="Times New Roman" w:eastAsia="Times New Roman" w:hAnsi="Times New Roman"/>
                <w:sz w:val="26"/>
                <w:szCs w:val="26"/>
                <w:b w:val="1"/>
                <w:bCs w:val="1"/>
                <w:color w:val="auto"/>
                <w:vertAlign w:val="superscript"/>
              </w:rPr>
              <w:t>1</w:t>
            </w:r>
          </w:p>
        </w:tc>
        <w:tc>
          <w:tcPr>
            <w:tcW w:w="80" w:type="dxa"/>
            <w:vAlign w:val="bottom"/>
            <w:vMerge w:val="restart"/>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1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for Sale</w:t>
            </w: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18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0" w:type="dxa"/>
            <w:vAlign w:val="bottom"/>
          </w:tcPr>
          <w:p>
            <w:pPr>
              <w:spacing w:after="0"/>
              <w:rPr>
                <w:sz w:val="1"/>
                <w:szCs w:val="1"/>
                <w:color w:val="auto"/>
              </w:rPr>
            </w:pPr>
          </w:p>
        </w:tc>
      </w:tr>
      <w:tr>
        <w:trPr>
          <w:trHeight w:val="210"/>
        </w:trPr>
        <w:tc>
          <w:tcPr>
            <w:tcW w:w="2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Hereby</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Hereby</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Logan Properties, LLC</w:t>
            </w:r>
            <w:r>
              <w:rPr>
                <w:rFonts w:ascii="Times New Roman" w:cs="Times New Roman" w:eastAsia="Times New Roman" w:hAnsi="Times New Roman"/>
                <w:sz w:val="25"/>
                <w:szCs w:val="25"/>
                <w:color w:val="auto"/>
                <w:vertAlign w:val="superscript"/>
              </w:rPr>
              <w:t>22</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Jewell James</w:t>
            </w:r>
            <w:r>
              <w:rPr>
                <w:rFonts w:ascii="Times New Roman" w:cs="Times New Roman" w:eastAsia="Times New Roman" w:hAnsi="Times New Roman"/>
                <w:sz w:val="25"/>
                <w:szCs w:val="25"/>
                <w:color w:val="auto"/>
                <w:vertAlign w:val="superscript"/>
              </w:rPr>
              <w:t>23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4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PRK Investments, LLC</w:t>
            </w:r>
            <w:r>
              <w:rPr>
                <w:rFonts w:ascii="Times New Roman" w:cs="Times New Roman" w:eastAsia="Times New Roman" w:hAnsi="Times New Roman"/>
                <w:sz w:val="25"/>
                <w:szCs w:val="25"/>
                <w:color w:val="auto"/>
                <w:vertAlign w:val="superscript"/>
              </w:rPr>
              <w:t>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Rob Shockley</w:t>
            </w:r>
            <w:r>
              <w:rPr>
                <w:rFonts w:ascii="Times New Roman" w:cs="Times New Roman" w:eastAsia="Times New Roman" w:hAnsi="Times New Roman"/>
                <w:sz w:val="25"/>
                <w:szCs w:val="25"/>
                <w:color w:val="auto"/>
                <w:vertAlign w:val="superscript"/>
              </w:rPr>
              <w:t>25</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55,137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24,250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4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Ty Snyder</w:t>
            </w:r>
            <w:r>
              <w:rPr>
                <w:rFonts w:ascii="Times New Roman" w:cs="Times New Roman" w:eastAsia="Times New Roman" w:hAnsi="Times New Roman"/>
                <w:sz w:val="25"/>
                <w:szCs w:val="25"/>
                <w:color w:val="auto"/>
                <w:vertAlign w:val="superscript"/>
              </w:rPr>
              <w:t>26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James Ray Olson</w:t>
            </w:r>
            <w:r>
              <w:rPr>
                <w:rFonts w:ascii="Times New Roman" w:cs="Times New Roman" w:eastAsia="Times New Roman" w:hAnsi="Times New Roman"/>
                <w:sz w:val="25"/>
                <w:szCs w:val="25"/>
                <w:color w:val="auto"/>
                <w:vertAlign w:val="superscript"/>
              </w:rPr>
              <w:t>27</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24,250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4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Steve Majerus</w:t>
            </w:r>
            <w:r>
              <w:rPr>
                <w:rFonts w:ascii="Times New Roman" w:cs="Times New Roman" w:eastAsia="Times New Roman" w:hAnsi="Times New Roman"/>
                <w:sz w:val="25"/>
                <w:szCs w:val="25"/>
                <w:color w:val="auto"/>
                <w:vertAlign w:val="superscript"/>
              </w:rPr>
              <w:t>28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Bradley Chatlin</w:t>
            </w:r>
            <w:r>
              <w:rPr>
                <w:rFonts w:ascii="Times New Roman" w:cs="Times New Roman" w:eastAsia="Times New Roman" w:hAnsi="Times New Roman"/>
                <w:sz w:val="25"/>
                <w:szCs w:val="25"/>
                <w:color w:val="auto"/>
                <w:vertAlign w:val="superscript"/>
              </w:rPr>
              <w:t>29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24,250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4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Darin Ball</w:t>
            </w:r>
            <w:r>
              <w:rPr>
                <w:rFonts w:ascii="Times New Roman" w:cs="Times New Roman" w:eastAsia="Times New Roman" w:hAnsi="Times New Roman"/>
                <w:sz w:val="25"/>
                <w:szCs w:val="25"/>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Jeffrey Ibos</w:t>
            </w:r>
            <w:r>
              <w:rPr>
                <w:rFonts w:ascii="Times New Roman" w:cs="Times New Roman" w:eastAsia="Times New Roman" w:hAnsi="Times New Roman"/>
                <w:sz w:val="25"/>
                <w:szCs w:val="25"/>
                <w:color w:val="auto"/>
                <w:vertAlign w:val="superscript"/>
              </w:rPr>
              <w:t>31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24,250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4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Wendy Foster</w:t>
            </w:r>
            <w:r>
              <w:rPr>
                <w:rFonts w:ascii="Times New Roman" w:cs="Times New Roman" w:eastAsia="Times New Roman" w:hAnsi="Times New Roman"/>
                <w:sz w:val="25"/>
                <w:szCs w:val="25"/>
                <w:color w:val="auto"/>
                <w:vertAlign w:val="superscript"/>
              </w:rPr>
              <w:t>32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167703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77035" cy="15240"/>
                    </a:xfrm>
                    <a:prstGeom prst="rect">
                      <a:avLst/>
                    </a:prstGeom>
                    <a:noFill/>
                  </pic:spPr>
                </pic:pic>
              </a:graphicData>
            </a:graphic>
          </wp:anchor>
        </w:drawing>
      </w:r>
    </w:p>
    <w:p>
      <w:pPr>
        <w:spacing w:after="0" w:line="195" w:lineRule="exact"/>
        <w:rPr>
          <w:sz w:val="20"/>
          <w:szCs w:val="20"/>
          <w:color w:val="auto"/>
        </w:rPr>
      </w:pPr>
    </w:p>
    <w:p>
      <w:pPr>
        <w:ind w:left="300" w:right="20" w:hanging="294"/>
        <w:spacing w:after="0" w:line="190" w:lineRule="auto"/>
        <w:tabs>
          <w:tab w:leader="none" w:pos="300" w:val="left"/>
        </w:tabs>
        <w:numPr>
          <w:ilvl w:val="0"/>
          <w:numId w:val="5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Logan Properties, LLC. John R. Logan is the sole member of Logan Properties, LLC. The address of the principal business office of Logan Properties is 1105 W. Jackson, Tupelo, MS 38804.</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5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Jewell James. The address of the principal business office of Jewell James is P.O. Box 2727, Pearland, TX 77588.</w:t>
      </w:r>
    </w:p>
    <w:p>
      <w:pPr>
        <w:spacing w:after="0" w:line="157" w:lineRule="exact"/>
        <w:rPr>
          <w:rFonts w:ascii="Times New Roman" w:cs="Times New Roman" w:eastAsia="Times New Roman" w:hAnsi="Times New Roman"/>
          <w:sz w:val="26"/>
          <w:szCs w:val="26"/>
          <w:color w:val="auto"/>
          <w:vertAlign w:val="superscript"/>
        </w:rPr>
      </w:pPr>
    </w:p>
    <w:p>
      <w:pPr>
        <w:ind w:left="300" w:hanging="294"/>
        <w:spacing w:after="0" w:line="190" w:lineRule="auto"/>
        <w:tabs>
          <w:tab w:leader="none" w:pos="300" w:val="left"/>
        </w:tabs>
        <w:numPr>
          <w:ilvl w:val="0"/>
          <w:numId w:val="5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PRK Investments, LLC. Richard Pinol and David Kracke are the managing members of PRK Investments, LLC. The address of the principal business office of PRK Investments is 1487 S. David Lane, Boise, ID 83705.</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5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Rob Shockley. The address of the principal business office of Rob Shockley is 1313 S. Watermark Ave., Eagle, ID 83616.</w:t>
      </w:r>
    </w:p>
    <w:p>
      <w:pPr>
        <w:spacing w:after="0" w:line="146" w:lineRule="exact"/>
        <w:rPr>
          <w:rFonts w:ascii="Times New Roman" w:cs="Times New Roman" w:eastAsia="Times New Roman" w:hAnsi="Times New Roman"/>
          <w:sz w:val="26"/>
          <w:szCs w:val="26"/>
          <w:color w:val="auto"/>
          <w:vertAlign w:val="superscript"/>
        </w:rPr>
      </w:pPr>
    </w:p>
    <w:p>
      <w:pPr>
        <w:ind w:left="300" w:hanging="294"/>
        <w:spacing w:after="0" w:line="185" w:lineRule="auto"/>
        <w:tabs>
          <w:tab w:leader="none" w:pos="300" w:val="left"/>
        </w:tabs>
        <w:numPr>
          <w:ilvl w:val="0"/>
          <w:numId w:val="5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Ty Snyder. The address of the principal business office of Ty Snyder is 2855 W. Torana Dr., Meridian, ID 83646.</w:t>
      </w:r>
    </w:p>
    <w:p>
      <w:pPr>
        <w:sectPr>
          <w:pgSz w:w="11900" w:h="16840" w:orient="portrait"/>
          <w:cols w:equalWidth="0" w:num="1">
            <w:col w:w="10580"/>
          </w:cols>
          <w:pgMar w:left="660" w:top="556" w:right="660" w:bottom="224" w:gutter="0" w:footer="0" w:header="0"/>
        </w:sectPr>
      </w:pPr>
    </w:p>
    <w:bookmarkStart w:id="56" w:name="page57"/>
    <w:bookmarkEnd w:id="56"/>
    <w:p>
      <w:pPr>
        <w:ind w:left="300" w:right="20" w:hanging="294"/>
        <w:spacing w:after="0" w:line="190" w:lineRule="auto"/>
        <w:tabs>
          <w:tab w:leader="none" w:pos="300" w:val="left"/>
        </w:tabs>
        <w:numPr>
          <w:ilvl w:val="0"/>
          <w:numId w:val="5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James Ray Olson. The address of the principal business office of James Ray Olson is 5660 E. Franklin Rd., Suite 321, Nampa, ID 83687.</w:t>
      </w:r>
    </w:p>
    <w:p>
      <w:pPr>
        <w:spacing w:after="0" w:line="205" w:lineRule="exact"/>
        <w:rPr>
          <w:rFonts w:ascii="Times New Roman" w:cs="Times New Roman" w:eastAsia="Times New Roman" w:hAnsi="Times New Roman"/>
          <w:sz w:val="26"/>
          <w:szCs w:val="26"/>
          <w:color w:val="auto"/>
          <w:vertAlign w:val="superscript"/>
        </w:rPr>
      </w:pPr>
    </w:p>
    <w:p>
      <w:pPr>
        <w:ind w:left="300" w:hanging="294"/>
        <w:spacing w:after="0" w:line="190" w:lineRule="auto"/>
        <w:tabs>
          <w:tab w:leader="none" w:pos="300" w:val="left"/>
        </w:tabs>
        <w:numPr>
          <w:ilvl w:val="0"/>
          <w:numId w:val="5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Steve Majerus. The address of the principal business office of Steve Majerus is 7737 Camino Sin Puente, Rancho Santa Fe, CA 92607.</w:t>
      </w:r>
    </w:p>
    <w:p>
      <w:pPr>
        <w:spacing w:after="0" w:line="73"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5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shares directly held by Bradley Chatlin. The address of the principal business office of Bradley Chatlin is 2387 N. Stonecrest Place, Eagle, ID 83616.</w:t>
      </w:r>
    </w:p>
    <w:p>
      <w:pPr>
        <w:spacing w:after="0" w:line="146" w:lineRule="exact"/>
        <w:rPr>
          <w:rFonts w:ascii="Times New Roman" w:cs="Times New Roman" w:eastAsia="Times New Roman" w:hAnsi="Times New Roman"/>
          <w:sz w:val="25"/>
          <w:szCs w:val="25"/>
          <w:color w:val="auto"/>
          <w:vertAlign w:val="superscript"/>
        </w:rPr>
      </w:pPr>
    </w:p>
    <w:p>
      <w:pPr>
        <w:ind w:left="300" w:hanging="294"/>
        <w:spacing w:after="0" w:line="185" w:lineRule="auto"/>
        <w:tabs>
          <w:tab w:leader="none" w:pos="300" w:val="left"/>
        </w:tabs>
        <w:numPr>
          <w:ilvl w:val="0"/>
          <w:numId w:val="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Darin Ball. The address of the principal business office of Darin Ball is 2605 S. Arthur St., Spokane, WA 99203.</w:t>
      </w:r>
    </w:p>
    <w:p>
      <w:pPr>
        <w:spacing w:after="0" w:line="147" w:lineRule="exact"/>
        <w:rPr>
          <w:rFonts w:ascii="Times New Roman" w:cs="Times New Roman" w:eastAsia="Times New Roman" w:hAnsi="Times New Roman"/>
          <w:sz w:val="24"/>
          <w:szCs w:val="24"/>
          <w:color w:val="auto"/>
          <w:vertAlign w:val="superscript"/>
        </w:rPr>
      </w:pPr>
    </w:p>
    <w:p>
      <w:pPr>
        <w:ind w:left="300" w:hanging="294"/>
        <w:spacing w:after="0" w:line="185" w:lineRule="auto"/>
        <w:tabs>
          <w:tab w:leader="none" w:pos="300" w:val="left"/>
        </w:tabs>
        <w:numPr>
          <w:ilvl w:val="0"/>
          <w:numId w:val="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Jeffrey Ibos. The address of the principal business office of Jeffrey Ibos is P.O. Box 2084, Covington, LA 70434.</w:t>
      </w:r>
    </w:p>
    <w:p>
      <w:pPr>
        <w:spacing w:after="0" w:line="147" w:lineRule="exact"/>
        <w:rPr>
          <w:rFonts w:ascii="Times New Roman" w:cs="Times New Roman" w:eastAsia="Times New Roman" w:hAnsi="Times New Roman"/>
          <w:sz w:val="24"/>
          <w:szCs w:val="24"/>
          <w:color w:val="auto"/>
          <w:vertAlign w:val="superscript"/>
        </w:rPr>
      </w:pPr>
    </w:p>
    <w:p>
      <w:pPr>
        <w:ind w:left="300" w:hanging="294"/>
        <w:spacing w:after="0" w:line="185" w:lineRule="auto"/>
        <w:tabs>
          <w:tab w:leader="none" w:pos="300" w:val="left"/>
        </w:tabs>
        <w:numPr>
          <w:ilvl w:val="0"/>
          <w:numId w:val="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Wendy Foster. The address of the principal business office of Wendy Foster is 13403 Stockton Creek Rd., Preston, ID 83263.</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8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20" w:type="dxa"/>
            <w:vAlign w:val="bottom"/>
            <w:gridSpan w:val="8"/>
          </w:tcPr>
          <w:p>
            <w:pPr>
              <w:ind w:left="500"/>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8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60" w:type="dxa"/>
            <w:vAlign w:val="bottom"/>
          </w:tcPr>
          <w:p>
            <w:pPr>
              <w:spacing w:after="0"/>
              <w:rPr>
                <w:sz w:val="15"/>
                <w:szCs w:val="15"/>
                <w:color w:val="auto"/>
              </w:rPr>
            </w:pPr>
          </w:p>
        </w:tc>
        <w:tc>
          <w:tcPr>
            <w:tcW w:w="8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60" w:type="dxa"/>
            <w:vAlign w:val="bottom"/>
          </w:tcPr>
          <w:p>
            <w:pPr>
              <w:spacing w:after="0"/>
              <w:rPr>
                <w:sz w:val="15"/>
                <w:szCs w:val="15"/>
                <w:color w:val="auto"/>
              </w:rPr>
            </w:pPr>
          </w:p>
        </w:tc>
        <w:tc>
          <w:tcPr>
            <w:tcW w:w="6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Percent</w:t>
            </w:r>
          </w:p>
        </w:tc>
        <w:tc>
          <w:tcPr>
            <w:tcW w:w="180" w:type="dxa"/>
            <w:vAlign w:val="bottom"/>
          </w:tcPr>
          <w:p>
            <w:pPr>
              <w:spacing w:after="0"/>
              <w:rPr>
                <w:sz w:val="15"/>
                <w:szCs w:val="15"/>
                <w:color w:val="auto"/>
              </w:rPr>
            </w:pPr>
          </w:p>
        </w:tc>
        <w:tc>
          <w:tcPr>
            <w:tcW w:w="8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60" w:type="dxa"/>
            <w:vAlign w:val="bottom"/>
          </w:tcPr>
          <w:p>
            <w:pPr>
              <w:spacing w:after="0"/>
              <w:rPr>
                <w:sz w:val="15"/>
                <w:szCs w:val="15"/>
                <w:color w:val="auto"/>
              </w:rPr>
            </w:pPr>
          </w:p>
        </w:tc>
        <w:tc>
          <w:tcPr>
            <w:tcW w:w="7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180" w:type="dxa"/>
            <w:vAlign w:val="bottom"/>
          </w:tcPr>
          <w:p>
            <w:pPr>
              <w:spacing w:after="0"/>
              <w:rPr>
                <w:sz w:val="15"/>
                <w:szCs w:val="15"/>
                <w:color w:val="auto"/>
              </w:rPr>
            </w:pPr>
          </w:p>
        </w:tc>
        <w:tc>
          <w:tcPr>
            <w:tcW w:w="98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7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3"/>
              </w:rPr>
              <w:t>Owned</w:t>
            </w:r>
          </w:p>
        </w:tc>
        <w:tc>
          <w:tcPr>
            <w:tcW w:w="18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Registered</w:t>
            </w:r>
          </w:p>
        </w:tc>
        <w:tc>
          <w:tcPr>
            <w:tcW w:w="160" w:type="dxa"/>
            <w:vAlign w:val="bottom"/>
          </w:tcPr>
          <w:p>
            <w:pPr>
              <w:spacing w:after="0"/>
              <w:rPr>
                <w:sz w:val="15"/>
                <w:szCs w:val="15"/>
                <w:color w:val="auto"/>
              </w:rPr>
            </w:pPr>
          </w:p>
        </w:tc>
        <w:tc>
          <w:tcPr>
            <w:tcW w:w="8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60" w:type="dxa"/>
            <w:vAlign w:val="bottom"/>
          </w:tcPr>
          <w:p>
            <w:pPr>
              <w:spacing w:after="0"/>
              <w:rPr>
                <w:sz w:val="15"/>
                <w:szCs w:val="15"/>
                <w:color w:val="auto"/>
              </w:rPr>
            </w:pPr>
          </w:p>
        </w:tc>
        <w:tc>
          <w:tcPr>
            <w:tcW w:w="6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3"/>
              </w:rPr>
              <w:t>Owned</w:t>
            </w:r>
          </w:p>
        </w:tc>
        <w:tc>
          <w:tcPr>
            <w:tcW w:w="180" w:type="dxa"/>
            <w:vAlign w:val="bottom"/>
          </w:tcPr>
          <w:p>
            <w:pPr>
              <w:spacing w:after="0"/>
              <w:rPr>
                <w:sz w:val="15"/>
                <w:szCs w:val="15"/>
                <w:color w:val="auto"/>
              </w:rPr>
            </w:pPr>
          </w:p>
        </w:tc>
        <w:tc>
          <w:tcPr>
            <w:tcW w:w="8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60" w:type="dxa"/>
            <w:vAlign w:val="bottom"/>
          </w:tcPr>
          <w:p>
            <w:pPr>
              <w:spacing w:after="0"/>
              <w:rPr>
                <w:sz w:val="15"/>
                <w:szCs w:val="15"/>
                <w:color w:val="auto"/>
              </w:rPr>
            </w:pPr>
          </w:p>
        </w:tc>
        <w:tc>
          <w:tcPr>
            <w:tcW w:w="7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Registered</w:t>
            </w:r>
          </w:p>
        </w:tc>
        <w:tc>
          <w:tcPr>
            <w:tcW w:w="180" w:type="dxa"/>
            <w:vAlign w:val="bottom"/>
          </w:tcPr>
          <w:p>
            <w:pPr>
              <w:spacing w:after="0"/>
              <w:rPr>
                <w:sz w:val="15"/>
                <w:szCs w:val="15"/>
                <w:color w:val="auto"/>
              </w:rPr>
            </w:pPr>
          </w:p>
        </w:tc>
        <w:tc>
          <w:tcPr>
            <w:tcW w:w="98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7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0" w:type="dxa"/>
            <w:vAlign w:val="bottom"/>
          </w:tcPr>
          <w:p>
            <w:pPr>
              <w:spacing w:after="0"/>
              <w:rPr>
                <w:sz w:val="1"/>
                <w:szCs w:val="1"/>
                <w:color w:val="auto"/>
              </w:rPr>
            </w:pPr>
          </w:p>
        </w:tc>
      </w:tr>
      <w:tr>
        <w:trPr>
          <w:trHeight w:val="205"/>
        </w:trPr>
        <w:tc>
          <w:tcPr>
            <w:tcW w:w="2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Selling Securityholder</w:t>
            </w:r>
            <w:r>
              <w:rPr>
                <w:rFonts w:ascii="Times New Roman" w:cs="Times New Roman" w:eastAsia="Times New Roman" w:hAnsi="Times New Roman"/>
                <w:sz w:val="26"/>
                <w:szCs w:val="26"/>
                <w:b w:val="1"/>
                <w:bCs w:val="1"/>
                <w:color w:val="auto"/>
                <w:vertAlign w:val="superscript"/>
              </w:rPr>
              <w:t>1</w:t>
            </w:r>
          </w:p>
        </w:tc>
        <w:tc>
          <w:tcPr>
            <w:tcW w:w="80" w:type="dxa"/>
            <w:vAlign w:val="bottom"/>
            <w:vMerge w:val="restart"/>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Prior to</w:t>
            </w:r>
          </w:p>
        </w:tc>
        <w:tc>
          <w:tcPr>
            <w:tcW w:w="1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1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6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18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Hereby</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Hereby</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Charles Price and Judy Price JT Ten</w:t>
            </w:r>
            <w:r>
              <w:rPr>
                <w:rFonts w:ascii="Times New Roman" w:cs="Times New Roman" w:eastAsia="Times New Roman" w:hAnsi="Times New Roman"/>
                <w:sz w:val="25"/>
                <w:szCs w:val="25"/>
                <w:color w:val="auto"/>
                <w:vertAlign w:val="superscript"/>
              </w:rPr>
              <w:t>33</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Steven Lloyd</w:t>
            </w:r>
            <w:r>
              <w:rPr>
                <w:rFonts w:ascii="Times New Roman" w:cs="Times New Roman" w:eastAsia="Times New Roman" w:hAnsi="Times New Roman"/>
                <w:sz w:val="25"/>
                <w:szCs w:val="25"/>
                <w:color w:val="auto"/>
                <w:vertAlign w:val="superscript"/>
              </w:rPr>
              <w:t>34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18,093</w:t>
            </w:r>
          </w:p>
        </w:tc>
        <w:tc>
          <w:tcPr>
            <w:tcW w:w="16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300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Kristopher Townsend &amp; Amanda Townsend</w:t>
            </w: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00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JT Ten</w:t>
            </w:r>
            <w:r>
              <w:rPr>
                <w:rFonts w:ascii="Times New Roman" w:cs="Times New Roman" w:eastAsia="Times New Roman" w:hAnsi="Times New Roman"/>
                <w:sz w:val="26"/>
                <w:szCs w:val="26"/>
                <w:color w:val="auto"/>
                <w:vertAlign w:val="superscript"/>
              </w:rPr>
              <w:t>35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18,093</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DDJ Investments, LLC</w:t>
            </w:r>
            <w:r>
              <w:rPr>
                <w:rFonts w:ascii="Times New Roman" w:cs="Times New Roman" w:eastAsia="Times New Roman" w:hAnsi="Times New Roman"/>
                <w:sz w:val="25"/>
                <w:szCs w:val="25"/>
                <w:color w:val="auto"/>
                <w:vertAlign w:val="superscript"/>
              </w:rPr>
              <w:t>36</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18,093</w:t>
            </w:r>
          </w:p>
        </w:tc>
        <w:tc>
          <w:tcPr>
            <w:tcW w:w="16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Greg Hardee</w:t>
            </w:r>
            <w:r>
              <w:rPr>
                <w:rFonts w:ascii="Times New Roman" w:cs="Times New Roman" w:eastAsia="Times New Roman" w:hAnsi="Times New Roman"/>
                <w:sz w:val="25"/>
                <w:szCs w:val="25"/>
                <w:color w:val="auto"/>
                <w:vertAlign w:val="superscript"/>
              </w:rPr>
              <w:t>37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Scott Thompson</w:t>
            </w:r>
            <w:r>
              <w:rPr>
                <w:rFonts w:ascii="Times New Roman" w:cs="Times New Roman" w:eastAsia="Times New Roman" w:hAnsi="Times New Roman"/>
                <w:sz w:val="25"/>
                <w:szCs w:val="25"/>
                <w:color w:val="auto"/>
                <w:vertAlign w:val="superscript"/>
              </w:rPr>
              <w:t>38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14,475</w:t>
            </w:r>
          </w:p>
        </w:tc>
        <w:tc>
          <w:tcPr>
            <w:tcW w:w="16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300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John R. Stegner &amp; Laurie K.E. Stegner JT</w:t>
            </w: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00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Ten</w:t>
            </w:r>
            <w:r>
              <w:rPr>
                <w:rFonts w:ascii="Times New Roman" w:cs="Times New Roman" w:eastAsia="Times New Roman" w:hAnsi="Times New Roman"/>
                <w:sz w:val="26"/>
                <w:szCs w:val="26"/>
                <w:color w:val="auto"/>
                <w:vertAlign w:val="superscript"/>
              </w:rPr>
              <w:t>39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13,268</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Payette Investments, LLC</w:t>
            </w:r>
            <w:r>
              <w:rPr>
                <w:rFonts w:ascii="Times New Roman" w:cs="Times New Roman" w:eastAsia="Times New Roman" w:hAnsi="Times New Roman"/>
                <w:sz w:val="25"/>
                <w:szCs w:val="25"/>
                <w:color w:val="auto"/>
                <w:vertAlign w:val="superscript"/>
              </w:rPr>
              <w:t>40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16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Scott C. Lamm</w:t>
            </w:r>
            <w:r>
              <w:rPr>
                <w:rFonts w:ascii="Times New Roman" w:cs="Times New Roman" w:eastAsia="Times New Roman" w:hAnsi="Times New Roman"/>
                <w:sz w:val="25"/>
                <w:szCs w:val="25"/>
                <w:color w:val="auto"/>
                <w:vertAlign w:val="superscript"/>
              </w:rPr>
              <w:t>41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Darren Davies</w:t>
            </w:r>
            <w:r>
              <w:rPr>
                <w:rFonts w:ascii="Times New Roman" w:cs="Times New Roman" w:eastAsia="Times New Roman" w:hAnsi="Times New Roman"/>
                <w:sz w:val="25"/>
                <w:szCs w:val="25"/>
                <w:color w:val="auto"/>
                <w:vertAlign w:val="superscript"/>
              </w:rPr>
              <w:t>42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16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Hemanth Kumar</w:t>
            </w:r>
            <w:r>
              <w:rPr>
                <w:rFonts w:ascii="Times New Roman" w:cs="Times New Roman" w:eastAsia="Times New Roman" w:hAnsi="Times New Roman"/>
                <w:sz w:val="25"/>
                <w:szCs w:val="25"/>
                <w:color w:val="auto"/>
                <w:vertAlign w:val="superscript"/>
              </w:rPr>
              <w:t>43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167703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77035" cy="15240"/>
                    </a:xfrm>
                    <a:prstGeom prst="rect">
                      <a:avLst/>
                    </a:prstGeom>
                    <a:noFill/>
                  </pic:spPr>
                </pic:pic>
              </a:graphicData>
            </a:graphic>
          </wp:anchor>
        </w:drawing>
      </w:r>
    </w:p>
    <w:p>
      <w:pPr>
        <w:spacing w:after="0" w:line="195" w:lineRule="exact"/>
        <w:rPr>
          <w:sz w:val="20"/>
          <w:szCs w:val="20"/>
          <w:color w:val="auto"/>
        </w:rPr>
      </w:pPr>
    </w:p>
    <w:p>
      <w:pPr>
        <w:ind w:left="300" w:right="20" w:hanging="294"/>
        <w:spacing w:after="0" w:line="190" w:lineRule="auto"/>
        <w:tabs>
          <w:tab w:leader="none" w:pos="300" w:val="left"/>
        </w:tabs>
        <w:numPr>
          <w:ilvl w:val="0"/>
          <w:numId w:val="5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Charles Price and Judy Price JT Ten. The address of the principal business office of Charles Price and Judy Price JT Ten is 5001 W. Tia Inez St., Eagle, ID 83616.</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5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Steven Lloyd. The address of the principal business office of Steven Lloyd is 3505 N. Llama Way, Meridian, ID 83646.</w:t>
      </w:r>
    </w:p>
    <w:p>
      <w:pPr>
        <w:spacing w:after="0" w:line="157" w:lineRule="exact"/>
        <w:rPr>
          <w:rFonts w:ascii="Times New Roman" w:cs="Times New Roman" w:eastAsia="Times New Roman" w:hAnsi="Times New Roman"/>
          <w:sz w:val="26"/>
          <w:szCs w:val="26"/>
          <w:color w:val="auto"/>
          <w:vertAlign w:val="superscript"/>
        </w:rPr>
      </w:pPr>
    </w:p>
    <w:p>
      <w:pPr>
        <w:ind w:left="300" w:right="20" w:hanging="294"/>
        <w:spacing w:after="0" w:line="190" w:lineRule="auto"/>
        <w:tabs>
          <w:tab w:leader="none" w:pos="300" w:val="left"/>
        </w:tabs>
        <w:numPr>
          <w:ilvl w:val="0"/>
          <w:numId w:val="5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Kristopher Townsend &amp; Amanda Townsend JT Ten. The address of the principal business office of Kristopher Townsend &amp; Amanda Townsend JT Ten is 3011 N. Merlot Place, Star, ID 83669.</w:t>
      </w:r>
    </w:p>
    <w:p>
      <w:pPr>
        <w:spacing w:after="0" w:line="157" w:lineRule="exact"/>
        <w:rPr>
          <w:rFonts w:ascii="Times New Roman" w:cs="Times New Roman" w:eastAsia="Times New Roman" w:hAnsi="Times New Roman"/>
          <w:sz w:val="26"/>
          <w:szCs w:val="26"/>
          <w:color w:val="auto"/>
          <w:vertAlign w:val="superscript"/>
        </w:rPr>
      </w:pPr>
    </w:p>
    <w:p>
      <w:pPr>
        <w:ind w:left="300" w:hanging="294"/>
        <w:spacing w:after="0" w:line="190" w:lineRule="auto"/>
        <w:tabs>
          <w:tab w:leader="none" w:pos="300" w:val="left"/>
        </w:tabs>
        <w:numPr>
          <w:ilvl w:val="0"/>
          <w:numId w:val="5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DDJ Investments, LLC. The address of the principal business office of DDJ Investments, LLC is 1487 S. David Lane, Boise, ID 83705.</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5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Greg Hardee. The address of the principal business office of Greg Hardee is 3371 E. Heartleaf Dr., Boise, ID 83716.</w:t>
      </w:r>
    </w:p>
    <w:p>
      <w:pPr>
        <w:spacing w:after="0" w:line="146" w:lineRule="exact"/>
        <w:rPr>
          <w:rFonts w:ascii="Times New Roman" w:cs="Times New Roman" w:eastAsia="Times New Roman" w:hAnsi="Times New Roman"/>
          <w:sz w:val="26"/>
          <w:szCs w:val="26"/>
          <w:color w:val="auto"/>
          <w:vertAlign w:val="superscript"/>
        </w:rPr>
      </w:pPr>
    </w:p>
    <w:p>
      <w:pPr>
        <w:ind w:left="300" w:hanging="294"/>
        <w:spacing w:after="0" w:line="185" w:lineRule="auto"/>
        <w:tabs>
          <w:tab w:leader="none" w:pos="300" w:val="left"/>
        </w:tabs>
        <w:numPr>
          <w:ilvl w:val="0"/>
          <w:numId w:val="5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Scott Thompson. The address of the principal business office of Scott Thompson is 457 West Two Rivers Dr., Eagle ID 83616.</w:t>
      </w:r>
    </w:p>
    <w:p>
      <w:pPr>
        <w:spacing w:after="0" w:line="157" w:lineRule="exact"/>
        <w:rPr>
          <w:rFonts w:ascii="Times New Roman" w:cs="Times New Roman" w:eastAsia="Times New Roman" w:hAnsi="Times New Roman"/>
          <w:sz w:val="24"/>
          <w:szCs w:val="24"/>
          <w:color w:val="auto"/>
          <w:vertAlign w:val="superscript"/>
        </w:rPr>
      </w:pPr>
    </w:p>
    <w:p>
      <w:pPr>
        <w:ind w:left="300" w:right="20" w:hanging="294"/>
        <w:spacing w:after="0" w:line="190" w:lineRule="auto"/>
        <w:tabs>
          <w:tab w:leader="none" w:pos="300" w:val="left"/>
        </w:tabs>
        <w:numPr>
          <w:ilvl w:val="0"/>
          <w:numId w:val="5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John R. Stegner &amp; Laurie K.E. Stegner JT Ten. The address of the principal business office of John R. Stegner &amp; Laurie K.E. Stegner JT Ten is 420 W. Main St., Suite 403, Boise, ID 83702.</w:t>
      </w:r>
    </w:p>
    <w:p>
      <w:pPr>
        <w:spacing w:after="0" w:line="157" w:lineRule="exact"/>
        <w:rPr>
          <w:rFonts w:ascii="Times New Roman" w:cs="Times New Roman" w:eastAsia="Times New Roman" w:hAnsi="Times New Roman"/>
          <w:sz w:val="26"/>
          <w:szCs w:val="26"/>
          <w:color w:val="auto"/>
          <w:vertAlign w:val="superscript"/>
        </w:rPr>
      </w:pPr>
    </w:p>
    <w:p>
      <w:pPr>
        <w:ind w:left="300" w:right="20" w:hanging="294"/>
        <w:spacing w:after="0" w:line="212" w:lineRule="auto"/>
        <w:tabs>
          <w:tab w:leader="none" w:pos="300" w:val="left"/>
        </w:tabs>
        <w:numPr>
          <w:ilvl w:val="0"/>
          <w:numId w:val="5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Payette Investments, LLC. Matthew T. Moore and Donal C. Christensen are the controlling members of Payette Investments, LLC. The address of the principal business office of Payette Investments LLC is 202 N.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 Suite 300, Boise, ID 83702.</w:t>
      </w:r>
    </w:p>
    <w:p>
      <w:pPr>
        <w:spacing w:after="0" w:line="1" w:lineRule="exact"/>
        <w:rPr>
          <w:rFonts w:ascii="Times New Roman" w:cs="Times New Roman" w:eastAsia="Times New Roman" w:hAnsi="Times New Roman"/>
          <w:sz w:val="26"/>
          <w:szCs w:val="26"/>
          <w:color w:val="auto"/>
          <w:vertAlign w:val="superscript"/>
        </w:rPr>
      </w:pPr>
    </w:p>
    <w:p>
      <w:pPr>
        <w:ind w:left="300" w:hanging="294"/>
        <w:spacing w:after="0" w:line="200" w:lineRule="auto"/>
        <w:tabs>
          <w:tab w:leader="none" w:pos="300" w:val="left"/>
        </w:tabs>
        <w:numPr>
          <w:ilvl w:val="0"/>
          <w:numId w:val="5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Scott C. Lamm. The address of the principal business office of Scott C. Lamm is 1775 W. State St. #222, Boise, ID 83702.</w:t>
      </w:r>
    </w:p>
    <w:p>
      <w:pPr>
        <w:spacing w:after="0" w:line="146" w:lineRule="exact"/>
        <w:rPr>
          <w:rFonts w:ascii="Times New Roman" w:cs="Times New Roman" w:eastAsia="Times New Roman" w:hAnsi="Times New Roman"/>
          <w:sz w:val="26"/>
          <w:szCs w:val="26"/>
          <w:color w:val="auto"/>
          <w:vertAlign w:val="superscript"/>
        </w:rPr>
      </w:pPr>
    </w:p>
    <w:p>
      <w:pPr>
        <w:ind w:left="300" w:hanging="294"/>
        <w:spacing w:after="0" w:line="185" w:lineRule="auto"/>
        <w:tabs>
          <w:tab w:leader="none" w:pos="300" w:val="left"/>
        </w:tabs>
        <w:numPr>
          <w:ilvl w:val="0"/>
          <w:numId w:val="5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Darren Davies. The address of the principal business office of Darren Davies is 3704 S. Riva Ridge Way, Boise, ID 83709.</w:t>
      </w:r>
    </w:p>
    <w:p>
      <w:pPr>
        <w:spacing w:after="0" w:line="157" w:lineRule="exact"/>
        <w:rPr>
          <w:rFonts w:ascii="Times New Roman" w:cs="Times New Roman" w:eastAsia="Times New Roman" w:hAnsi="Times New Roman"/>
          <w:sz w:val="24"/>
          <w:szCs w:val="24"/>
          <w:color w:val="auto"/>
          <w:vertAlign w:val="superscript"/>
        </w:rPr>
      </w:pPr>
    </w:p>
    <w:p>
      <w:pPr>
        <w:ind w:left="300" w:right="40" w:hanging="294"/>
        <w:spacing w:after="0" w:line="190" w:lineRule="auto"/>
        <w:tabs>
          <w:tab w:leader="none" w:pos="300" w:val="left"/>
        </w:tabs>
        <w:numPr>
          <w:ilvl w:val="0"/>
          <w:numId w:val="5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Hemanth Kumar. The address of the principal business office of Hemanth Kumar is 2644 Rue Montpellier Ave, Henderson, NV 89044.</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4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gridSpan w:val="9"/>
          </w:tcPr>
          <w:p>
            <w:pPr>
              <w:ind w:left="480"/>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4"/>
              </w:rPr>
              <w:t>Beneficially</w:t>
            </w:r>
          </w:p>
        </w:tc>
        <w:tc>
          <w:tcPr>
            <w:tcW w:w="18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960" w:type="dxa"/>
            <w:vAlign w:val="bottom"/>
            <w:gridSpan w:val="2"/>
          </w:tcPr>
          <w:p>
            <w:pPr>
              <w:jc w:val="center"/>
              <w:ind w:left="102"/>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80" w:type="dxa"/>
            <w:vAlign w:val="bottom"/>
          </w:tcPr>
          <w:p>
            <w:pPr>
              <w:spacing w:after="0"/>
              <w:rPr>
                <w:sz w:val="15"/>
                <w:szCs w:val="15"/>
                <w:color w:val="auto"/>
              </w:rPr>
            </w:pPr>
          </w:p>
        </w:tc>
        <w:tc>
          <w:tcPr>
            <w:tcW w:w="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2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80" w:type="dxa"/>
            <w:vAlign w:val="bottom"/>
          </w:tcPr>
          <w:p>
            <w:pPr>
              <w:spacing w:after="0"/>
              <w:rPr>
                <w:sz w:val="15"/>
                <w:szCs w:val="15"/>
                <w:color w:val="auto"/>
              </w:rPr>
            </w:pPr>
          </w:p>
        </w:tc>
        <w:tc>
          <w:tcPr>
            <w:tcW w:w="80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880" w:type="dxa"/>
            <w:vAlign w:val="bottom"/>
            <w:gridSpan w:val="2"/>
          </w:tcPr>
          <w:p>
            <w:pPr>
              <w:jc w:val="center"/>
              <w:ind w:left="22"/>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200" w:type="dxa"/>
            <w:vAlign w:val="bottom"/>
          </w:tcPr>
          <w:p>
            <w:pPr>
              <w:spacing w:after="0"/>
              <w:rPr>
                <w:sz w:val="15"/>
                <w:szCs w:val="15"/>
                <w:color w:val="auto"/>
              </w:rPr>
            </w:pPr>
          </w:p>
        </w:tc>
        <w:tc>
          <w:tcPr>
            <w:tcW w:w="7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5"/>
              </w:rPr>
              <w:t>Percent</w:t>
            </w: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8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Registered</w:t>
            </w:r>
          </w:p>
        </w:tc>
        <w:tc>
          <w:tcPr>
            <w:tcW w:w="18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80" w:type="dxa"/>
            <w:vAlign w:val="bottom"/>
          </w:tcPr>
          <w:p>
            <w:pPr>
              <w:spacing w:after="0"/>
              <w:rPr>
                <w:sz w:val="15"/>
                <w:szCs w:val="15"/>
                <w:color w:val="auto"/>
              </w:rPr>
            </w:pPr>
          </w:p>
        </w:tc>
        <w:tc>
          <w:tcPr>
            <w:tcW w:w="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980" w:type="dxa"/>
            <w:vAlign w:val="bottom"/>
            <w:gridSpan w:val="3"/>
          </w:tcPr>
          <w:p>
            <w:pPr>
              <w:jc w:val="center"/>
              <w:ind w:left="22"/>
              <w:spacing w:after="0" w:line="180" w:lineRule="exact"/>
              <w:rPr>
                <w:sz w:val="20"/>
                <w:szCs w:val="20"/>
                <w:color w:val="auto"/>
              </w:rPr>
            </w:pPr>
            <w:r>
              <w:rPr>
                <w:rFonts w:ascii="Times New Roman" w:cs="Times New Roman" w:eastAsia="Times New Roman" w:hAnsi="Times New Roman"/>
                <w:sz w:val="16"/>
                <w:szCs w:val="16"/>
                <w:b w:val="1"/>
                <w:bCs w:val="1"/>
                <w:color w:val="auto"/>
                <w:w w:val="98"/>
              </w:rPr>
              <w:t>Registered</w:t>
            </w:r>
          </w:p>
        </w:tc>
        <w:tc>
          <w:tcPr>
            <w:tcW w:w="1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7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0" w:type="dxa"/>
            <w:vAlign w:val="bottom"/>
          </w:tcPr>
          <w:p>
            <w:pPr>
              <w:spacing w:after="0"/>
              <w:rPr>
                <w:sz w:val="1"/>
                <w:szCs w:val="1"/>
                <w:color w:val="auto"/>
              </w:rPr>
            </w:pPr>
          </w:p>
        </w:tc>
      </w:tr>
      <w:tr>
        <w:trPr>
          <w:trHeight w:val="205"/>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Selling Securityholder</w:t>
            </w:r>
            <w:r>
              <w:rPr>
                <w:rFonts w:ascii="Times New Roman" w:cs="Times New Roman" w:eastAsia="Times New Roman" w:hAnsi="Times New Roman"/>
                <w:sz w:val="26"/>
                <w:szCs w:val="26"/>
                <w:b w:val="1"/>
                <w:bCs w:val="1"/>
                <w:color w:val="auto"/>
                <w:vertAlign w:val="superscript"/>
              </w:rPr>
              <w:t>1</w:t>
            </w:r>
          </w:p>
        </w:tc>
        <w:tc>
          <w:tcPr>
            <w:tcW w:w="80" w:type="dxa"/>
            <w:vAlign w:val="bottom"/>
            <w:vMerge w:val="restart"/>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1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2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80" w:type="dxa"/>
            <w:vAlign w:val="bottom"/>
          </w:tcPr>
          <w:p>
            <w:pPr>
              <w:spacing w:after="0"/>
              <w:rPr>
                <w:sz w:val="17"/>
                <w:szCs w:val="17"/>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200" w:type="dxa"/>
            <w:vAlign w:val="bottom"/>
          </w:tcPr>
          <w:p>
            <w:pPr>
              <w:spacing w:after="0"/>
              <w:rPr>
                <w:sz w:val="17"/>
                <w:szCs w:val="17"/>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Hereby</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Hereby</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Clark Investments, LLC</w:t>
            </w:r>
            <w:r>
              <w:rPr>
                <w:rFonts w:ascii="Times New Roman" w:cs="Times New Roman" w:eastAsia="Times New Roman" w:hAnsi="Times New Roman"/>
                <w:sz w:val="25"/>
                <w:szCs w:val="25"/>
                <w:color w:val="auto"/>
                <w:vertAlign w:val="superscript"/>
              </w:rPr>
              <w:t>44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48"/>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Lance Churchill</w:t>
            </w:r>
            <w:r>
              <w:rPr>
                <w:rFonts w:ascii="Times New Roman" w:cs="Times New Roman" w:eastAsia="Times New Roman" w:hAnsi="Times New Roman"/>
                <w:sz w:val="26"/>
                <w:szCs w:val="26"/>
                <w:color w:val="auto"/>
                <w:vertAlign w:val="superscript"/>
              </w:rPr>
              <w:t>45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180" w:type="dxa"/>
            <w:vAlign w:val="bottom"/>
          </w:tcPr>
          <w:p>
            <w:pPr>
              <w:spacing w:after="0"/>
              <w:rPr>
                <w:sz w:val="24"/>
                <w:szCs w:val="24"/>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24"/>
                <w:szCs w:val="24"/>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24"/>
                <w:szCs w:val="24"/>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24"/>
                <w:szCs w:val="24"/>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24"/>
                <w:szCs w:val="24"/>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ectPr>
          <w:pgSz w:w="11900" w:h="16840" w:orient="portrait"/>
          <w:cols w:equalWidth="0" w:num="1">
            <w:col w:w="10580"/>
          </w:cols>
          <w:pgMar w:left="660" w:top="557" w:right="660" w:bottom="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and Valynn Price</w:t>
            </w:r>
            <w:r>
              <w:rPr>
                <w:rFonts w:ascii="Times New Roman" w:cs="Times New Roman" w:eastAsia="Times New Roman" w:hAnsi="Times New Roman"/>
                <w:sz w:val="26"/>
                <w:szCs w:val="26"/>
                <w:color w:val="auto"/>
                <w:vertAlign w:val="superscript"/>
              </w:rPr>
              <w:t>46</w:t>
            </w:r>
          </w:p>
        </w:tc>
        <w:tc>
          <w:tcPr>
            <w:tcW w:w="122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12,062</w:t>
            </w:r>
          </w:p>
        </w:tc>
        <w:tc>
          <w:tcPr>
            <w:tcW w:w="116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12,062</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0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Luke Nemec</w:t>
            </w:r>
            <w:r>
              <w:rPr>
                <w:rFonts w:ascii="Times New Roman" w:cs="Times New Roman" w:eastAsia="Times New Roman" w:hAnsi="Times New Roman"/>
                <w:sz w:val="25"/>
                <w:szCs w:val="25"/>
                <w:color w:val="auto"/>
                <w:vertAlign w:val="superscript"/>
              </w:rPr>
              <w:t>47</w:t>
            </w:r>
          </w:p>
        </w:tc>
        <w:tc>
          <w:tcPr>
            <w:tcW w:w="12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12,062</w:t>
            </w:r>
          </w:p>
        </w:tc>
        <w:tc>
          <w:tcPr>
            <w:tcW w:w="116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12,062</w:t>
            </w:r>
          </w:p>
        </w:tc>
        <w:tc>
          <w:tcPr>
            <w:tcW w:w="8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Jerry Lee Miles</w:t>
            </w:r>
            <w:r>
              <w:rPr>
                <w:rFonts w:ascii="Times New Roman" w:cs="Times New Roman" w:eastAsia="Times New Roman" w:hAnsi="Times New Roman"/>
                <w:sz w:val="25"/>
                <w:szCs w:val="25"/>
                <w:color w:val="auto"/>
                <w:vertAlign w:val="superscript"/>
              </w:rPr>
              <w:t>48</w:t>
            </w:r>
          </w:p>
        </w:tc>
        <w:tc>
          <w:tcPr>
            <w:tcW w:w="122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12,062</w:t>
            </w:r>
          </w:p>
        </w:tc>
        <w:tc>
          <w:tcPr>
            <w:tcW w:w="116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12,062</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0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Timothy Smith &amp; Molly Smith JT Ten</w:t>
            </w:r>
            <w:r>
              <w:rPr>
                <w:rFonts w:ascii="Times New Roman" w:cs="Times New Roman" w:eastAsia="Times New Roman" w:hAnsi="Times New Roman"/>
                <w:sz w:val="25"/>
                <w:szCs w:val="25"/>
                <w:color w:val="auto"/>
                <w:vertAlign w:val="superscript"/>
              </w:rPr>
              <w:t>49</w:t>
            </w:r>
          </w:p>
        </w:tc>
        <w:tc>
          <w:tcPr>
            <w:tcW w:w="12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9,650</w:t>
            </w:r>
          </w:p>
        </w:tc>
        <w:tc>
          <w:tcPr>
            <w:tcW w:w="116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9,650</w:t>
            </w:r>
          </w:p>
        </w:tc>
        <w:tc>
          <w:tcPr>
            <w:tcW w:w="8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The Clausen Family Trust</w:t>
            </w:r>
            <w:r>
              <w:rPr>
                <w:rFonts w:ascii="Times New Roman" w:cs="Times New Roman" w:eastAsia="Times New Roman" w:hAnsi="Times New Roman"/>
                <w:sz w:val="25"/>
                <w:szCs w:val="25"/>
                <w:color w:val="auto"/>
                <w:vertAlign w:val="superscript"/>
              </w:rPr>
              <w:t>50</w:t>
            </w:r>
          </w:p>
        </w:tc>
        <w:tc>
          <w:tcPr>
            <w:tcW w:w="122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8,443</w:t>
            </w:r>
          </w:p>
        </w:tc>
        <w:tc>
          <w:tcPr>
            <w:tcW w:w="116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8,443</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0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Tina Marie Slippy</w:t>
            </w:r>
            <w:r>
              <w:rPr>
                <w:rFonts w:ascii="Times New Roman" w:cs="Times New Roman" w:eastAsia="Times New Roman" w:hAnsi="Times New Roman"/>
                <w:sz w:val="25"/>
                <w:szCs w:val="25"/>
                <w:color w:val="auto"/>
                <w:vertAlign w:val="superscript"/>
              </w:rPr>
              <w:t>51</w:t>
            </w:r>
          </w:p>
        </w:tc>
        <w:tc>
          <w:tcPr>
            <w:tcW w:w="12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7,237</w:t>
            </w:r>
          </w:p>
        </w:tc>
        <w:tc>
          <w:tcPr>
            <w:tcW w:w="116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7,237</w:t>
            </w:r>
          </w:p>
        </w:tc>
        <w:tc>
          <w:tcPr>
            <w:tcW w:w="8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James Metcalf</w:t>
            </w:r>
            <w:r>
              <w:rPr>
                <w:rFonts w:ascii="Times New Roman" w:cs="Times New Roman" w:eastAsia="Times New Roman" w:hAnsi="Times New Roman"/>
                <w:sz w:val="25"/>
                <w:szCs w:val="25"/>
                <w:color w:val="auto"/>
                <w:vertAlign w:val="superscript"/>
              </w:rPr>
              <w:t>52</w:t>
            </w:r>
          </w:p>
        </w:tc>
        <w:tc>
          <w:tcPr>
            <w:tcW w:w="122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11,971</w:t>
            </w:r>
          </w:p>
        </w:tc>
        <w:tc>
          <w:tcPr>
            <w:tcW w:w="116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7,237</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0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Gary Allen</w:t>
            </w:r>
            <w:r>
              <w:rPr>
                <w:rFonts w:ascii="Times New Roman" w:cs="Times New Roman" w:eastAsia="Times New Roman" w:hAnsi="Times New Roman"/>
                <w:sz w:val="25"/>
                <w:szCs w:val="25"/>
                <w:color w:val="auto"/>
                <w:vertAlign w:val="superscript"/>
              </w:rPr>
              <w:t>53</w:t>
            </w:r>
          </w:p>
        </w:tc>
        <w:tc>
          <w:tcPr>
            <w:tcW w:w="12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6,634</w:t>
            </w:r>
          </w:p>
        </w:tc>
        <w:tc>
          <w:tcPr>
            <w:tcW w:w="116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6,634</w:t>
            </w:r>
          </w:p>
        </w:tc>
        <w:tc>
          <w:tcPr>
            <w:tcW w:w="8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Eric E. Kulbe</w:t>
            </w:r>
            <w:r>
              <w:rPr>
                <w:rFonts w:ascii="Times New Roman" w:cs="Times New Roman" w:eastAsia="Times New Roman" w:hAnsi="Times New Roman"/>
                <w:sz w:val="25"/>
                <w:szCs w:val="25"/>
                <w:color w:val="auto"/>
                <w:vertAlign w:val="superscript"/>
              </w:rPr>
              <w:t>54</w:t>
            </w:r>
          </w:p>
        </w:tc>
        <w:tc>
          <w:tcPr>
            <w:tcW w:w="122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6,250</w:t>
            </w:r>
          </w:p>
        </w:tc>
        <w:tc>
          <w:tcPr>
            <w:tcW w:w="116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6,250</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0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Linda M. Kulbe</w:t>
            </w:r>
            <w:r>
              <w:rPr>
                <w:rFonts w:ascii="Times New Roman" w:cs="Times New Roman" w:eastAsia="Times New Roman" w:hAnsi="Times New Roman"/>
                <w:sz w:val="25"/>
                <w:szCs w:val="25"/>
                <w:color w:val="auto"/>
                <w:vertAlign w:val="superscript"/>
              </w:rPr>
              <w:t>55</w:t>
            </w:r>
          </w:p>
        </w:tc>
        <w:tc>
          <w:tcPr>
            <w:tcW w:w="12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6,250</w:t>
            </w:r>
          </w:p>
        </w:tc>
        <w:tc>
          <w:tcPr>
            <w:tcW w:w="116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6,250</w:t>
            </w:r>
          </w:p>
        </w:tc>
        <w:tc>
          <w:tcPr>
            <w:tcW w:w="8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Courtnie V. Kulbe</w:t>
            </w:r>
            <w:r>
              <w:rPr>
                <w:rFonts w:ascii="Times New Roman" w:cs="Times New Roman" w:eastAsia="Times New Roman" w:hAnsi="Times New Roman"/>
                <w:sz w:val="25"/>
                <w:szCs w:val="25"/>
                <w:color w:val="auto"/>
                <w:vertAlign w:val="superscript"/>
              </w:rPr>
              <w:t>56</w:t>
            </w:r>
          </w:p>
        </w:tc>
        <w:tc>
          <w:tcPr>
            <w:tcW w:w="122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6,250</w:t>
            </w:r>
          </w:p>
        </w:tc>
        <w:tc>
          <w:tcPr>
            <w:tcW w:w="116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6,250</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167703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77035" cy="15240"/>
                    </a:xfrm>
                    <a:prstGeom prst="rect">
                      <a:avLst/>
                    </a:prstGeom>
                    <a:noFill/>
                  </pic:spPr>
                </pic:pic>
              </a:graphicData>
            </a:graphic>
          </wp:anchor>
        </w:drawing>
      </w:r>
    </w:p>
    <w:p>
      <w:pPr>
        <w:spacing w:after="0" w:line="195" w:lineRule="exact"/>
        <w:rPr>
          <w:sz w:val="20"/>
          <w:szCs w:val="20"/>
          <w:color w:val="auto"/>
        </w:rPr>
      </w:pPr>
    </w:p>
    <w:p>
      <w:pPr>
        <w:ind w:left="300" w:right="20" w:hanging="294"/>
        <w:spacing w:after="0" w:line="190" w:lineRule="auto"/>
        <w:tabs>
          <w:tab w:leader="none" w:pos="300" w:val="left"/>
        </w:tabs>
        <w:numPr>
          <w:ilvl w:val="0"/>
          <w:numId w:val="5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Clark Investments, LLC. The address of the principal business office of Clark Investments, LLC is 710 Riverpoint Ct, Ste 100, West Sacramento, CA 95605.</w:t>
      </w:r>
    </w:p>
    <w:p>
      <w:pPr>
        <w:spacing w:after="0" w:line="157" w:lineRule="exact"/>
        <w:rPr>
          <w:rFonts w:ascii="Times New Roman" w:cs="Times New Roman" w:eastAsia="Times New Roman" w:hAnsi="Times New Roman"/>
          <w:sz w:val="26"/>
          <w:szCs w:val="26"/>
          <w:color w:val="auto"/>
          <w:vertAlign w:val="superscript"/>
        </w:rPr>
      </w:pPr>
    </w:p>
    <w:p>
      <w:pPr>
        <w:ind w:left="300" w:hanging="294"/>
        <w:spacing w:after="0" w:line="190" w:lineRule="auto"/>
        <w:tabs>
          <w:tab w:leader="none" w:pos="300" w:val="left"/>
        </w:tabs>
        <w:numPr>
          <w:ilvl w:val="0"/>
          <w:numId w:val="5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Lance Churchill. The address of the principal business office of Lance Churchill is 967 E. Parkcenter Blvd. #302, Boise, ID 83706.</w:t>
      </w:r>
    </w:p>
    <w:p>
      <w:pPr>
        <w:spacing w:after="0" w:line="157" w:lineRule="exact"/>
        <w:rPr>
          <w:rFonts w:ascii="Times New Roman" w:cs="Times New Roman" w:eastAsia="Times New Roman" w:hAnsi="Times New Roman"/>
          <w:sz w:val="26"/>
          <w:szCs w:val="26"/>
          <w:color w:val="auto"/>
          <w:vertAlign w:val="superscript"/>
        </w:rPr>
      </w:pPr>
    </w:p>
    <w:p>
      <w:pPr>
        <w:ind w:left="300" w:right="20" w:hanging="294"/>
        <w:spacing w:after="0" w:line="190" w:lineRule="auto"/>
        <w:tabs>
          <w:tab w:leader="none" w:pos="300" w:val="left"/>
        </w:tabs>
        <w:numPr>
          <w:ilvl w:val="0"/>
          <w:numId w:val="5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David and Valynn Price. The address of the principal business office of David and Valynn Price is 2601 E. Picard Ct., Meridian, ID 83646.</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5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Luke Nemec. The address of the principal business office of Luke Nemec is 1783 East Lone Shore Lane, Eagle, ID 83616.</w:t>
      </w:r>
    </w:p>
    <w:p>
      <w:pPr>
        <w:spacing w:after="0" w:line="146" w:lineRule="exact"/>
        <w:rPr>
          <w:rFonts w:ascii="Times New Roman" w:cs="Times New Roman" w:eastAsia="Times New Roman" w:hAnsi="Times New Roman"/>
          <w:sz w:val="26"/>
          <w:szCs w:val="26"/>
          <w:color w:val="auto"/>
          <w:vertAlign w:val="superscript"/>
        </w:rPr>
      </w:pPr>
    </w:p>
    <w:p>
      <w:pPr>
        <w:ind w:left="300" w:hanging="294"/>
        <w:spacing w:after="0" w:line="185" w:lineRule="auto"/>
        <w:tabs>
          <w:tab w:leader="none" w:pos="300" w:val="left"/>
        </w:tabs>
        <w:numPr>
          <w:ilvl w:val="0"/>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Jerry Lee Miles. The address of the principal business office of Jerry Lee Miles is 1661 East Lone Shore Lane, Eagle, ID 83616.</w:t>
      </w:r>
    </w:p>
    <w:p>
      <w:pPr>
        <w:spacing w:after="0" w:line="157" w:lineRule="exact"/>
        <w:rPr>
          <w:rFonts w:ascii="Times New Roman" w:cs="Times New Roman" w:eastAsia="Times New Roman" w:hAnsi="Times New Roman"/>
          <w:sz w:val="24"/>
          <w:szCs w:val="24"/>
          <w:color w:val="auto"/>
          <w:vertAlign w:val="superscript"/>
        </w:rPr>
      </w:pPr>
    </w:p>
    <w:p>
      <w:pPr>
        <w:ind w:left="300" w:right="20" w:hanging="294"/>
        <w:spacing w:after="0" w:line="190" w:lineRule="auto"/>
        <w:tabs>
          <w:tab w:leader="none" w:pos="300" w:val="left"/>
        </w:tabs>
        <w:numPr>
          <w:ilvl w:val="0"/>
          <w:numId w:val="5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Timothy Smith &amp; Molly Smith JT Ten. The address of the principal business office of Timothy Smith &amp; Molly Smith JT Ten is 3200 Birch Street, Baker City, OR 97814.</w:t>
      </w:r>
    </w:p>
    <w:p>
      <w:pPr>
        <w:spacing w:after="0" w:line="157" w:lineRule="exact"/>
        <w:rPr>
          <w:rFonts w:ascii="Times New Roman" w:cs="Times New Roman" w:eastAsia="Times New Roman" w:hAnsi="Times New Roman"/>
          <w:sz w:val="26"/>
          <w:szCs w:val="26"/>
          <w:color w:val="auto"/>
          <w:vertAlign w:val="superscript"/>
        </w:rPr>
      </w:pPr>
    </w:p>
    <w:p>
      <w:pPr>
        <w:ind w:left="300" w:hanging="294"/>
        <w:spacing w:after="0" w:line="190" w:lineRule="auto"/>
        <w:tabs>
          <w:tab w:leader="none" w:pos="300" w:val="left"/>
        </w:tabs>
        <w:numPr>
          <w:ilvl w:val="0"/>
          <w:numId w:val="5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The Clausen Family Trust. The address of the principal business office of The Clausen Family Trust is 1881 Heron Ridge Drive, Bloomfield Hills, MI 78302.</w:t>
      </w:r>
    </w:p>
    <w:p>
      <w:pPr>
        <w:spacing w:after="0" w:line="73"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5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shares directly held by Tina Marie Slippy. The address of the principal business office of Tina Marie Slippy is 609 W. Colchester Dr., Eagle, ID 83616.</w:t>
      </w:r>
    </w:p>
    <w:p>
      <w:pPr>
        <w:spacing w:after="0" w:line="146" w:lineRule="exact"/>
        <w:rPr>
          <w:rFonts w:ascii="Times New Roman" w:cs="Times New Roman" w:eastAsia="Times New Roman" w:hAnsi="Times New Roman"/>
          <w:sz w:val="25"/>
          <w:szCs w:val="25"/>
          <w:color w:val="auto"/>
          <w:vertAlign w:val="superscript"/>
        </w:rPr>
      </w:pPr>
    </w:p>
    <w:p>
      <w:pPr>
        <w:ind w:left="300" w:hanging="294"/>
        <w:spacing w:after="0" w:line="185" w:lineRule="auto"/>
        <w:tabs>
          <w:tab w:leader="none" w:pos="300" w:val="left"/>
        </w:tabs>
        <w:numPr>
          <w:ilvl w:val="0"/>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James Metcalf. The address of the principal business office of James Metcalf is 2415 Wild Eagle Ter., Reno, NV 89511.</w:t>
      </w:r>
    </w:p>
    <w:p>
      <w:pPr>
        <w:spacing w:after="0" w:line="147" w:lineRule="exact"/>
        <w:rPr>
          <w:rFonts w:ascii="Times New Roman" w:cs="Times New Roman" w:eastAsia="Times New Roman" w:hAnsi="Times New Roman"/>
          <w:sz w:val="24"/>
          <w:szCs w:val="24"/>
          <w:color w:val="auto"/>
          <w:vertAlign w:val="superscript"/>
        </w:rPr>
      </w:pPr>
    </w:p>
    <w:p>
      <w:pPr>
        <w:ind w:left="300" w:hanging="294"/>
        <w:spacing w:after="0" w:line="185" w:lineRule="auto"/>
        <w:tabs>
          <w:tab w:leader="none" w:pos="300" w:val="left"/>
        </w:tabs>
        <w:numPr>
          <w:ilvl w:val="0"/>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Gary Allen. The address of the principal business office of Gary Allen is 3819 N. 2300E, Filer, ID 83328.</w:t>
      </w:r>
    </w:p>
    <w:p>
      <w:pPr>
        <w:spacing w:after="0" w:line="147" w:lineRule="exact"/>
        <w:rPr>
          <w:rFonts w:ascii="Times New Roman" w:cs="Times New Roman" w:eastAsia="Times New Roman" w:hAnsi="Times New Roman"/>
          <w:sz w:val="24"/>
          <w:szCs w:val="24"/>
          <w:color w:val="auto"/>
          <w:vertAlign w:val="superscript"/>
        </w:rPr>
      </w:pPr>
    </w:p>
    <w:p>
      <w:pPr>
        <w:ind w:left="300" w:hanging="294"/>
        <w:spacing w:after="0" w:line="185" w:lineRule="auto"/>
        <w:tabs>
          <w:tab w:leader="none" w:pos="300" w:val="left"/>
        </w:tabs>
        <w:numPr>
          <w:ilvl w:val="0"/>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Eric Kulbe. The address of the principal business office of Eric Kulbe is 10121 Crooked Stick Trail, Lone Tree, CO 80124.</w:t>
      </w:r>
    </w:p>
    <w:p>
      <w:pPr>
        <w:spacing w:after="0" w:line="147" w:lineRule="exact"/>
        <w:rPr>
          <w:rFonts w:ascii="Times New Roman" w:cs="Times New Roman" w:eastAsia="Times New Roman" w:hAnsi="Times New Roman"/>
          <w:sz w:val="24"/>
          <w:szCs w:val="24"/>
          <w:color w:val="auto"/>
          <w:vertAlign w:val="superscript"/>
        </w:rPr>
      </w:pPr>
    </w:p>
    <w:p>
      <w:pPr>
        <w:ind w:left="300" w:hanging="294"/>
        <w:spacing w:after="0" w:line="185" w:lineRule="auto"/>
        <w:tabs>
          <w:tab w:leader="none" w:pos="300" w:val="left"/>
        </w:tabs>
        <w:numPr>
          <w:ilvl w:val="0"/>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Linda M. Kulbe. The address of the principal business office of Linda M. Kulbe is 24577 County Road 50, Iliff, CO 80736.</w:t>
      </w:r>
    </w:p>
    <w:p>
      <w:pPr>
        <w:spacing w:after="0" w:line="157" w:lineRule="exact"/>
        <w:rPr>
          <w:rFonts w:ascii="Times New Roman" w:cs="Times New Roman" w:eastAsia="Times New Roman" w:hAnsi="Times New Roman"/>
          <w:sz w:val="24"/>
          <w:szCs w:val="24"/>
          <w:color w:val="auto"/>
          <w:vertAlign w:val="superscript"/>
        </w:rPr>
      </w:pPr>
    </w:p>
    <w:p>
      <w:pPr>
        <w:ind w:left="300" w:right="40" w:hanging="294"/>
        <w:spacing w:after="0" w:line="190" w:lineRule="auto"/>
        <w:tabs>
          <w:tab w:leader="none" w:pos="300" w:val="left"/>
        </w:tabs>
        <w:numPr>
          <w:ilvl w:val="0"/>
          <w:numId w:val="5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Courtnie V. Kulbe. The address of the principal business office of Courtnie V. Kulbe is 10121 Crooked Stick Trail, Lone Tree, CO 80124.</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6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tcBorders>
              <w:bottom w:val="single" w:sz="8" w:color="auto"/>
            </w:tcBorders>
            <w:gridSpan w:val="6"/>
          </w:tcPr>
          <w:p>
            <w:pPr>
              <w:ind w:left="740"/>
              <w:spacing w:after="0"/>
              <w:rPr>
                <w:sz w:val="20"/>
                <w:szCs w:val="20"/>
                <w:color w:val="auto"/>
              </w:rPr>
            </w:pPr>
            <w:r>
              <w:rPr>
                <w:rFonts w:ascii="Times New Roman" w:cs="Times New Roman" w:eastAsia="Times New Roman" w:hAnsi="Times New Roman"/>
                <w:sz w:val="16"/>
                <w:szCs w:val="16"/>
                <w:b w:val="1"/>
                <w:bCs w:val="1"/>
                <w:color w:val="auto"/>
                <w:w w:val="96"/>
              </w:rPr>
              <w:t>Warrants to Purchase Common Stock</w:t>
            </w: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180"/>
              <w:spacing w:after="0" w:line="165"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00" w:type="dxa"/>
            <w:vAlign w:val="bottom"/>
          </w:tcPr>
          <w:p>
            <w:pPr>
              <w:spacing w:after="0"/>
              <w:rPr>
                <w:sz w:val="15"/>
                <w:szCs w:val="15"/>
                <w:color w:val="auto"/>
              </w:rPr>
            </w:pPr>
          </w:p>
        </w:tc>
        <w:tc>
          <w:tcPr>
            <w:tcW w:w="11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12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200" w:type="dxa"/>
            <w:vAlign w:val="bottom"/>
          </w:tcPr>
          <w:p>
            <w:pPr>
              <w:spacing w:after="0"/>
              <w:rPr>
                <w:sz w:val="15"/>
                <w:szCs w:val="15"/>
                <w:color w:val="auto"/>
              </w:rPr>
            </w:pPr>
          </w:p>
        </w:tc>
        <w:tc>
          <w:tcPr>
            <w:tcW w:w="9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200" w:type="dxa"/>
            <w:vAlign w:val="bottom"/>
          </w:tcPr>
          <w:p>
            <w:pPr>
              <w:spacing w:after="0"/>
              <w:rPr>
                <w:sz w:val="15"/>
                <w:szCs w:val="15"/>
                <w:color w:val="auto"/>
              </w:rPr>
            </w:pPr>
          </w:p>
        </w:tc>
        <w:tc>
          <w:tcPr>
            <w:tcW w:w="9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180" w:type="dxa"/>
            <w:vAlign w:val="bottom"/>
          </w:tcPr>
          <w:p>
            <w:pPr>
              <w:spacing w:after="0"/>
              <w:rPr>
                <w:sz w:val="15"/>
                <w:szCs w:val="15"/>
                <w:color w:val="auto"/>
              </w:rPr>
            </w:pPr>
          </w:p>
        </w:tc>
        <w:tc>
          <w:tcPr>
            <w:tcW w:w="104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8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0" w:type="dxa"/>
            <w:vAlign w:val="bottom"/>
          </w:tcPr>
          <w:p>
            <w:pPr>
              <w:spacing w:after="0"/>
              <w:rPr>
                <w:sz w:val="1"/>
                <w:szCs w:val="1"/>
                <w:color w:val="auto"/>
              </w:rPr>
            </w:pPr>
          </w:p>
        </w:tc>
      </w:tr>
      <w:tr>
        <w:trPr>
          <w:trHeight w:val="180"/>
        </w:trPr>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3"/>
              </w:rPr>
              <w:t>Owned</w:t>
            </w:r>
          </w:p>
        </w:tc>
        <w:tc>
          <w:tcPr>
            <w:tcW w:w="100" w:type="dxa"/>
            <w:vAlign w:val="bottom"/>
          </w:tcPr>
          <w:p>
            <w:pPr>
              <w:spacing w:after="0"/>
              <w:rPr>
                <w:sz w:val="15"/>
                <w:szCs w:val="15"/>
                <w:color w:val="auto"/>
              </w:rPr>
            </w:pPr>
          </w:p>
        </w:tc>
        <w:tc>
          <w:tcPr>
            <w:tcW w:w="11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Registered</w:t>
            </w:r>
          </w:p>
        </w:tc>
        <w:tc>
          <w:tcPr>
            <w:tcW w:w="112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9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9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Registered</w:t>
            </w:r>
          </w:p>
        </w:tc>
        <w:tc>
          <w:tcPr>
            <w:tcW w:w="180" w:type="dxa"/>
            <w:vAlign w:val="bottom"/>
          </w:tcPr>
          <w:p>
            <w:pPr>
              <w:spacing w:after="0"/>
              <w:rPr>
                <w:sz w:val="15"/>
                <w:szCs w:val="15"/>
                <w:color w:val="auto"/>
              </w:rPr>
            </w:pPr>
          </w:p>
        </w:tc>
        <w:tc>
          <w:tcPr>
            <w:tcW w:w="104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8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0" w:type="dxa"/>
            <w:vAlign w:val="bottom"/>
          </w:tcPr>
          <w:p>
            <w:pPr>
              <w:spacing w:after="0"/>
              <w:rPr>
                <w:sz w:val="1"/>
                <w:szCs w:val="1"/>
                <w:color w:val="auto"/>
              </w:rPr>
            </w:pPr>
          </w:p>
        </w:tc>
      </w:tr>
      <w:tr>
        <w:trPr>
          <w:trHeight w:val="205"/>
        </w:trPr>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Name of Selling Securityholder</w:t>
            </w:r>
            <w:r>
              <w:rPr>
                <w:rFonts w:ascii="Times New Roman" w:cs="Times New Roman" w:eastAsia="Times New Roman" w:hAnsi="Times New Roman"/>
                <w:sz w:val="26"/>
                <w:szCs w:val="26"/>
                <w:b w:val="1"/>
                <w:bCs w:val="1"/>
                <w:color w:val="auto"/>
                <w:w w:val="99"/>
                <w:vertAlign w:val="superscript"/>
              </w:rPr>
              <w:t>1</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Prior to</w:t>
            </w: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2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2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for Sale</w:t>
            </w:r>
          </w:p>
        </w:tc>
        <w:tc>
          <w:tcPr>
            <w:tcW w:w="18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0" w:type="dxa"/>
            <w:vAlign w:val="bottom"/>
          </w:tcPr>
          <w:p>
            <w:pPr>
              <w:spacing w:after="0"/>
              <w:rPr>
                <w:sz w:val="1"/>
                <w:szCs w:val="1"/>
                <w:color w:val="auto"/>
              </w:rPr>
            </w:pPr>
          </w:p>
        </w:tc>
      </w:tr>
      <w:tr>
        <w:trPr>
          <w:trHeight w:val="206"/>
        </w:trPr>
        <w:tc>
          <w:tcPr>
            <w:tcW w:w="2220" w:type="dxa"/>
            <w:vAlign w:val="bottom"/>
            <w:gridSpan w:val="2"/>
            <w:vMerge w:val="continue"/>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Hereby</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2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2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Hereby</w:t>
            </w:r>
          </w:p>
        </w:tc>
        <w:tc>
          <w:tcPr>
            <w:tcW w:w="1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0" w:type="dxa"/>
            <w:vAlign w:val="bottom"/>
          </w:tcPr>
          <w:p>
            <w:pPr>
              <w:spacing w:after="0"/>
              <w:rPr>
                <w:sz w:val="1"/>
                <w:szCs w:val="1"/>
                <w:color w:val="auto"/>
              </w:rPr>
            </w:pPr>
          </w:p>
        </w:tc>
      </w:tr>
      <w:tr>
        <w:trPr>
          <w:trHeight w:val="24"/>
        </w:trPr>
        <w:tc>
          <w:tcPr>
            <w:tcW w:w="214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Callie V. Kulbe</w:t>
            </w:r>
            <w:r>
              <w:rPr>
                <w:rFonts w:ascii="Times New Roman" w:cs="Times New Roman" w:eastAsia="Times New Roman" w:hAnsi="Times New Roman"/>
                <w:sz w:val="25"/>
                <w:szCs w:val="25"/>
                <w:color w:val="auto"/>
                <w:vertAlign w:val="superscript"/>
              </w:rPr>
              <w:t>57</w:t>
            </w:r>
          </w:p>
        </w:tc>
        <w:tc>
          <w:tcPr>
            <w:tcW w:w="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Charlsie V. Kulbe</w:t>
            </w:r>
            <w:r>
              <w:rPr>
                <w:rFonts w:ascii="Times New Roman" w:cs="Times New Roman" w:eastAsia="Times New Roman" w:hAnsi="Times New Roman"/>
                <w:sz w:val="25"/>
                <w:szCs w:val="25"/>
                <w:color w:val="auto"/>
                <w:vertAlign w:val="superscript"/>
              </w:rPr>
              <w:t>58</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6,250</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6,250</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920" w:type="dxa"/>
            <w:vAlign w:val="bottom"/>
          </w:tcPr>
          <w:p>
            <w:pPr>
              <w:ind w:left="7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940" w:type="dxa"/>
            <w:vAlign w:val="bottom"/>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Jackie K. Kulbe</w:t>
            </w:r>
            <w:r>
              <w:rPr>
                <w:rFonts w:ascii="Times New Roman" w:cs="Times New Roman" w:eastAsia="Times New Roman" w:hAnsi="Times New Roman"/>
                <w:sz w:val="25"/>
                <w:szCs w:val="25"/>
                <w:color w:val="auto"/>
                <w:vertAlign w:val="superscript"/>
              </w:rPr>
              <w:t>59</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6,250</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6,250</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Michael Conklin</w:t>
            </w:r>
            <w:r>
              <w:rPr>
                <w:rFonts w:ascii="Times New Roman" w:cs="Times New Roman" w:eastAsia="Times New Roman" w:hAnsi="Times New Roman"/>
                <w:sz w:val="25"/>
                <w:szCs w:val="25"/>
                <w:color w:val="auto"/>
                <w:vertAlign w:val="superscript"/>
              </w:rPr>
              <w:t>60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6,031</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920" w:type="dxa"/>
            <w:vAlign w:val="bottom"/>
          </w:tcPr>
          <w:p>
            <w:pPr>
              <w:ind w:left="7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940" w:type="dxa"/>
            <w:vAlign w:val="bottom"/>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Royce Chigbrow</w:t>
            </w:r>
            <w:r>
              <w:rPr>
                <w:rFonts w:ascii="Times New Roman" w:cs="Times New Roman" w:eastAsia="Times New Roman" w:hAnsi="Times New Roman"/>
                <w:sz w:val="25"/>
                <w:szCs w:val="25"/>
                <w:color w:val="auto"/>
                <w:vertAlign w:val="superscript"/>
              </w:rPr>
              <w:t>61</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6,031</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Carley Mings</w:t>
            </w:r>
            <w:r>
              <w:rPr>
                <w:rFonts w:ascii="Times New Roman" w:cs="Times New Roman" w:eastAsia="Times New Roman" w:hAnsi="Times New Roman"/>
                <w:sz w:val="25"/>
                <w:szCs w:val="25"/>
                <w:color w:val="auto"/>
                <w:vertAlign w:val="superscript"/>
              </w:rPr>
              <w:t>62</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6,031</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920" w:type="dxa"/>
            <w:vAlign w:val="bottom"/>
          </w:tcPr>
          <w:p>
            <w:pPr>
              <w:ind w:left="7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940" w:type="dxa"/>
            <w:vAlign w:val="bottom"/>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Spencer Nead</w:t>
            </w:r>
            <w:r>
              <w:rPr>
                <w:rFonts w:ascii="Times New Roman" w:cs="Times New Roman" w:eastAsia="Times New Roman" w:hAnsi="Times New Roman"/>
                <w:sz w:val="25"/>
                <w:szCs w:val="25"/>
                <w:color w:val="auto"/>
                <w:vertAlign w:val="superscript"/>
              </w:rPr>
              <w:t>63</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6,031</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RMO Ventures</w:t>
            </w:r>
            <w:r>
              <w:rPr>
                <w:rFonts w:ascii="Times New Roman" w:cs="Times New Roman" w:eastAsia="Times New Roman" w:hAnsi="Times New Roman"/>
                <w:sz w:val="25"/>
                <w:szCs w:val="25"/>
                <w:color w:val="auto"/>
                <w:vertAlign w:val="superscript"/>
              </w:rPr>
              <w:t>64</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6,031</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920" w:type="dxa"/>
            <w:vAlign w:val="bottom"/>
          </w:tcPr>
          <w:p>
            <w:pPr>
              <w:ind w:left="7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940" w:type="dxa"/>
            <w:vAlign w:val="bottom"/>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Maxemilian Gilman</w:t>
            </w:r>
            <w:r>
              <w:rPr>
                <w:rFonts w:ascii="Times New Roman" w:cs="Times New Roman" w:eastAsia="Times New Roman" w:hAnsi="Times New Roman"/>
                <w:sz w:val="25"/>
                <w:szCs w:val="25"/>
                <w:color w:val="auto"/>
                <w:vertAlign w:val="superscript"/>
              </w:rPr>
              <w:t>65</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6,031</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Casey Oiness</w:t>
            </w:r>
            <w:r>
              <w:rPr>
                <w:rFonts w:ascii="Times New Roman" w:cs="Times New Roman" w:eastAsia="Times New Roman" w:hAnsi="Times New Roman"/>
                <w:sz w:val="25"/>
                <w:szCs w:val="25"/>
                <w:color w:val="auto"/>
                <w:vertAlign w:val="superscript"/>
              </w:rPr>
              <w:t>66</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6,031</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920" w:type="dxa"/>
            <w:vAlign w:val="bottom"/>
          </w:tcPr>
          <w:p>
            <w:pPr>
              <w:ind w:left="7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940" w:type="dxa"/>
            <w:vAlign w:val="bottom"/>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Wendy Zolezzi</w:t>
            </w:r>
            <w:r>
              <w:rPr>
                <w:rFonts w:ascii="Times New Roman" w:cs="Times New Roman" w:eastAsia="Times New Roman" w:hAnsi="Times New Roman"/>
                <w:sz w:val="25"/>
                <w:szCs w:val="25"/>
                <w:color w:val="auto"/>
                <w:vertAlign w:val="superscript"/>
              </w:rPr>
              <w:t>67</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6,031</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Brooks Kochvar</w:t>
            </w:r>
            <w:r>
              <w:rPr>
                <w:rFonts w:ascii="Times New Roman" w:cs="Times New Roman" w:eastAsia="Times New Roman" w:hAnsi="Times New Roman"/>
                <w:sz w:val="25"/>
                <w:szCs w:val="25"/>
                <w:color w:val="auto"/>
                <w:vertAlign w:val="superscript"/>
              </w:rPr>
              <w:t>68</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6,031</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920" w:type="dxa"/>
            <w:vAlign w:val="bottom"/>
          </w:tcPr>
          <w:p>
            <w:pPr>
              <w:ind w:left="7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940" w:type="dxa"/>
            <w:vAlign w:val="bottom"/>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Steven Gilman</w:t>
            </w:r>
            <w:r>
              <w:rPr>
                <w:rFonts w:ascii="Times New Roman" w:cs="Times New Roman" w:eastAsia="Times New Roman" w:hAnsi="Times New Roman"/>
                <w:sz w:val="25"/>
                <w:szCs w:val="25"/>
                <w:color w:val="auto"/>
                <w:vertAlign w:val="superscript"/>
              </w:rPr>
              <w:t>69</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6,031</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167703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77035" cy="15240"/>
                    </a:xfrm>
                    <a:prstGeom prst="rect">
                      <a:avLst/>
                    </a:prstGeom>
                    <a:noFill/>
                  </pic:spPr>
                </pic:pic>
              </a:graphicData>
            </a:graphic>
          </wp:anchor>
        </w:drawing>
      </w:r>
    </w:p>
    <w:p>
      <w:pPr>
        <w:spacing w:after="0" w:line="195" w:lineRule="exact"/>
        <w:rPr>
          <w:sz w:val="20"/>
          <w:szCs w:val="20"/>
          <w:color w:val="auto"/>
        </w:rPr>
      </w:pPr>
    </w:p>
    <w:p>
      <w:pPr>
        <w:ind w:left="300" w:right="40" w:hanging="294"/>
        <w:spacing w:after="0" w:line="190" w:lineRule="auto"/>
        <w:tabs>
          <w:tab w:leader="none" w:pos="300" w:val="left"/>
        </w:tabs>
        <w:numPr>
          <w:ilvl w:val="0"/>
          <w:numId w:val="5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Callie V. Kulbe. The address of the principal business office of Callie V. Kulbe is 10121 Crooked Stick Trail, Lone Tree, CO 80124.</w:t>
      </w:r>
    </w:p>
    <w:p>
      <w:pPr>
        <w:spacing w:after="0" w:line="157" w:lineRule="exact"/>
        <w:rPr>
          <w:rFonts w:ascii="Times New Roman" w:cs="Times New Roman" w:eastAsia="Times New Roman" w:hAnsi="Times New Roman"/>
          <w:sz w:val="26"/>
          <w:szCs w:val="26"/>
          <w:color w:val="auto"/>
          <w:vertAlign w:val="superscript"/>
        </w:rPr>
      </w:pPr>
    </w:p>
    <w:p>
      <w:pPr>
        <w:ind w:left="300" w:hanging="294"/>
        <w:spacing w:after="0" w:line="190" w:lineRule="auto"/>
        <w:tabs>
          <w:tab w:leader="none" w:pos="300" w:val="left"/>
        </w:tabs>
        <w:numPr>
          <w:ilvl w:val="0"/>
          <w:numId w:val="5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Charlsie V. Kulbe. The address of the principal business office of Charlsie V. Kulbe is 10121 Crooked Stick Trail, Lone Tree, CO 80124.</w:t>
      </w:r>
    </w:p>
    <w:p>
      <w:pPr>
        <w:spacing w:after="0" w:line="157" w:lineRule="exact"/>
        <w:rPr>
          <w:rFonts w:ascii="Times New Roman" w:cs="Times New Roman" w:eastAsia="Times New Roman" w:hAnsi="Times New Roman"/>
          <w:sz w:val="26"/>
          <w:szCs w:val="26"/>
          <w:color w:val="auto"/>
          <w:vertAlign w:val="superscript"/>
        </w:rPr>
      </w:pPr>
    </w:p>
    <w:p>
      <w:pPr>
        <w:ind w:left="300" w:hanging="294"/>
        <w:spacing w:after="0" w:line="190" w:lineRule="auto"/>
        <w:tabs>
          <w:tab w:leader="none" w:pos="300" w:val="left"/>
        </w:tabs>
        <w:numPr>
          <w:ilvl w:val="0"/>
          <w:numId w:val="5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Jackie K. Kulbe. The address of the principal business office of Jackie K. Kulbe is 10121 Crooked Stick Trail, Lone Tree, CO 80124.</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5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Michael Conklin. The address of the principal business office of Michael Conklin is 2030 S. Hills Ave, Meridian, ID 83642.</w:t>
      </w:r>
    </w:p>
    <w:p>
      <w:pPr>
        <w:sectPr>
          <w:pgSz w:w="11900" w:h="16840" w:orient="portrait"/>
          <w:cols w:equalWidth="0" w:num="1">
            <w:col w:w="10580"/>
          </w:cols>
          <w:pgMar w:left="660" w:top="511" w:right="660" w:bottom="211" w:gutter="0" w:footer="0" w:header="0"/>
        </w:sectPr>
      </w:pPr>
    </w:p>
    <w:bookmarkStart w:id="58" w:name="page59"/>
    <w:bookmarkEnd w:id="58"/>
    <w:p>
      <w:pPr>
        <w:ind w:left="300" w:hanging="294"/>
        <w:spacing w:after="0"/>
        <w:tabs>
          <w:tab w:leader="none" w:pos="300" w:val="left"/>
        </w:tabs>
        <w:numPr>
          <w:ilvl w:val="0"/>
          <w:numId w:val="5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shares directly held by Royce Chigbrow. The address of the principal business office of Royce Chigbrow is 412 S.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5"/>
          <w:szCs w:val="15"/>
          <w:color w:val="auto"/>
        </w:rPr>
        <w:t xml:space="preserve"> St., Apt. 521, Boise, ID 83702.</w:t>
      </w:r>
    </w:p>
    <w:p>
      <w:pPr>
        <w:spacing w:after="0" w:line="62" w:lineRule="exact"/>
        <w:rPr>
          <w:rFonts w:ascii="Times New Roman" w:cs="Times New Roman" w:eastAsia="Times New Roman" w:hAnsi="Times New Roman"/>
          <w:sz w:val="25"/>
          <w:szCs w:val="25"/>
          <w:color w:val="auto"/>
          <w:vertAlign w:val="superscript"/>
        </w:rPr>
      </w:pPr>
    </w:p>
    <w:p>
      <w:pPr>
        <w:ind w:left="300" w:hanging="294"/>
        <w:spacing w:after="0" w:line="229" w:lineRule="auto"/>
        <w:tabs>
          <w:tab w:leader="none" w:pos="300" w:val="left"/>
        </w:tabs>
        <w:numPr>
          <w:ilvl w:val="0"/>
          <w:numId w:val="5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Carley Mings. The address of the principal business office of Carley Mings is 381 W. Ridgeline Dr., Boise, ID 83702.</w:t>
      </w:r>
    </w:p>
    <w:p>
      <w:pPr>
        <w:spacing w:after="0" w:line="146" w:lineRule="exact"/>
        <w:rPr>
          <w:rFonts w:ascii="Times New Roman" w:cs="Times New Roman" w:eastAsia="Times New Roman" w:hAnsi="Times New Roman"/>
          <w:sz w:val="26"/>
          <w:szCs w:val="26"/>
          <w:color w:val="auto"/>
          <w:vertAlign w:val="superscript"/>
        </w:rPr>
      </w:pPr>
    </w:p>
    <w:p>
      <w:pPr>
        <w:ind w:left="300" w:hanging="294"/>
        <w:spacing w:after="0" w:line="185" w:lineRule="auto"/>
        <w:tabs>
          <w:tab w:leader="none" w:pos="300" w:val="left"/>
        </w:tabs>
        <w:numPr>
          <w:ilvl w:val="0"/>
          <w:numId w:val="5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Spencer Nead. The address of the principal business office of Spencer Nead is 187 S. Steel Farm Ave., Eagle, ID 83616.</w:t>
      </w:r>
    </w:p>
    <w:p>
      <w:pPr>
        <w:spacing w:after="0" w:line="147" w:lineRule="exact"/>
        <w:rPr>
          <w:rFonts w:ascii="Times New Roman" w:cs="Times New Roman" w:eastAsia="Times New Roman" w:hAnsi="Times New Roman"/>
          <w:sz w:val="24"/>
          <w:szCs w:val="24"/>
          <w:color w:val="auto"/>
          <w:vertAlign w:val="superscript"/>
        </w:rPr>
      </w:pPr>
    </w:p>
    <w:p>
      <w:pPr>
        <w:ind w:left="300" w:hanging="294"/>
        <w:spacing w:after="0" w:line="185" w:lineRule="auto"/>
        <w:tabs>
          <w:tab w:leader="none" w:pos="300" w:val="left"/>
        </w:tabs>
        <w:numPr>
          <w:ilvl w:val="0"/>
          <w:numId w:val="5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RMO Ventures. The address of the principal business office of RMO Ventures is 530 South Robinson Blvd, Nampa, ID 83687.</w:t>
      </w:r>
    </w:p>
    <w:p>
      <w:pPr>
        <w:spacing w:after="0" w:line="157" w:lineRule="exact"/>
        <w:rPr>
          <w:rFonts w:ascii="Times New Roman" w:cs="Times New Roman" w:eastAsia="Times New Roman" w:hAnsi="Times New Roman"/>
          <w:sz w:val="24"/>
          <w:szCs w:val="24"/>
          <w:color w:val="auto"/>
          <w:vertAlign w:val="superscript"/>
        </w:rPr>
      </w:pPr>
    </w:p>
    <w:p>
      <w:pPr>
        <w:ind w:left="300" w:right="40" w:hanging="294"/>
        <w:spacing w:after="0" w:line="190" w:lineRule="auto"/>
        <w:tabs>
          <w:tab w:leader="none" w:pos="300" w:val="left"/>
        </w:tabs>
        <w:numPr>
          <w:ilvl w:val="0"/>
          <w:numId w:val="5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Maxemilian Gilman. The address of the principal business office of Maxemilian Gilman is 3700 Clawson Rd, Apt. 121, Austin, TX 78704.</w:t>
      </w:r>
    </w:p>
    <w:p>
      <w:pPr>
        <w:spacing w:after="0" w:line="73"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5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shares directly held by Casey Oiness. The address of the principal business office of Casey Oiness is 3430 Evergreen Point Road, Medina, WA 98039.</w:t>
      </w:r>
    </w:p>
    <w:p>
      <w:pPr>
        <w:spacing w:after="0" w:line="146" w:lineRule="exact"/>
        <w:rPr>
          <w:rFonts w:ascii="Times New Roman" w:cs="Times New Roman" w:eastAsia="Times New Roman" w:hAnsi="Times New Roman"/>
          <w:sz w:val="25"/>
          <w:szCs w:val="25"/>
          <w:color w:val="auto"/>
          <w:vertAlign w:val="superscript"/>
        </w:rPr>
      </w:pPr>
    </w:p>
    <w:p>
      <w:pPr>
        <w:ind w:left="300" w:hanging="294"/>
        <w:spacing w:after="0" w:line="185" w:lineRule="auto"/>
        <w:tabs>
          <w:tab w:leader="none" w:pos="300" w:val="left"/>
        </w:tabs>
        <w:numPr>
          <w:ilvl w:val="0"/>
          <w:numId w:val="5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Wendy Zolezzi. The address of the principal business office of Wendy Zolezzi is 2660 Bad Rock Cir, Henderson, NV 89052.</w:t>
      </w:r>
    </w:p>
    <w:p>
      <w:pPr>
        <w:spacing w:after="0" w:line="147" w:lineRule="exact"/>
        <w:rPr>
          <w:rFonts w:ascii="Times New Roman" w:cs="Times New Roman" w:eastAsia="Times New Roman" w:hAnsi="Times New Roman"/>
          <w:sz w:val="24"/>
          <w:szCs w:val="24"/>
          <w:color w:val="auto"/>
          <w:vertAlign w:val="superscript"/>
        </w:rPr>
      </w:pPr>
    </w:p>
    <w:p>
      <w:pPr>
        <w:ind w:left="300" w:hanging="294"/>
        <w:spacing w:after="0" w:line="185" w:lineRule="auto"/>
        <w:tabs>
          <w:tab w:leader="none" w:pos="300" w:val="left"/>
        </w:tabs>
        <w:numPr>
          <w:ilvl w:val="0"/>
          <w:numId w:val="5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Brooks Kochvar. The address of the principal business office of Brooks Kochvar is 4327 N. Nines Ridge Ln, Boise, ID 83702.</w:t>
      </w:r>
    </w:p>
    <w:p>
      <w:pPr>
        <w:spacing w:after="0" w:line="157" w:lineRule="exact"/>
        <w:rPr>
          <w:rFonts w:ascii="Times New Roman" w:cs="Times New Roman" w:eastAsia="Times New Roman" w:hAnsi="Times New Roman"/>
          <w:sz w:val="24"/>
          <w:szCs w:val="24"/>
          <w:color w:val="auto"/>
          <w:vertAlign w:val="superscript"/>
        </w:rPr>
      </w:pPr>
    </w:p>
    <w:p>
      <w:pPr>
        <w:ind w:left="300" w:hanging="294"/>
        <w:spacing w:after="0"/>
        <w:tabs>
          <w:tab w:leader="none" w:pos="300" w:val="left"/>
        </w:tabs>
        <w:numPr>
          <w:ilvl w:val="0"/>
          <w:numId w:val="5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Steven Gilman. The address of the principal business office of Steven Gilman is 1201 N.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Boise, ID 83702.</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gridSpan w:val="8"/>
          </w:tcPr>
          <w:p>
            <w:pPr>
              <w:ind w:left="520"/>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top w:val="single" w:sz="8" w:color="auto"/>
            </w:tcBorders>
            <w:gridSpan w:val="2"/>
          </w:tcPr>
          <w:p>
            <w:pPr>
              <w:jc w:val="center"/>
              <w:ind w:right="60"/>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tcPr>
          <w:p>
            <w:pPr>
              <w:jc w:val="center"/>
              <w:ind w:right="180"/>
              <w:spacing w:after="0" w:line="165"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00" w:type="dxa"/>
            <w:vAlign w:val="bottom"/>
          </w:tcPr>
          <w:p>
            <w:pPr>
              <w:spacing w:after="0"/>
              <w:rPr>
                <w:sz w:val="15"/>
                <w:szCs w:val="15"/>
                <w:color w:val="auto"/>
              </w:rPr>
            </w:pPr>
          </w:p>
        </w:tc>
        <w:tc>
          <w:tcPr>
            <w:tcW w:w="108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0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78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10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92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0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70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5"/>
              </w:rPr>
              <w:t>Percent</w:t>
            </w: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00" w:type="dxa"/>
            <w:vAlign w:val="bottom"/>
          </w:tcPr>
          <w:p>
            <w:pPr>
              <w:spacing w:after="0"/>
              <w:rPr>
                <w:sz w:val="15"/>
                <w:szCs w:val="15"/>
                <w:color w:val="auto"/>
              </w:rPr>
            </w:pPr>
          </w:p>
        </w:tc>
        <w:tc>
          <w:tcPr>
            <w:tcW w:w="108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Registered</w:t>
            </w:r>
          </w:p>
        </w:tc>
        <w:tc>
          <w:tcPr>
            <w:tcW w:w="100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78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00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92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Registered</w:t>
            </w:r>
          </w:p>
        </w:tc>
        <w:tc>
          <w:tcPr>
            <w:tcW w:w="100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70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3"/>
              </w:rPr>
              <w:t>Owned</w:t>
            </w:r>
          </w:p>
        </w:tc>
        <w:tc>
          <w:tcPr>
            <w:tcW w:w="0" w:type="dxa"/>
            <w:vAlign w:val="bottom"/>
          </w:tcPr>
          <w:p>
            <w:pPr>
              <w:spacing w:after="0"/>
              <w:rPr>
                <w:sz w:val="1"/>
                <w:szCs w:val="1"/>
                <w:color w:val="auto"/>
              </w:rPr>
            </w:pPr>
          </w:p>
        </w:tc>
      </w:tr>
      <w:tr>
        <w:trPr>
          <w:trHeight w:val="205"/>
        </w:trPr>
        <w:tc>
          <w:tcPr>
            <w:tcW w:w="2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Selling Securityholder</w:t>
            </w:r>
            <w:r>
              <w:rPr>
                <w:rFonts w:ascii="Times New Roman" w:cs="Times New Roman" w:eastAsia="Times New Roman" w:hAnsi="Times New Roman"/>
                <w:sz w:val="26"/>
                <w:szCs w:val="26"/>
                <w:b w:val="1"/>
                <w:bCs w:val="1"/>
                <w:color w:val="auto"/>
                <w:vertAlign w:val="superscript"/>
              </w:rPr>
              <w:t>1</w:t>
            </w:r>
          </w:p>
        </w:tc>
        <w:tc>
          <w:tcPr>
            <w:tcW w:w="80" w:type="dxa"/>
            <w:vAlign w:val="bottom"/>
            <w:vMerge w:val="restart"/>
          </w:tcPr>
          <w:p>
            <w:pPr>
              <w:spacing w:after="0"/>
              <w:rPr>
                <w:sz w:val="17"/>
                <w:szCs w:val="17"/>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0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Hereby</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Hereby</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Steven Mings</w:t>
            </w:r>
            <w:r>
              <w:rPr>
                <w:rFonts w:ascii="Times New Roman" w:cs="Times New Roman" w:eastAsia="Times New Roman" w:hAnsi="Times New Roman"/>
                <w:sz w:val="25"/>
                <w:szCs w:val="25"/>
                <w:color w:val="auto"/>
                <w:vertAlign w:val="superscript"/>
              </w:rPr>
              <w:t>70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Bethany Anderson</w:t>
            </w:r>
            <w:r>
              <w:rPr>
                <w:rFonts w:ascii="Times New Roman" w:cs="Times New Roman" w:eastAsia="Times New Roman" w:hAnsi="Times New Roman"/>
                <w:sz w:val="25"/>
                <w:szCs w:val="25"/>
                <w:color w:val="auto"/>
                <w:vertAlign w:val="superscript"/>
              </w:rPr>
              <w:t>71</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Brent Robinson</w:t>
            </w:r>
            <w:r>
              <w:rPr>
                <w:rFonts w:ascii="Times New Roman" w:cs="Times New Roman" w:eastAsia="Times New Roman" w:hAnsi="Times New Roman"/>
                <w:sz w:val="25"/>
                <w:szCs w:val="25"/>
                <w:color w:val="auto"/>
                <w:vertAlign w:val="superscript"/>
              </w:rPr>
              <w:t>72</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Doug French</w:t>
            </w:r>
            <w:r>
              <w:rPr>
                <w:rFonts w:ascii="Times New Roman" w:cs="Times New Roman" w:eastAsia="Times New Roman" w:hAnsi="Times New Roman"/>
                <w:sz w:val="25"/>
                <w:szCs w:val="25"/>
                <w:color w:val="auto"/>
                <w:vertAlign w:val="superscript"/>
              </w:rPr>
              <w:t>73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Karie Beyer</w:t>
            </w:r>
            <w:r>
              <w:rPr>
                <w:rFonts w:ascii="Times New Roman" w:cs="Times New Roman" w:eastAsia="Times New Roman" w:hAnsi="Times New Roman"/>
                <w:sz w:val="25"/>
                <w:szCs w:val="25"/>
                <w:color w:val="auto"/>
                <w:vertAlign w:val="superscript"/>
              </w:rPr>
              <w:t>74</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Richard Handke</w:t>
            </w:r>
            <w:r>
              <w:rPr>
                <w:rFonts w:ascii="Times New Roman" w:cs="Times New Roman" w:eastAsia="Times New Roman" w:hAnsi="Times New Roman"/>
                <w:sz w:val="25"/>
                <w:szCs w:val="25"/>
                <w:color w:val="auto"/>
                <w:vertAlign w:val="superscript"/>
              </w:rPr>
              <w:t>75</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Erin and Jacob Hut JT Ten</w:t>
            </w:r>
            <w:r>
              <w:rPr>
                <w:rFonts w:ascii="Times New Roman" w:cs="Times New Roman" w:eastAsia="Times New Roman" w:hAnsi="Times New Roman"/>
                <w:sz w:val="25"/>
                <w:szCs w:val="25"/>
                <w:color w:val="auto"/>
                <w:vertAlign w:val="superscript"/>
              </w:rPr>
              <w:t>76</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300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Steven D. Robinson &amp; Lori A. Robinson JT</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00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Ten</w:t>
            </w:r>
            <w:r>
              <w:rPr>
                <w:rFonts w:ascii="Times New Roman" w:cs="Times New Roman" w:eastAsia="Times New Roman" w:hAnsi="Times New Roman"/>
                <w:sz w:val="26"/>
                <w:szCs w:val="26"/>
                <w:color w:val="auto"/>
                <w:vertAlign w:val="superscript"/>
              </w:rPr>
              <w:t>77</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Matthew Gustavel &amp; Molly Gustavel JT Ten</w:t>
            </w:r>
            <w:r>
              <w:rPr>
                <w:rFonts w:ascii="Times New Roman" w:cs="Times New Roman" w:eastAsia="Times New Roman" w:hAnsi="Times New Roman"/>
                <w:sz w:val="25"/>
                <w:szCs w:val="25"/>
                <w:color w:val="auto"/>
                <w:vertAlign w:val="superscript"/>
              </w:rPr>
              <w:t>78</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Kenneth W. Stephens</w:t>
            </w:r>
            <w:r>
              <w:rPr>
                <w:rFonts w:ascii="Times New Roman" w:cs="Times New Roman" w:eastAsia="Times New Roman" w:hAnsi="Times New Roman"/>
                <w:sz w:val="25"/>
                <w:szCs w:val="25"/>
                <w:color w:val="auto"/>
                <w:vertAlign w:val="superscript"/>
              </w:rPr>
              <w:t>79</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Roger P. Scala</w:t>
            </w:r>
            <w:r>
              <w:rPr>
                <w:rFonts w:ascii="Times New Roman" w:cs="Times New Roman" w:eastAsia="Times New Roman" w:hAnsi="Times New Roman"/>
                <w:sz w:val="25"/>
                <w:szCs w:val="25"/>
                <w:color w:val="auto"/>
                <w:vertAlign w:val="superscript"/>
              </w:rPr>
              <w:t>80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48"/>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Cameron Sullivan</w:t>
            </w:r>
            <w:r>
              <w:rPr>
                <w:rFonts w:ascii="Times New Roman" w:cs="Times New Roman" w:eastAsia="Times New Roman" w:hAnsi="Times New Roman"/>
                <w:sz w:val="26"/>
                <w:szCs w:val="26"/>
                <w:color w:val="auto"/>
                <w:vertAlign w:val="superscript"/>
              </w:rPr>
              <w:t>81</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167703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77035" cy="15240"/>
                    </a:xfrm>
                    <a:prstGeom prst="rect">
                      <a:avLst/>
                    </a:prstGeom>
                    <a:noFill/>
                  </pic:spPr>
                </pic:pic>
              </a:graphicData>
            </a:graphic>
          </wp:anchor>
        </w:drawing>
      </w:r>
    </w:p>
    <w:p>
      <w:pPr>
        <w:ind w:left="300" w:hanging="294"/>
        <w:spacing w:after="0" w:line="229" w:lineRule="auto"/>
        <w:tabs>
          <w:tab w:leader="none" w:pos="300" w:val="left"/>
        </w:tabs>
        <w:numPr>
          <w:ilvl w:val="0"/>
          <w:numId w:val="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Steven Mings. The address of the principal business office of Steven Mings is 750 W. Bannock, Unit 1958, Boise, ID 83701.</w:t>
      </w:r>
    </w:p>
    <w:p>
      <w:pPr>
        <w:spacing w:after="0" w:line="147" w:lineRule="exact"/>
        <w:rPr>
          <w:rFonts w:ascii="Times New Roman" w:cs="Times New Roman" w:eastAsia="Times New Roman" w:hAnsi="Times New Roman"/>
          <w:sz w:val="26"/>
          <w:szCs w:val="26"/>
          <w:color w:val="auto"/>
          <w:vertAlign w:val="superscript"/>
        </w:rPr>
      </w:pPr>
    </w:p>
    <w:p>
      <w:pPr>
        <w:ind w:left="300" w:hanging="294"/>
        <w:spacing w:after="0" w:line="185" w:lineRule="auto"/>
        <w:tabs>
          <w:tab w:leader="none" w:pos="300"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Bethany Anderson. The address of the principal business office of Bethany Anderson is 10432 W. Milclay St., Boise, ID 83704.</w:t>
      </w:r>
    </w:p>
    <w:p>
      <w:pPr>
        <w:spacing w:after="0" w:line="157" w:lineRule="exact"/>
        <w:rPr>
          <w:rFonts w:ascii="Times New Roman" w:cs="Times New Roman" w:eastAsia="Times New Roman" w:hAnsi="Times New Roman"/>
          <w:sz w:val="24"/>
          <w:szCs w:val="24"/>
          <w:color w:val="auto"/>
          <w:vertAlign w:val="superscript"/>
        </w:rPr>
      </w:pPr>
    </w:p>
    <w:p>
      <w:pPr>
        <w:ind w:left="300" w:hanging="294"/>
        <w:spacing w:after="0"/>
        <w:tabs>
          <w:tab w:leader="none" w:pos="300" w:val="left"/>
        </w:tabs>
        <w:numPr>
          <w:ilvl w:val="0"/>
          <w:numId w:val="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Brent Robinson. The address of the principal business office of Brent Robinson is 926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6"/>
          <w:szCs w:val="16"/>
          <w:color w:val="auto"/>
        </w:rPr>
        <w:t xml:space="preserve"> Ave., Seattle, WA 98122.</w:t>
      </w:r>
    </w:p>
    <w:p>
      <w:pPr>
        <w:spacing w:after="0" w:line="50" w:lineRule="exact"/>
        <w:rPr>
          <w:rFonts w:ascii="Times New Roman" w:cs="Times New Roman" w:eastAsia="Times New Roman" w:hAnsi="Times New Roman"/>
          <w:sz w:val="26"/>
          <w:szCs w:val="26"/>
          <w:color w:val="auto"/>
          <w:vertAlign w:val="superscript"/>
        </w:rPr>
      </w:pPr>
    </w:p>
    <w:p>
      <w:pPr>
        <w:ind w:left="300" w:hanging="294"/>
        <w:spacing w:after="0" w:line="200" w:lineRule="auto"/>
        <w:tabs>
          <w:tab w:leader="none" w:pos="300" w:val="left"/>
        </w:tabs>
        <w:numPr>
          <w:ilvl w:val="0"/>
          <w:numId w:val="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Doug French. The address of the principal business office of Doug French is 3918 N. Whitehead St.</w:t>
      </w:r>
    </w:p>
    <w:p>
      <w:pPr>
        <w:spacing w:after="0" w:line="146" w:lineRule="exact"/>
        <w:rPr>
          <w:rFonts w:ascii="Times New Roman" w:cs="Times New Roman" w:eastAsia="Times New Roman" w:hAnsi="Times New Roman"/>
          <w:sz w:val="26"/>
          <w:szCs w:val="26"/>
          <w:color w:val="auto"/>
          <w:vertAlign w:val="superscript"/>
        </w:rPr>
      </w:pPr>
    </w:p>
    <w:p>
      <w:pPr>
        <w:ind w:left="300" w:hanging="294"/>
        <w:spacing w:after="0" w:line="185" w:lineRule="auto"/>
        <w:tabs>
          <w:tab w:leader="none" w:pos="300"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Karie Beyer. The address of the principal business office of Karie Beyer is 515 North Henry St, Kaysville, UT 84037.</w:t>
      </w:r>
    </w:p>
    <w:p>
      <w:pPr>
        <w:spacing w:after="0" w:line="147" w:lineRule="exact"/>
        <w:rPr>
          <w:rFonts w:ascii="Times New Roman" w:cs="Times New Roman" w:eastAsia="Times New Roman" w:hAnsi="Times New Roman"/>
          <w:sz w:val="24"/>
          <w:szCs w:val="24"/>
          <w:color w:val="auto"/>
          <w:vertAlign w:val="superscript"/>
        </w:rPr>
      </w:pPr>
    </w:p>
    <w:p>
      <w:pPr>
        <w:ind w:left="300" w:hanging="294"/>
        <w:spacing w:after="0" w:line="185" w:lineRule="auto"/>
        <w:tabs>
          <w:tab w:leader="none" w:pos="300"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Richard Handke. The address of the principal business office of Richard Handke is 3565 W. Muirfield, Meridian, ID 83646.</w:t>
      </w:r>
    </w:p>
    <w:p>
      <w:pPr>
        <w:spacing w:after="0" w:line="157" w:lineRule="exact"/>
        <w:rPr>
          <w:rFonts w:ascii="Times New Roman" w:cs="Times New Roman" w:eastAsia="Times New Roman" w:hAnsi="Times New Roman"/>
          <w:sz w:val="24"/>
          <w:szCs w:val="24"/>
          <w:color w:val="auto"/>
          <w:vertAlign w:val="superscript"/>
        </w:rPr>
      </w:pPr>
    </w:p>
    <w:p>
      <w:pPr>
        <w:ind w:left="300" w:right="20" w:hanging="294"/>
        <w:spacing w:after="0" w:line="190" w:lineRule="auto"/>
        <w:tabs>
          <w:tab w:leader="none" w:pos="300" w:val="left"/>
        </w:tabs>
        <w:numPr>
          <w:ilvl w:val="0"/>
          <w:numId w:val="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Erin and Jacob Hut JT Ten. The address of the principal business office of Erin &amp; Jacob Hut JT Ten is 6811 S. Granite Mountain Ln, Spokane, WA 99223.</w:t>
      </w:r>
    </w:p>
    <w:p>
      <w:pPr>
        <w:spacing w:after="0" w:line="157" w:lineRule="exact"/>
        <w:rPr>
          <w:rFonts w:ascii="Times New Roman" w:cs="Times New Roman" w:eastAsia="Times New Roman" w:hAnsi="Times New Roman"/>
          <w:sz w:val="26"/>
          <w:szCs w:val="26"/>
          <w:color w:val="auto"/>
          <w:vertAlign w:val="superscript"/>
        </w:rPr>
      </w:pPr>
    </w:p>
    <w:p>
      <w:pPr>
        <w:ind w:left="300" w:right="20" w:hanging="294"/>
        <w:spacing w:after="0" w:line="212" w:lineRule="auto"/>
        <w:tabs>
          <w:tab w:leader="none" w:pos="300" w:val="left"/>
        </w:tabs>
        <w:numPr>
          <w:ilvl w:val="0"/>
          <w:numId w:val="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Steven D. Robinson &amp; Lori A. Robinson JT Ten. The address of the principal business office of Steven D. Robinson &amp; Lori A. Robinson JT Ten is 4535 NE 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Seattle, WA 98105.</w:t>
      </w:r>
    </w:p>
    <w:p>
      <w:pPr>
        <w:spacing w:after="0" w:line="47" w:lineRule="exact"/>
        <w:rPr>
          <w:rFonts w:ascii="Times New Roman" w:cs="Times New Roman" w:eastAsia="Times New Roman" w:hAnsi="Times New Roman"/>
          <w:sz w:val="26"/>
          <w:szCs w:val="26"/>
          <w:color w:val="auto"/>
          <w:vertAlign w:val="superscript"/>
        </w:rPr>
      </w:pPr>
    </w:p>
    <w:p>
      <w:pPr>
        <w:ind w:left="300" w:hanging="294"/>
        <w:spacing w:after="0" w:line="190" w:lineRule="auto"/>
        <w:tabs>
          <w:tab w:leader="none" w:pos="300" w:val="left"/>
        </w:tabs>
        <w:numPr>
          <w:ilvl w:val="0"/>
          <w:numId w:val="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Matthew Gustavel &amp; Molly Gustavel JT Ten. The address of the principal business office of Matthew Gustavel &amp; Molly Gustavel JT Ten is 655 E. Orion Dr., Boise, ID 83702.</w:t>
      </w:r>
    </w:p>
    <w:p>
      <w:pPr>
        <w:spacing w:after="0" w:line="157" w:lineRule="exact"/>
        <w:rPr>
          <w:rFonts w:ascii="Times New Roman" w:cs="Times New Roman" w:eastAsia="Times New Roman" w:hAnsi="Times New Roman"/>
          <w:sz w:val="26"/>
          <w:szCs w:val="26"/>
          <w:color w:val="auto"/>
          <w:vertAlign w:val="superscript"/>
        </w:rPr>
      </w:pPr>
    </w:p>
    <w:p>
      <w:pPr>
        <w:ind w:left="300" w:right="40" w:hanging="294"/>
        <w:spacing w:after="0" w:line="190" w:lineRule="auto"/>
        <w:tabs>
          <w:tab w:leader="none" w:pos="300" w:val="left"/>
        </w:tabs>
        <w:numPr>
          <w:ilvl w:val="0"/>
          <w:numId w:val="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Kenneth W. Stephens. The address of the principal business office of Kenneth W. Stephens is 918 N. Eagle Hills Way, Eagle, ID 83616.</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Roger P. Scala. The address of the principal business office of Roger P. Scala is 4925 Icaria Way, Oceanside, CA 92056.</w:t>
      </w:r>
    </w:p>
    <w:p>
      <w:pPr>
        <w:spacing w:after="0" w:line="157" w:lineRule="exact"/>
        <w:rPr>
          <w:rFonts w:ascii="Times New Roman" w:cs="Times New Roman" w:eastAsia="Times New Roman" w:hAnsi="Times New Roman"/>
          <w:sz w:val="26"/>
          <w:szCs w:val="26"/>
          <w:color w:val="auto"/>
          <w:vertAlign w:val="superscript"/>
        </w:rPr>
      </w:pPr>
    </w:p>
    <w:p>
      <w:pPr>
        <w:ind w:left="300" w:right="20" w:hanging="294"/>
        <w:spacing w:after="0" w:line="190" w:lineRule="auto"/>
        <w:tabs>
          <w:tab w:leader="none" w:pos="300" w:val="left"/>
        </w:tabs>
        <w:numPr>
          <w:ilvl w:val="0"/>
          <w:numId w:val="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Cameron Sullivan. The address of the principal business office of Cameron Sullivan is 2864 N. Chancery Pl., Meridian, ID 83646.</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3020" w:type="dxa"/>
        <w:tblCellMar>
          <w:top w:w="0" w:type="dxa"/>
          <w:left w:w="0" w:type="dxa"/>
          <w:bottom w:w="0" w:type="dxa"/>
          <w:right w:w="0" w:type="dxa"/>
        </w:tblCellMar>
      </w:tblPr>
      <w:tr>
        <w:trPr>
          <w:trHeight w:val="199"/>
        </w:trPr>
        <w:tc>
          <w:tcPr>
            <w:tcW w:w="9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200" w:type="dxa"/>
            <w:vAlign w:val="bottom"/>
          </w:tcPr>
          <w:p>
            <w:pPr>
              <w:spacing w:after="0"/>
              <w:rPr>
                <w:sz w:val="17"/>
                <w:szCs w:val="17"/>
                <w:color w:val="auto"/>
              </w:rPr>
            </w:pPr>
          </w:p>
        </w:tc>
        <w:tc>
          <w:tcPr>
            <w:tcW w:w="34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88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0" w:type="dxa"/>
            <w:vAlign w:val="bottom"/>
          </w:tcPr>
          <w:p>
            <w:pPr>
              <w:spacing w:after="0"/>
              <w:rPr>
                <w:sz w:val="17"/>
                <w:szCs w:val="17"/>
                <w:color w:val="auto"/>
              </w:rPr>
            </w:pPr>
          </w:p>
        </w:tc>
        <w:tc>
          <w:tcPr>
            <w:tcW w:w="3480" w:type="dxa"/>
            <w:vAlign w:val="bottom"/>
          </w:tcPr>
          <w:p>
            <w:pPr>
              <w:spacing w:after="0"/>
              <w:rPr>
                <w:sz w:val="17"/>
                <w:szCs w:val="17"/>
                <w:color w:val="auto"/>
              </w:rPr>
            </w:pPr>
          </w:p>
        </w:tc>
      </w:tr>
    </w:tbl>
    <w:p>
      <w:pPr>
        <w:sectPr>
          <w:pgSz w:w="11900" w:h="16840" w:orient="portrait"/>
          <w:cols w:equalWidth="0" w:num="1">
            <w:col w:w="10580"/>
          </w:cols>
          <w:pgMar w:left="660" w:top="557" w:right="660" w:bottom="4"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Beneficially</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Beneficially</w:t>
            </w:r>
          </w:p>
        </w:tc>
        <w:tc>
          <w:tcPr>
            <w:tcW w:w="18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200" w:type="dxa"/>
            <w:vAlign w:val="bottom"/>
          </w:tcPr>
          <w:p>
            <w:pPr>
              <w:spacing w:after="0"/>
              <w:rPr>
                <w:sz w:val="17"/>
                <w:szCs w:val="17"/>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Percent</w:t>
            </w: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9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Registered</w:t>
            </w:r>
          </w:p>
        </w:tc>
        <w:tc>
          <w:tcPr>
            <w:tcW w:w="1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80" w:type="dxa"/>
            <w:vAlign w:val="bottom"/>
          </w:tcPr>
          <w:p>
            <w:pPr>
              <w:spacing w:after="0"/>
              <w:rPr>
                <w:sz w:val="15"/>
                <w:szCs w:val="15"/>
                <w:color w:val="auto"/>
              </w:rPr>
            </w:pPr>
          </w:p>
        </w:tc>
        <w:tc>
          <w:tcPr>
            <w:tcW w:w="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98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Registered</w:t>
            </w:r>
          </w:p>
        </w:tc>
        <w:tc>
          <w:tcPr>
            <w:tcW w:w="1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7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0" w:type="dxa"/>
            <w:vAlign w:val="bottom"/>
          </w:tcPr>
          <w:p>
            <w:pPr>
              <w:spacing w:after="0"/>
              <w:rPr>
                <w:sz w:val="1"/>
                <w:szCs w:val="1"/>
                <w:color w:val="auto"/>
              </w:rPr>
            </w:pPr>
          </w:p>
        </w:tc>
      </w:tr>
      <w:tr>
        <w:trPr>
          <w:trHeight w:val="205"/>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Selling Securityholder</w:t>
            </w:r>
            <w:r>
              <w:rPr>
                <w:rFonts w:ascii="Times New Roman" w:cs="Times New Roman" w:eastAsia="Times New Roman" w:hAnsi="Times New Roman"/>
                <w:sz w:val="26"/>
                <w:szCs w:val="26"/>
                <w:b w:val="1"/>
                <w:bCs w:val="1"/>
                <w:color w:val="auto"/>
                <w:vertAlign w:val="superscript"/>
              </w:rPr>
              <w:t>1</w:t>
            </w:r>
          </w:p>
        </w:tc>
        <w:tc>
          <w:tcPr>
            <w:tcW w:w="8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2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80" w:type="dxa"/>
            <w:vAlign w:val="bottom"/>
          </w:tcPr>
          <w:p>
            <w:pPr>
              <w:spacing w:after="0"/>
              <w:rPr>
                <w:sz w:val="17"/>
                <w:szCs w:val="17"/>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for Sale</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200" w:type="dxa"/>
            <w:vAlign w:val="bottom"/>
          </w:tcPr>
          <w:p>
            <w:pPr>
              <w:spacing w:after="0"/>
              <w:rPr>
                <w:sz w:val="17"/>
                <w:szCs w:val="17"/>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Hereby</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Hereby</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Dominic Quilici</w:t>
            </w:r>
            <w:r>
              <w:rPr>
                <w:rFonts w:ascii="Times New Roman" w:cs="Times New Roman" w:eastAsia="Times New Roman" w:hAnsi="Times New Roman"/>
                <w:sz w:val="25"/>
                <w:szCs w:val="25"/>
                <w:color w:val="auto"/>
                <w:vertAlign w:val="superscript"/>
              </w:rPr>
              <w:t>82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6,031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Duskin Terteling</w:t>
            </w:r>
            <w:r>
              <w:rPr>
                <w:rFonts w:ascii="Times New Roman" w:cs="Times New Roman" w:eastAsia="Times New Roman" w:hAnsi="Times New Roman"/>
                <w:sz w:val="25"/>
                <w:szCs w:val="25"/>
                <w:color w:val="auto"/>
                <w:vertAlign w:val="superscript"/>
              </w:rPr>
              <w:t>83</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6,031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Russell Kawano</w:t>
            </w:r>
            <w:r>
              <w:rPr>
                <w:rFonts w:ascii="Times New Roman" w:cs="Times New Roman" w:eastAsia="Times New Roman" w:hAnsi="Times New Roman"/>
                <w:sz w:val="25"/>
                <w:szCs w:val="25"/>
                <w:color w:val="auto"/>
                <w:vertAlign w:val="superscript"/>
              </w:rPr>
              <w:t>84</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6,031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Shanna Vincent</w:t>
            </w:r>
            <w:r>
              <w:rPr>
                <w:rFonts w:ascii="Times New Roman" w:cs="Times New Roman" w:eastAsia="Times New Roman" w:hAnsi="Times New Roman"/>
                <w:sz w:val="25"/>
                <w:szCs w:val="25"/>
                <w:color w:val="auto"/>
                <w:vertAlign w:val="superscript"/>
              </w:rPr>
              <w:t>85</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6,031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Sam Johnson</w:t>
            </w:r>
            <w:r>
              <w:rPr>
                <w:rFonts w:ascii="Times New Roman" w:cs="Times New Roman" w:eastAsia="Times New Roman" w:hAnsi="Times New Roman"/>
                <w:sz w:val="25"/>
                <w:szCs w:val="25"/>
                <w:color w:val="auto"/>
                <w:vertAlign w:val="superscript"/>
              </w:rPr>
              <w:t>86</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6,031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Brian J. Neville</w:t>
            </w:r>
            <w:r>
              <w:rPr>
                <w:rFonts w:ascii="Times New Roman" w:cs="Times New Roman" w:eastAsia="Times New Roman" w:hAnsi="Times New Roman"/>
                <w:sz w:val="25"/>
                <w:szCs w:val="25"/>
                <w:color w:val="auto"/>
                <w:vertAlign w:val="superscript"/>
              </w:rPr>
              <w:t>87</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6,031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Mark G. Grigg &amp; Debora A. Grigg JT Ten</w:t>
            </w:r>
            <w:r>
              <w:rPr>
                <w:rFonts w:ascii="Times New Roman" w:cs="Times New Roman" w:eastAsia="Times New Roman" w:hAnsi="Times New Roman"/>
                <w:sz w:val="25"/>
                <w:szCs w:val="25"/>
                <w:color w:val="auto"/>
                <w:vertAlign w:val="superscript"/>
              </w:rPr>
              <w:t>88</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6,031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Jessica Clow</w:t>
            </w:r>
            <w:r>
              <w:rPr>
                <w:rFonts w:ascii="Times New Roman" w:cs="Times New Roman" w:eastAsia="Times New Roman" w:hAnsi="Times New Roman"/>
                <w:sz w:val="25"/>
                <w:szCs w:val="25"/>
                <w:color w:val="auto"/>
                <w:vertAlign w:val="superscript"/>
              </w:rPr>
              <w:t>89</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6,031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Jake Conklin</w:t>
            </w:r>
            <w:r>
              <w:rPr>
                <w:rFonts w:ascii="Times New Roman" w:cs="Times New Roman" w:eastAsia="Times New Roman" w:hAnsi="Times New Roman"/>
                <w:sz w:val="25"/>
                <w:szCs w:val="25"/>
                <w:color w:val="auto"/>
                <w:vertAlign w:val="superscript"/>
              </w:rPr>
              <w:t>90</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6,031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48"/>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Tucker Allen</w:t>
            </w:r>
            <w:r>
              <w:rPr>
                <w:rFonts w:ascii="Times New Roman" w:cs="Times New Roman" w:eastAsia="Times New Roman" w:hAnsi="Times New Roman"/>
                <w:sz w:val="26"/>
                <w:szCs w:val="26"/>
                <w:color w:val="auto"/>
                <w:vertAlign w:val="superscript"/>
              </w:rPr>
              <w:t>91</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6,031</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60960</wp:posOffset>
            </wp:positionV>
            <wp:extent cx="167703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77035" cy="15240"/>
                    </a:xfrm>
                    <a:prstGeom prst="rect">
                      <a:avLst/>
                    </a:prstGeom>
                    <a:noFill/>
                  </pic:spPr>
                </pic:pic>
              </a:graphicData>
            </a:graphic>
          </wp:anchor>
        </w:drawing>
      </w:r>
    </w:p>
    <w:p>
      <w:pPr>
        <w:spacing w:after="0" w:line="27" w:lineRule="exact"/>
        <w:rPr>
          <w:sz w:val="20"/>
          <w:szCs w:val="20"/>
          <w:color w:val="auto"/>
        </w:rPr>
      </w:pPr>
    </w:p>
    <w:p>
      <w:pPr>
        <w:ind w:left="300" w:hanging="294"/>
        <w:spacing w:after="0"/>
        <w:tabs>
          <w:tab w:leader="none" w:pos="300" w:val="left"/>
        </w:tabs>
        <w:numPr>
          <w:ilvl w:val="0"/>
          <w:numId w:val="5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shares directly held by Dominic Quilici. The address of the principal business office of Dominic Quilici is 4441 E. Parkcenter Blvd., Boise, ID 83716.</w:t>
      </w:r>
    </w:p>
    <w:p>
      <w:pPr>
        <w:spacing w:after="0" w:line="146" w:lineRule="exact"/>
        <w:rPr>
          <w:rFonts w:ascii="Times New Roman" w:cs="Times New Roman" w:eastAsia="Times New Roman" w:hAnsi="Times New Roman"/>
          <w:sz w:val="25"/>
          <w:szCs w:val="25"/>
          <w:color w:val="auto"/>
          <w:vertAlign w:val="superscript"/>
        </w:rPr>
      </w:pPr>
    </w:p>
    <w:p>
      <w:pPr>
        <w:ind w:left="300" w:hanging="294"/>
        <w:spacing w:after="0" w:line="185" w:lineRule="auto"/>
        <w:tabs>
          <w:tab w:leader="none" w:pos="300"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Duskin Terteling. The address of the principal business office of Duskin Terteling is 6985 E. LaCuesta St., Boise, ID 83716.</w:t>
      </w:r>
    </w:p>
    <w:p>
      <w:pPr>
        <w:spacing w:after="0" w:line="147" w:lineRule="exact"/>
        <w:rPr>
          <w:rFonts w:ascii="Times New Roman" w:cs="Times New Roman" w:eastAsia="Times New Roman" w:hAnsi="Times New Roman"/>
          <w:sz w:val="24"/>
          <w:szCs w:val="24"/>
          <w:color w:val="auto"/>
          <w:vertAlign w:val="superscript"/>
        </w:rPr>
      </w:pPr>
    </w:p>
    <w:p>
      <w:pPr>
        <w:ind w:left="300" w:hanging="294"/>
        <w:spacing w:after="0" w:line="185" w:lineRule="auto"/>
        <w:tabs>
          <w:tab w:leader="none" w:pos="300"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Russell Kawano. The address of the principal business office of Russell Kawano is 2171 Crosscreek Ln., Boise, ID 83706.</w:t>
      </w:r>
    </w:p>
    <w:p>
      <w:pPr>
        <w:spacing w:after="0" w:line="147" w:lineRule="exact"/>
        <w:rPr>
          <w:rFonts w:ascii="Times New Roman" w:cs="Times New Roman" w:eastAsia="Times New Roman" w:hAnsi="Times New Roman"/>
          <w:sz w:val="24"/>
          <w:szCs w:val="24"/>
          <w:color w:val="auto"/>
          <w:vertAlign w:val="superscript"/>
        </w:rPr>
      </w:pPr>
    </w:p>
    <w:p>
      <w:pPr>
        <w:ind w:left="300" w:hanging="294"/>
        <w:spacing w:after="0" w:line="185" w:lineRule="auto"/>
        <w:tabs>
          <w:tab w:leader="none" w:pos="300"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Shanna Vincent. The address of the principal business office of Shanna Vincent is 1064 Don Vincent Lane, Eagle, ID 83616.</w:t>
      </w:r>
    </w:p>
    <w:p>
      <w:pPr>
        <w:spacing w:after="0" w:line="147" w:lineRule="exact"/>
        <w:rPr>
          <w:rFonts w:ascii="Times New Roman" w:cs="Times New Roman" w:eastAsia="Times New Roman" w:hAnsi="Times New Roman"/>
          <w:sz w:val="24"/>
          <w:szCs w:val="24"/>
          <w:color w:val="auto"/>
          <w:vertAlign w:val="superscript"/>
        </w:rPr>
      </w:pPr>
    </w:p>
    <w:p>
      <w:pPr>
        <w:ind w:left="300" w:hanging="294"/>
        <w:spacing w:after="0" w:line="185" w:lineRule="auto"/>
        <w:tabs>
          <w:tab w:leader="none" w:pos="300"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Sam Johnson. The address of the principal business office of Sam Johnson is 3312 W. Bluecanyon St., Boise, ID 83713.</w:t>
      </w:r>
    </w:p>
    <w:p>
      <w:pPr>
        <w:spacing w:after="0" w:line="147" w:lineRule="exact"/>
        <w:rPr>
          <w:rFonts w:ascii="Times New Roman" w:cs="Times New Roman" w:eastAsia="Times New Roman" w:hAnsi="Times New Roman"/>
          <w:sz w:val="24"/>
          <w:szCs w:val="24"/>
          <w:color w:val="auto"/>
          <w:vertAlign w:val="superscript"/>
        </w:rPr>
      </w:pPr>
    </w:p>
    <w:p>
      <w:pPr>
        <w:ind w:left="300" w:hanging="294"/>
        <w:spacing w:after="0" w:line="185" w:lineRule="auto"/>
        <w:tabs>
          <w:tab w:leader="none" w:pos="300"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Brian J. Neville. The address of the principal business office of Brian J. Neville is 2016 W. Winterwood Ct., Nampa, ID 83686.</w:t>
      </w:r>
    </w:p>
    <w:p>
      <w:pPr>
        <w:spacing w:after="0" w:line="157" w:lineRule="exact"/>
        <w:rPr>
          <w:rFonts w:ascii="Times New Roman" w:cs="Times New Roman" w:eastAsia="Times New Roman" w:hAnsi="Times New Roman"/>
          <w:sz w:val="24"/>
          <w:szCs w:val="24"/>
          <w:color w:val="auto"/>
          <w:vertAlign w:val="superscript"/>
        </w:rPr>
      </w:pPr>
    </w:p>
    <w:p>
      <w:pPr>
        <w:ind w:left="300" w:hanging="294"/>
        <w:spacing w:after="0" w:line="190" w:lineRule="auto"/>
        <w:tabs>
          <w:tab w:leader="none" w:pos="300" w:val="left"/>
        </w:tabs>
        <w:numPr>
          <w:ilvl w:val="0"/>
          <w:numId w:val="5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Mark G. Grigg &amp; Debora A. Grigg JT Ten. The address of the principal business office of Mark G. Grigg &amp; Debora A. Grigg JT Ten is 949 S. 1050 East, Albion, ID 83311.</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5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Jessica Clow. The address of the principal business office of Jessica Clow is 13893 W. Woodspring Dr., Boise, ID 83713.</w:t>
      </w:r>
    </w:p>
    <w:p>
      <w:pPr>
        <w:spacing w:after="0" w:line="146" w:lineRule="exact"/>
        <w:rPr>
          <w:rFonts w:ascii="Times New Roman" w:cs="Times New Roman" w:eastAsia="Times New Roman" w:hAnsi="Times New Roman"/>
          <w:sz w:val="26"/>
          <w:szCs w:val="26"/>
          <w:color w:val="auto"/>
          <w:vertAlign w:val="superscript"/>
        </w:rPr>
      </w:pPr>
    </w:p>
    <w:p>
      <w:pPr>
        <w:ind w:left="300" w:hanging="294"/>
        <w:spacing w:after="0" w:line="185" w:lineRule="auto"/>
        <w:tabs>
          <w:tab w:leader="none" w:pos="300"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Jake Conklin. The address of the principal business office of Jake Conklin is 11347 West Dallan Ct., Boise, ID 83713.</w:t>
      </w:r>
    </w:p>
    <w:p>
      <w:pPr>
        <w:spacing w:after="0" w:line="147" w:lineRule="exact"/>
        <w:rPr>
          <w:rFonts w:ascii="Times New Roman" w:cs="Times New Roman" w:eastAsia="Times New Roman" w:hAnsi="Times New Roman"/>
          <w:sz w:val="24"/>
          <w:szCs w:val="24"/>
          <w:color w:val="auto"/>
          <w:vertAlign w:val="superscript"/>
        </w:rPr>
      </w:pPr>
    </w:p>
    <w:p>
      <w:pPr>
        <w:ind w:left="300" w:hanging="294"/>
        <w:spacing w:after="0" w:line="185" w:lineRule="auto"/>
        <w:tabs>
          <w:tab w:leader="none" w:pos="300"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Tucker Allen. The address of the principal business office of Tucker Allen is 1660 Hidden Way, Malvern, PA 19355.</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gridSpan w:val="8"/>
          </w:tcPr>
          <w:p>
            <w:pPr>
              <w:ind w:left="500"/>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top w:val="single" w:sz="8" w:color="auto"/>
            </w:tcBorders>
            <w:gridSpan w:val="2"/>
          </w:tcPr>
          <w:p>
            <w:pPr>
              <w:jc w:val="center"/>
              <w:ind w:right="60"/>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00" w:type="dxa"/>
            <w:vAlign w:val="bottom"/>
          </w:tcPr>
          <w:p>
            <w:pPr>
              <w:spacing w:after="0"/>
              <w:rPr>
                <w:sz w:val="15"/>
                <w:szCs w:val="15"/>
                <w:color w:val="auto"/>
              </w:rPr>
            </w:pPr>
          </w:p>
        </w:tc>
        <w:tc>
          <w:tcPr>
            <w:tcW w:w="108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8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80" w:type="dxa"/>
            <w:vAlign w:val="bottom"/>
          </w:tcPr>
          <w:p>
            <w:pPr>
              <w:spacing w:after="0"/>
              <w:rPr>
                <w:sz w:val="15"/>
                <w:szCs w:val="15"/>
                <w:color w:val="auto"/>
              </w:rPr>
            </w:pPr>
          </w:p>
        </w:tc>
        <w:tc>
          <w:tcPr>
            <w:tcW w:w="78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80" w:type="dxa"/>
            <w:vAlign w:val="bottom"/>
          </w:tcPr>
          <w:p>
            <w:pPr>
              <w:spacing w:after="0"/>
              <w:rPr>
                <w:sz w:val="15"/>
                <w:szCs w:val="15"/>
                <w:color w:val="auto"/>
              </w:rPr>
            </w:pPr>
          </w:p>
        </w:tc>
        <w:tc>
          <w:tcPr>
            <w:tcW w:w="7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9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Beneficially</w:t>
            </w:r>
          </w:p>
        </w:tc>
        <w:tc>
          <w:tcPr>
            <w:tcW w:w="200" w:type="dxa"/>
            <w:vAlign w:val="bottom"/>
          </w:tcPr>
          <w:p>
            <w:pPr>
              <w:spacing w:after="0"/>
              <w:rPr>
                <w:sz w:val="15"/>
                <w:szCs w:val="15"/>
                <w:color w:val="auto"/>
              </w:rPr>
            </w:pPr>
          </w:p>
        </w:tc>
        <w:tc>
          <w:tcPr>
            <w:tcW w:w="7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5"/>
              </w:rPr>
              <w:t>Percent</w:t>
            </w: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00" w:type="dxa"/>
            <w:vAlign w:val="bottom"/>
          </w:tcPr>
          <w:p>
            <w:pPr>
              <w:spacing w:after="0"/>
              <w:rPr>
                <w:sz w:val="15"/>
                <w:szCs w:val="15"/>
                <w:color w:val="auto"/>
              </w:rPr>
            </w:pPr>
          </w:p>
        </w:tc>
        <w:tc>
          <w:tcPr>
            <w:tcW w:w="108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Registered</w:t>
            </w:r>
          </w:p>
        </w:tc>
        <w:tc>
          <w:tcPr>
            <w:tcW w:w="8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80" w:type="dxa"/>
            <w:vAlign w:val="bottom"/>
          </w:tcPr>
          <w:p>
            <w:pPr>
              <w:spacing w:after="0"/>
              <w:rPr>
                <w:sz w:val="15"/>
                <w:szCs w:val="15"/>
                <w:color w:val="auto"/>
              </w:rPr>
            </w:pPr>
          </w:p>
        </w:tc>
        <w:tc>
          <w:tcPr>
            <w:tcW w:w="78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8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80" w:type="dxa"/>
            <w:vAlign w:val="bottom"/>
          </w:tcPr>
          <w:p>
            <w:pPr>
              <w:spacing w:after="0"/>
              <w:rPr>
                <w:sz w:val="15"/>
                <w:szCs w:val="15"/>
                <w:color w:val="auto"/>
              </w:rPr>
            </w:pPr>
          </w:p>
        </w:tc>
        <w:tc>
          <w:tcPr>
            <w:tcW w:w="7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Registered</w:t>
            </w:r>
          </w:p>
        </w:tc>
        <w:tc>
          <w:tcPr>
            <w:tcW w:w="18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7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0" w:type="dxa"/>
            <w:vAlign w:val="bottom"/>
          </w:tcPr>
          <w:p>
            <w:pPr>
              <w:spacing w:after="0"/>
              <w:rPr>
                <w:sz w:val="1"/>
                <w:szCs w:val="1"/>
                <w:color w:val="auto"/>
              </w:rPr>
            </w:pPr>
          </w:p>
        </w:tc>
      </w:tr>
      <w:tr>
        <w:trPr>
          <w:trHeight w:val="205"/>
        </w:trPr>
        <w:tc>
          <w:tcPr>
            <w:tcW w:w="2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Selling Securityholder</w:t>
            </w:r>
            <w:r>
              <w:rPr>
                <w:rFonts w:ascii="Times New Roman" w:cs="Times New Roman" w:eastAsia="Times New Roman" w:hAnsi="Times New Roman"/>
                <w:sz w:val="26"/>
                <w:szCs w:val="26"/>
                <w:b w:val="1"/>
                <w:bCs w:val="1"/>
                <w:color w:val="auto"/>
                <w:vertAlign w:val="superscript"/>
              </w:rPr>
              <w:t>1</w:t>
            </w:r>
          </w:p>
        </w:tc>
        <w:tc>
          <w:tcPr>
            <w:tcW w:w="80" w:type="dxa"/>
            <w:vAlign w:val="bottom"/>
            <w:vMerge w:val="restart"/>
          </w:tcPr>
          <w:p>
            <w:pPr>
              <w:spacing w:after="0"/>
              <w:rPr>
                <w:sz w:val="17"/>
                <w:szCs w:val="17"/>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0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8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8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1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200" w:type="dxa"/>
            <w:vAlign w:val="bottom"/>
          </w:tcPr>
          <w:p>
            <w:pPr>
              <w:spacing w:after="0"/>
              <w:rPr>
                <w:sz w:val="17"/>
                <w:szCs w:val="17"/>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Hereby</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Hereby</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Jordan Buich</w:t>
            </w:r>
            <w:r>
              <w:rPr>
                <w:rFonts w:ascii="Times New Roman" w:cs="Times New Roman" w:eastAsia="Times New Roman" w:hAnsi="Times New Roman"/>
                <w:sz w:val="25"/>
                <w:szCs w:val="25"/>
                <w:color w:val="auto"/>
                <w:vertAlign w:val="superscript"/>
              </w:rPr>
              <w:t>92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300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Suzanne McKinney &amp; Richard McKinney JT</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00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Ten</w:t>
            </w:r>
            <w:r>
              <w:rPr>
                <w:rFonts w:ascii="Times New Roman" w:cs="Times New Roman" w:eastAsia="Times New Roman" w:hAnsi="Times New Roman"/>
                <w:sz w:val="26"/>
                <w:szCs w:val="26"/>
                <w:color w:val="auto"/>
                <w:vertAlign w:val="superscript"/>
              </w:rPr>
              <w:t>93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9"/>
                <w:szCs w:val="19"/>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Mark Skelton &amp; Rochelle Skelton JT Ten</w:t>
            </w:r>
            <w:r>
              <w:rPr>
                <w:rFonts w:ascii="Times New Roman" w:cs="Times New Roman" w:eastAsia="Times New Roman" w:hAnsi="Times New Roman"/>
                <w:sz w:val="25"/>
                <w:szCs w:val="25"/>
                <w:color w:val="auto"/>
                <w:vertAlign w:val="superscript"/>
              </w:rPr>
              <w:t>94</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Mary Vincent</w:t>
            </w:r>
            <w:r>
              <w:rPr>
                <w:rFonts w:ascii="Times New Roman" w:cs="Times New Roman" w:eastAsia="Times New Roman" w:hAnsi="Times New Roman"/>
                <w:sz w:val="25"/>
                <w:szCs w:val="25"/>
                <w:color w:val="auto"/>
                <w:vertAlign w:val="superscript"/>
              </w:rPr>
              <w:t>95</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David Buich</w:t>
            </w:r>
            <w:r>
              <w:rPr>
                <w:rFonts w:ascii="Times New Roman" w:cs="Times New Roman" w:eastAsia="Times New Roman" w:hAnsi="Times New Roman"/>
                <w:sz w:val="25"/>
                <w:szCs w:val="25"/>
                <w:color w:val="auto"/>
                <w:vertAlign w:val="superscript"/>
              </w:rPr>
              <w:t>96</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Gina M. Stantucci</w:t>
            </w:r>
            <w:r>
              <w:rPr>
                <w:rFonts w:ascii="Times New Roman" w:cs="Times New Roman" w:eastAsia="Times New Roman" w:hAnsi="Times New Roman"/>
                <w:sz w:val="25"/>
                <w:szCs w:val="25"/>
                <w:color w:val="auto"/>
                <w:vertAlign w:val="superscript"/>
              </w:rPr>
              <w:t>97</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Marcus Stuart</w:t>
            </w:r>
            <w:r>
              <w:rPr>
                <w:rFonts w:ascii="Times New Roman" w:cs="Times New Roman" w:eastAsia="Times New Roman" w:hAnsi="Times New Roman"/>
                <w:sz w:val="25"/>
                <w:szCs w:val="25"/>
                <w:color w:val="auto"/>
                <w:vertAlign w:val="superscript"/>
              </w:rPr>
              <w:t>98</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Greg Gale</w:t>
            </w:r>
            <w:r>
              <w:rPr>
                <w:rFonts w:ascii="Times New Roman" w:cs="Times New Roman" w:eastAsia="Times New Roman" w:hAnsi="Times New Roman"/>
                <w:sz w:val="25"/>
                <w:szCs w:val="25"/>
                <w:color w:val="auto"/>
                <w:vertAlign w:val="superscript"/>
              </w:rPr>
              <w:t>99</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Monica L. Davis</w:t>
            </w:r>
            <w:r>
              <w:rPr>
                <w:rFonts w:ascii="Times New Roman" w:cs="Times New Roman" w:eastAsia="Times New Roman" w:hAnsi="Times New Roman"/>
                <w:sz w:val="25"/>
                <w:szCs w:val="25"/>
                <w:color w:val="auto"/>
                <w:vertAlign w:val="superscript"/>
              </w:rPr>
              <w:t>100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Robert T. Stockham</w:t>
            </w:r>
            <w:r>
              <w:rPr>
                <w:rFonts w:ascii="Times New Roman" w:cs="Times New Roman" w:eastAsia="Times New Roman" w:hAnsi="Times New Roman"/>
                <w:sz w:val="25"/>
                <w:szCs w:val="25"/>
                <w:color w:val="auto"/>
                <w:vertAlign w:val="superscript"/>
              </w:rPr>
              <w:t>101</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Nikolas A. Buich</w:t>
            </w:r>
            <w:r>
              <w:rPr>
                <w:rFonts w:ascii="Times New Roman" w:cs="Times New Roman" w:eastAsia="Times New Roman" w:hAnsi="Times New Roman"/>
                <w:sz w:val="25"/>
                <w:szCs w:val="25"/>
                <w:color w:val="auto"/>
                <w:vertAlign w:val="superscript"/>
              </w:rPr>
              <w:t>102</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Dylan Rodgers</w:t>
            </w:r>
            <w:r>
              <w:rPr>
                <w:rFonts w:ascii="Times New Roman" w:cs="Times New Roman" w:eastAsia="Times New Roman" w:hAnsi="Times New Roman"/>
                <w:sz w:val="25"/>
                <w:szCs w:val="25"/>
                <w:color w:val="auto"/>
                <w:vertAlign w:val="superscript"/>
              </w:rPr>
              <w:t>103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300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Jeremy Palmerton &amp; Wendy Palmerton JT</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00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Ten</w:t>
            </w:r>
            <w:r>
              <w:rPr>
                <w:rFonts w:ascii="Times New Roman" w:cs="Times New Roman" w:eastAsia="Times New Roman" w:hAnsi="Times New Roman"/>
                <w:sz w:val="26"/>
                <w:szCs w:val="26"/>
                <w:color w:val="auto"/>
                <w:vertAlign w:val="superscript"/>
              </w:rPr>
              <w:t>104</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6,031</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6,031</w:t>
            </w: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167703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77035" cy="15240"/>
                    </a:xfrm>
                    <a:prstGeom prst="rect">
                      <a:avLst/>
                    </a:prstGeom>
                    <a:noFill/>
                  </pic:spPr>
                </pic:pic>
              </a:graphicData>
            </a:graphic>
          </wp:anchor>
        </w:drawing>
      </w:r>
    </w:p>
    <w:p>
      <w:pPr>
        <w:spacing w:after="0" w:line="99" w:lineRule="exact"/>
        <w:rPr>
          <w:sz w:val="20"/>
          <w:szCs w:val="20"/>
          <w:color w:val="auto"/>
        </w:rPr>
      </w:pPr>
    </w:p>
    <w:p>
      <w:pPr>
        <w:ind w:left="300" w:hanging="294"/>
        <w:spacing w:after="0"/>
        <w:tabs>
          <w:tab w:leader="none" w:pos="300" w:val="left"/>
        </w:tabs>
        <w:numPr>
          <w:ilvl w:val="0"/>
          <w:numId w:val="6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Jordan Buich. The address of the principal business office of Jordan Buich is 132 Monarch Bay Dr., Dana Point, CA 92629.</w:t>
      </w:r>
    </w:p>
    <w:p>
      <w:pPr>
        <w:spacing w:after="0" w:line="157" w:lineRule="exact"/>
        <w:rPr>
          <w:rFonts w:ascii="Times New Roman" w:cs="Times New Roman" w:eastAsia="Times New Roman" w:hAnsi="Times New Roman"/>
          <w:sz w:val="26"/>
          <w:szCs w:val="26"/>
          <w:color w:val="auto"/>
          <w:vertAlign w:val="superscript"/>
        </w:rPr>
      </w:pPr>
    </w:p>
    <w:p>
      <w:pPr>
        <w:ind w:left="300" w:hanging="294"/>
        <w:spacing w:after="0" w:line="190" w:lineRule="auto"/>
        <w:tabs>
          <w:tab w:leader="none" w:pos="300" w:val="left"/>
        </w:tabs>
        <w:numPr>
          <w:ilvl w:val="0"/>
          <w:numId w:val="6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Suzanne McKinney &amp; Richard McKinney JT Ten. The address of the principal business office of Suzanne McKinney &amp; Richard McKinney JT Ten is 1331 E. Lone Creek Dr., Eagle, ID 83616.</w:t>
      </w:r>
    </w:p>
    <w:p>
      <w:pPr>
        <w:spacing w:after="0" w:line="157" w:lineRule="exact"/>
        <w:rPr>
          <w:rFonts w:ascii="Times New Roman" w:cs="Times New Roman" w:eastAsia="Times New Roman" w:hAnsi="Times New Roman"/>
          <w:sz w:val="26"/>
          <w:szCs w:val="26"/>
          <w:color w:val="auto"/>
          <w:vertAlign w:val="superscript"/>
        </w:rPr>
      </w:pPr>
    </w:p>
    <w:p>
      <w:pPr>
        <w:ind w:left="300" w:hanging="294"/>
        <w:spacing w:after="0" w:line="190" w:lineRule="auto"/>
        <w:tabs>
          <w:tab w:leader="none" w:pos="300" w:val="left"/>
        </w:tabs>
        <w:numPr>
          <w:ilvl w:val="0"/>
          <w:numId w:val="6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Mark Skelton &amp; Rochelle Skelton JT Ten. The address of the principal business office of Mark Skelton &amp; Rochelle Skelton JT Ten is 3846 S. Baja Way, Boise, ID 83709.</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6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Mary Vincent. The address of the principal business office of Mary Vincent is 2291 Bensley St., Henderson, NV 89044.</w:t>
      </w:r>
    </w:p>
    <w:p>
      <w:pPr>
        <w:spacing w:after="0" w:line="146" w:lineRule="exact"/>
        <w:rPr>
          <w:rFonts w:ascii="Times New Roman" w:cs="Times New Roman" w:eastAsia="Times New Roman" w:hAnsi="Times New Roman"/>
          <w:sz w:val="26"/>
          <w:szCs w:val="26"/>
          <w:color w:val="auto"/>
          <w:vertAlign w:val="superscript"/>
        </w:rPr>
      </w:pPr>
    </w:p>
    <w:p>
      <w:pPr>
        <w:ind w:left="300" w:hanging="294"/>
        <w:spacing w:after="0" w:line="185" w:lineRule="auto"/>
        <w:tabs>
          <w:tab w:leader="none" w:pos="300" w:val="left"/>
        </w:tabs>
        <w:numPr>
          <w:ilvl w:val="0"/>
          <w:numId w:val="6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David Buich. The address of the principal business office of David Buich is PO Box 516, Eagle, ID 83616.</w:t>
      </w:r>
    </w:p>
    <w:p>
      <w:pPr>
        <w:spacing w:after="0" w:line="157" w:lineRule="exact"/>
        <w:rPr>
          <w:rFonts w:ascii="Times New Roman" w:cs="Times New Roman" w:eastAsia="Times New Roman" w:hAnsi="Times New Roman"/>
          <w:sz w:val="24"/>
          <w:szCs w:val="24"/>
          <w:color w:val="auto"/>
          <w:vertAlign w:val="superscript"/>
        </w:rPr>
      </w:pPr>
    </w:p>
    <w:p>
      <w:pPr>
        <w:ind w:left="300" w:right="20" w:hanging="294"/>
        <w:spacing w:after="0" w:line="208" w:lineRule="auto"/>
        <w:tabs>
          <w:tab w:leader="none" w:pos="300" w:val="left"/>
        </w:tabs>
        <w:numPr>
          <w:ilvl w:val="0"/>
          <w:numId w:val="6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Gina M. Stantucci. The address of the principal business office of Gina M. Stantucci is 1837B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Ave. North, Nashville, TN 37208.</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6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Marcus Stuart. The address of the principal business office of Marcus Stuart is 5298 N. Hickory Tree Way, Boise, ID 83713.</w:t>
      </w:r>
    </w:p>
    <w:p>
      <w:pPr>
        <w:sectPr>
          <w:pgSz w:w="11900" w:h="16840" w:orient="portrait"/>
          <w:cols w:equalWidth="0" w:num="1">
            <w:col w:w="10560"/>
          </w:cols>
          <w:pgMar w:left="660" w:top="555" w:right="680" w:bottom="0" w:gutter="0" w:footer="0" w:header="0"/>
        </w:sectPr>
      </w:pPr>
    </w:p>
    <w:bookmarkStart w:id="60" w:name="page61"/>
    <w:bookmarkEnd w:id="60"/>
    <w:p>
      <w:pPr>
        <w:ind w:left="300" w:hanging="294"/>
        <w:spacing w:after="0"/>
        <w:tabs>
          <w:tab w:leader="none" w:pos="300" w:val="left"/>
        </w:tabs>
        <w:numPr>
          <w:ilvl w:val="0"/>
          <w:numId w:val="6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Greg Gale. The address of the principal business office of Greg Gale is 11047 N.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6"/>
          <w:szCs w:val="16"/>
          <w:color w:val="auto"/>
        </w:rPr>
        <w:t xml:space="preserve"> Street, Scottsdale, AZ 85254.</w:t>
      </w:r>
    </w:p>
    <w:p>
      <w:pPr>
        <w:spacing w:after="0" w:line="50" w:lineRule="exact"/>
        <w:rPr>
          <w:rFonts w:ascii="Times New Roman" w:cs="Times New Roman" w:eastAsia="Times New Roman" w:hAnsi="Times New Roman"/>
          <w:sz w:val="26"/>
          <w:szCs w:val="26"/>
          <w:color w:val="auto"/>
          <w:vertAlign w:val="superscript"/>
        </w:rPr>
      </w:pPr>
    </w:p>
    <w:p>
      <w:pPr>
        <w:ind w:left="300" w:hanging="294"/>
        <w:spacing w:after="0" w:line="208" w:lineRule="auto"/>
        <w:tabs>
          <w:tab w:leader="none" w:pos="300" w:val="left"/>
        </w:tabs>
        <w:numPr>
          <w:ilvl w:val="0"/>
          <w:numId w:val="6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shares directly held by Monica L. Davis. The address of the principal business office of Monica L. Davis is 998 E. Winding Creek Dr., Eagle, ID 83616.</w:t>
      </w:r>
    </w:p>
    <w:p>
      <w:pPr>
        <w:spacing w:after="0" w:line="157" w:lineRule="exact"/>
        <w:rPr>
          <w:rFonts w:ascii="Times New Roman" w:cs="Times New Roman" w:eastAsia="Times New Roman" w:hAnsi="Times New Roman"/>
          <w:sz w:val="25"/>
          <w:szCs w:val="25"/>
          <w:color w:val="auto"/>
          <w:vertAlign w:val="superscript"/>
        </w:rPr>
      </w:pPr>
    </w:p>
    <w:p>
      <w:pPr>
        <w:ind w:left="300" w:right="60" w:hanging="294"/>
        <w:spacing w:after="0" w:line="190" w:lineRule="auto"/>
        <w:tabs>
          <w:tab w:leader="none" w:pos="300" w:val="left"/>
        </w:tabs>
        <w:numPr>
          <w:ilvl w:val="0"/>
          <w:numId w:val="6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Robert T. Stockham. The address of the principal business office of Robert T. Stockham is 3608 S. Julianite Ave., Nampa, ID 83686.</w:t>
      </w:r>
    </w:p>
    <w:p>
      <w:pPr>
        <w:spacing w:after="0" w:line="157" w:lineRule="exact"/>
        <w:rPr>
          <w:rFonts w:ascii="Times New Roman" w:cs="Times New Roman" w:eastAsia="Times New Roman" w:hAnsi="Times New Roman"/>
          <w:sz w:val="26"/>
          <w:szCs w:val="26"/>
          <w:color w:val="auto"/>
          <w:vertAlign w:val="superscript"/>
        </w:rPr>
      </w:pPr>
    </w:p>
    <w:p>
      <w:pPr>
        <w:ind w:left="300" w:right="40" w:hanging="294"/>
        <w:spacing w:after="0" w:line="190" w:lineRule="auto"/>
        <w:tabs>
          <w:tab w:leader="none" w:pos="300" w:val="left"/>
        </w:tabs>
        <w:numPr>
          <w:ilvl w:val="0"/>
          <w:numId w:val="6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Nikolas A. Buich. The address of the principal business office of Nikolas A. Buich is 1064 S. Don Vincent Lane, Eagle, ID 83616.</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6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Dylan Rodgers. The address of the principal business office of Dylan Rodgers is PO Box 891, Meridian, ID 83680.</w:t>
      </w:r>
    </w:p>
    <w:p>
      <w:pPr>
        <w:spacing w:after="0" w:line="157" w:lineRule="exact"/>
        <w:rPr>
          <w:rFonts w:ascii="Times New Roman" w:cs="Times New Roman" w:eastAsia="Times New Roman" w:hAnsi="Times New Roman"/>
          <w:sz w:val="26"/>
          <w:szCs w:val="26"/>
          <w:color w:val="auto"/>
          <w:vertAlign w:val="superscript"/>
        </w:rPr>
      </w:pPr>
    </w:p>
    <w:p>
      <w:pPr>
        <w:ind w:left="300" w:right="20" w:hanging="294"/>
        <w:spacing w:after="0" w:line="190" w:lineRule="auto"/>
        <w:tabs>
          <w:tab w:leader="none" w:pos="300" w:val="left"/>
        </w:tabs>
        <w:numPr>
          <w:ilvl w:val="0"/>
          <w:numId w:val="6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Jeremy Palmerton &amp; Wendy Palmerton JT Ten. The address of the principal business office of Jeremy Palmerton &amp; Wendy Palmerton JT Ten is 3458 N. Weston Way, Meridian, ID 83646.</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60" w:type="dxa"/>
            <w:vAlign w:val="bottom"/>
            <w:gridSpan w:val="6"/>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Warrants to Purchase Common Stock</w:t>
            </w:r>
          </w:p>
        </w:tc>
        <w:tc>
          <w:tcPr>
            <w:tcW w:w="0" w:type="dxa"/>
            <w:vAlign w:val="bottom"/>
          </w:tcPr>
          <w:p>
            <w:pPr>
              <w:spacing w:after="0"/>
              <w:rPr>
                <w:sz w:val="1"/>
                <w:szCs w:val="1"/>
                <w:color w:val="auto"/>
              </w:rPr>
            </w:pPr>
          </w:p>
        </w:tc>
      </w:tr>
      <w:tr>
        <w:trPr>
          <w:trHeight w:val="165"/>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top w:val="single" w:sz="8" w:color="auto"/>
            </w:tcBorders>
            <w:gridSpan w:val="2"/>
          </w:tcPr>
          <w:p>
            <w:pPr>
              <w:jc w:val="center"/>
              <w:ind w:right="220"/>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8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4"/>
              </w:rPr>
              <w:t>Beneficially</w:t>
            </w:r>
          </w:p>
        </w:tc>
        <w:tc>
          <w:tcPr>
            <w:tcW w:w="106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80" w:type="dxa"/>
            <w:vAlign w:val="bottom"/>
          </w:tcPr>
          <w:p>
            <w:pPr>
              <w:spacing w:after="0"/>
              <w:rPr>
                <w:sz w:val="15"/>
                <w:szCs w:val="15"/>
                <w:color w:val="auto"/>
              </w:rPr>
            </w:pPr>
          </w:p>
        </w:tc>
        <w:tc>
          <w:tcPr>
            <w:tcW w:w="8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180" w:type="dxa"/>
            <w:vAlign w:val="bottom"/>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200" w:type="dxa"/>
            <w:vAlign w:val="bottom"/>
          </w:tcPr>
          <w:p>
            <w:pPr>
              <w:spacing w:after="0"/>
              <w:rPr>
                <w:sz w:val="15"/>
                <w:szCs w:val="15"/>
                <w:color w:val="auto"/>
              </w:rPr>
            </w:pPr>
          </w:p>
        </w:tc>
        <w:tc>
          <w:tcPr>
            <w:tcW w:w="8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200" w:type="dxa"/>
            <w:vAlign w:val="bottom"/>
          </w:tcPr>
          <w:p>
            <w:pPr>
              <w:spacing w:after="0"/>
              <w:rPr>
                <w:sz w:val="15"/>
                <w:szCs w:val="15"/>
                <w:color w:val="auto"/>
              </w:rPr>
            </w:pPr>
          </w:p>
        </w:tc>
        <w:tc>
          <w:tcPr>
            <w:tcW w:w="96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0" w:type="dxa"/>
            <w:vAlign w:val="bottom"/>
          </w:tcPr>
          <w:p>
            <w:pPr>
              <w:spacing w:after="0"/>
              <w:rPr>
                <w:sz w:val="1"/>
                <w:szCs w:val="1"/>
                <w:color w:val="auto"/>
              </w:rPr>
            </w:pPr>
          </w:p>
        </w:tc>
      </w:tr>
      <w:tr>
        <w:trPr>
          <w:trHeight w:val="180"/>
        </w:trPr>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06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6"/>
              </w:rPr>
              <w:t>Registered</w:t>
            </w: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80" w:type="dxa"/>
            <w:vAlign w:val="bottom"/>
          </w:tcPr>
          <w:p>
            <w:pPr>
              <w:spacing w:after="0"/>
              <w:rPr>
                <w:sz w:val="15"/>
                <w:szCs w:val="15"/>
                <w:color w:val="auto"/>
              </w:rPr>
            </w:pPr>
          </w:p>
        </w:tc>
        <w:tc>
          <w:tcPr>
            <w:tcW w:w="8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80" w:type="dxa"/>
            <w:vAlign w:val="bottom"/>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8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Registered</w:t>
            </w:r>
          </w:p>
        </w:tc>
        <w:tc>
          <w:tcPr>
            <w:tcW w:w="200" w:type="dxa"/>
            <w:vAlign w:val="bottom"/>
          </w:tcPr>
          <w:p>
            <w:pPr>
              <w:spacing w:after="0"/>
              <w:rPr>
                <w:sz w:val="15"/>
                <w:szCs w:val="15"/>
                <w:color w:val="auto"/>
              </w:rPr>
            </w:pPr>
          </w:p>
        </w:tc>
        <w:tc>
          <w:tcPr>
            <w:tcW w:w="9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0" w:type="dxa"/>
            <w:vAlign w:val="bottom"/>
          </w:tcPr>
          <w:p>
            <w:pPr>
              <w:spacing w:after="0"/>
              <w:rPr>
                <w:sz w:val="1"/>
                <w:szCs w:val="1"/>
                <w:color w:val="auto"/>
              </w:rPr>
            </w:pPr>
          </w:p>
        </w:tc>
      </w:tr>
      <w:tr>
        <w:trPr>
          <w:trHeight w:val="205"/>
        </w:trPr>
        <w:tc>
          <w:tcPr>
            <w:tcW w:w="3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Selling Securityholder</w:t>
            </w:r>
            <w:r>
              <w:rPr>
                <w:rFonts w:ascii="Times New Roman" w:cs="Times New Roman" w:eastAsia="Times New Roman" w:hAnsi="Times New Roman"/>
                <w:sz w:val="26"/>
                <w:szCs w:val="26"/>
                <w:b w:val="1"/>
                <w:bCs w:val="1"/>
                <w:color w:val="auto"/>
                <w:vertAlign w:val="superscript"/>
              </w:rPr>
              <w:t>1</w:t>
            </w:r>
          </w:p>
        </w:tc>
        <w:tc>
          <w:tcPr>
            <w:tcW w:w="120" w:type="dxa"/>
            <w:vAlign w:val="bottom"/>
            <w:vMerge w:val="restart"/>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for Sale</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2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for Sale</w:t>
            </w:r>
          </w:p>
        </w:tc>
        <w:tc>
          <w:tcPr>
            <w:tcW w:w="20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Hereby</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Hereby</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Mark Marshburn</w:t>
            </w:r>
            <w:r>
              <w:rPr>
                <w:rFonts w:ascii="Times New Roman" w:cs="Times New Roman" w:eastAsia="Times New Roman" w:hAnsi="Times New Roman"/>
                <w:sz w:val="25"/>
                <w:szCs w:val="25"/>
                <w:color w:val="auto"/>
                <w:vertAlign w:val="superscript"/>
              </w:rPr>
              <w:t>105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6,131</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Danible Realty LLC</w:t>
            </w:r>
            <w:r>
              <w:rPr>
                <w:rFonts w:ascii="Times New Roman" w:cs="Times New Roman" w:eastAsia="Times New Roman" w:hAnsi="Times New Roman"/>
                <w:sz w:val="25"/>
                <w:szCs w:val="25"/>
                <w:color w:val="auto"/>
                <w:vertAlign w:val="superscript"/>
              </w:rPr>
              <w:t>106</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6,031</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Kyle Delorey</w:t>
            </w:r>
            <w:r>
              <w:rPr>
                <w:rFonts w:ascii="Times New Roman" w:cs="Times New Roman" w:eastAsia="Times New Roman" w:hAnsi="Times New Roman"/>
                <w:sz w:val="25"/>
                <w:szCs w:val="25"/>
                <w:color w:val="auto"/>
                <w:vertAlign w:val="superscript"/>
              </w:rPr>
              <w:t>107</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6,031</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Michael Melhorn &amp; Stephanie Melhorn JT Ten</w:t>
            </w:r>
            <w:r>
              <w:rPr>
                <w:rFonts w:ascii="Times New Roman" w:cs="Times New Roman" w:eastAsia="Times New Roman" w:hAnsi="Times New Roman"/>
                <w:sz w:val="25"/>
                <w:szCs w:val="25"/>
                <w:color w:val="auto"/>
                <w:vertAlign w:val="superscript"/>
              </w:rPr>
              <w:t>108</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6,031</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J. Randall Moss</w:t>
            </w:r>
            <w:r>
              <w:rPr>
                <w:rFonts w:ascii="Times New Roman" w:cs="Times New Roman" w:eastAsia="Times New Roman" w:hAnsi="Times New Roman"/>
                <w:sz w:val="25"/>
                <w:szCs w:val="25"/>
                <w:color w:val="auto"/>
                <w:vertAlign w:val="superscript"/>
              </w:rPr>
              <w:t>109</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6,031</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Nathan Smith</w:t>
            </w:r>
            <w:r>
              <w:rPr>
                <w:rFonts w:ascii="Times New Roman" w:cs="Times New Roman" w:eastAsia="Times New Roman" w:hAnsi="Times New Roman"/>
                <w:sz w:val="25"/>
                <w:szCs w:val="25"/>
                <w:color w:val="auto"/>
                <w:vertAlign w:val="superscript"/>
              </w:rPr>
              <w:t>110</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6,031</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Neal Stuart</w:t>
            </w:r>
            <w:r>
              <w:rPr>
                <w:rFonts w:ascii="Times New Roman" w:cs="Times New Roman" w:eastAsia="Times New Roman" w:hAnsi="Times New Roman"/>
                <w:sz w:val="25"/>
                <w:szCs w:val="25"/>
                <w:color w:val="auto"/>
                <w:vertAlign w:val="superscript"/>
              </w:rPr>
              <w:t>111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6,131</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Clinton Christensen</w:t>
            </w:r>
            <w:r>
              <w:rPr>
                <w:rFonts w:ascii="Times New Roman" w:cs="Times New Roman" w:eastAsia="Times New Roman" w:hAnsi="Times New Roman"/>
                <w:sz w:val="25"/>
                <w:szCs w:val="25"/>
                <w:color w:val="auto"/>
                <w:vertAlign w:val="superscript"/>
              </w:rPr>
              <w:t>112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6,031</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Kelsie Nalder</w:t>
            </w:r>
            <w:r>
              <w:rPr>
                <w:rFonts w:ascii="Times New Roman" w:cs="Times New Roman" w:eastAsia="Times New Roman" w:hAnsi="Times New Roman"/>
                <w:sz w:val="25"/>
                <w:szCs w:val="25"/>
                <w:color w:val="auto"/>
                <w:vertAlign w:val="superscript"/>
              </w:rPr>
              <w:t>113</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6,031</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Joshua D. Barnes</w:t>
            </w:r>
            <w:r>
              <w:rPr>
                <w:rFonts w:ascii="Times New Roman" w:cs="Times New Roman" w:eastAsia="Times New Roman" w:hAnsi="Times New Roman"/>
                <w:sz w:val="25"/>
                <w:szCs w:val="25"/>
                <w:color w:val="auto"/>
                <w:vertAlign w:val="superscript"/>
              </w:rPr>
              <w:t>114</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6,031</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Jack Lunsford &amp; Katie Lunsford JT Ten</w:t>
            </w:r>
            <w:r>
              <w:rPr>
                <w:rFonts w:ascii="Times New Roman" w:cs="Times New Roman" w:eastAsia="Times New Roman" w:hAnsi="Times New Roman"/>
                <w:sz w:val="25"/>
                <w:szCs w:val="25"/>
                <w:color w:val="auto"/>
                <w:vertAlign w:val="superscript"/>
              </w:rPr>
              <w:t>115</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6,031</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Paul Garn</w:t>
            </w:r>
            <w:r>
              <w:rPr>
                <w:rFonts w:ascii="Times New Roman" w:cs="Times New Roman" w:eastAsia="Times New Roman" w:hAnsi="Times New Roman"/>
                <w:sz w:val="25"/>
                <w:szCs w:val="25"/>
                <w:color w:val="auto"/>
                <w:vertAlign w:val="superscript"/>
              </w:rPr>
              <w:t>116</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6,031</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Garrett Jones</w:t>
            </w:r>
            <w:r>
              <w:rPr>
                <w:rFonts w:ascii="Times New Roman" w:cs="Times New Roman" w:eastAsia="Times New Roman" w:hAnsi="Times New Roman"/>
                <w:sz w:val="25"/>
                <w:szCs w:val="25"/>
                <w:color w:val="auto"/>
                <w:vertAlign w:val="superscript"/>
              </w:rPr>
              <w:t>117</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6,031</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167703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77035" cy="15240"/>
                    </a:xfrm>
                    <a:prstGeom prst="rect">
                      <a:avLst/>
                    </a:prstGeom>
                    <a:noFill/>
                  </pic:spPr>
                </pic:pic>
              </a:graphicData>
            </a:graphic>
          </wp:anchor>
        </w:drawing>
      </w:r>
    </w:p>
    <w:p>
      <w:pPr>
        <w:spacing w:after="0" w:line="195" w:lineRule="exact"/>
        <w:rPr>
          <w:sz w:val="20"/>
          <w:szCs w:val="20"/>
          <w:color w:val="auto"/>
        </w:rPr>
      </w:pPr>
    </w:p>
    <w:p>
      <w:pPr>
        <w:ind w:left="300" w:right="40" w:hanging="294"/>
        <w:spacing w:after="0" w:line="190" w:lineRule="auto"/>
        <w:tabs>
          <w:tab w:leader="none" w:pos="300" w:val="left"/>
        </w:tabs>
        <w:numPr>
          <w:ilvl w:val="0"/>
          <w:numId w:val="6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Mark Marshburn. The address of the principal business office of Mark Marshburn is 7135 N. Spurwing Way, Meridian, ID 83646.</w:t>
      </w:r>
    </w:p>
    <w:p>
      <w:pPr>
        <w:spacing w:after="0" w:line="157" w:lineRule="exact"/>
        <w:rPr>
          <w:rFonts w:ascii="Times New Roman" w:cs="Times New Roman" w:eastAsia="Times New Roman" w:hAnsi="Times New Roman"/>
          <w:sz w:val="26"/>
          <w:szCs w:val="26"/>
          <w:color w:val="auto"/>
          <w:vertAlign w:val="superscript"/>
        </w:rPr>
      </w:pPr>
    </w:p>
    <w:p>
      <w:pPr>
        <w:ind w:left="300" w:hanging="294"/>
        <w:spacing w:after="0" w:line="190" w:lineRule="auto"/>
        <w:tabs>
          <w:tab w:leader="none" w:pos="300" w:val="left"/>
        </w:tabs>
        <w:numPr>
          <w:ilvl w:val="0"/>
          <w:numId w:val="6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Danible Realty LLC. Alexis Danible is the sole member of Danible Realty LLC. The address of the principal business office of Danible Realty LLC is 10907 W. Annafaye St., Star, ID 83669.</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6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Kyle Delorey. The address of the principal business office of Kyle Delorey 6807 W. Los Flores Dr., Meridian, ID 83646.</w:t>
      </w:r>
    </w:p>
    <w:p>
      <w:pPr>
        <w:spacing w:after="0" w:line="157" w:lineRule="exact"/>
        <w:rPr>
          <w:rFonts w:ascii="Times New Roman" w:cs="Times New Roman" w:eastAsia="Times New Roman" w:hAnsi="Times New Roman"/>
          <w:sz w:val="26"/>
          <w:szCs w:val="26"/>
          <w:color w:val="auto"/>
          <w:vertAlign w:val="superscript"/>
        </w:rPr>
      </w:pPr>
    </w:p>
    <w:p>
      <w:pPr>
        <w:ind w:left="300" w:right="20" w:hanging="294"/>
        <w:spacing w:after="0" w:line="190" w:lineRule="auto"/>
        <w:tabs>
          <w:tab w:leader="none" w:pos="300" w:val="left"/>
        </w:tabs>
        <w:numPr>
          <w:ilvl w:val="0"/>
          <w:numId w:val="6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Michael Melhorn &amp; Stephanie Melhorn JT Ten. The address of the principal business office of Michael Melhorn &amp; Stephanie Melhorn JT Ten is 5130 W. Tia Inez St., Eagle, ID 83616.</w:t>
      </w:r>
    </w:p>
    <w:p>
      <w:pPr>
        <w:spacing w:after="0" w:line="73"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6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shares directly held by J. Randall Moss. The address of the principal business office of J. Randall Moss is 1930 N. Wind Cave Way, Eagle, ID 83616.</w:t>
      </w:r>
    </w:p>
    <w:p>
      <w:pPr>
        <w:spacing w:after="0" w:line="146" w:lineRule="exact"/>
        <w:rPr>
          <w:rFonts w:ascii="Times New Roman" w:cs="Times New Roman" w:eastAsia="Times New Roman" w:hAnsi="Times New Roman"/>
          <w:sz w:val="25"/>
          <w:szCs w:val="25"/>
          <w:color w:val="auto"/>
          <w:vertAlign w:val="superscript"/>
        </w:rPr>
      </w:pPr>
    </w:p>
    <w:p>
      <w:pPr>
        <w:ind w:left="300" w:hanging="294"/>
        <w:spacing w:after="0" w:line="185" w:lineRule="auto"/>
        <w:tabs>
          <w:tab w:leader="none" w:pos="300" w:val="left"/>
        </w:tabs>
        <w:numPr>
          <w:ilvl w:val="0"/>
          <w:numId w:val="6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Nathan Smith. The address of the principal business office of Nathan Smith is 6864 N. Pira, Meridian, ID 83646.</w:t>
      </w:r>
    </w:p>
    <w:p>
      <w:pPr>
        <w:spacing w:after="0" w:line="147" w:lineRule="exact"/>
        <w:rPr>
          <w:rFonts w:ascii="Times New Roman" w:cs="Times New Roman" w:eastAsia="Times New Roman" w:hAnsi="Times New Roman"/>
          <w:sz w:val="24"/>
          <w:szCs w:val="24"/>
          <w:color w:val="auto"/>
          <w:vertAlign w:val="superscript"/>
        </w:rPr>
      </w:pPr>
    </w:p>
    <w:p>
      <w:pPr>
        <w:ind w:left="300" w:hanging="294"/>
        <w:spacing w:after="0" w:line="185" w:lineRule="auto"/>
        <w:tabs>
          <w:tab w:leader="none" w:pos="300" w:val="left"/>
        </w:tabs>
        <w:numPr>
          <w:ilvl w:val="0"/>
          <w:numId w:val="6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Neal Stuart. The address of the principal business office of Neal Stuart is 2148 W. Three Lakes Dr., Meridian, ID 83646.</w:t>
      </w:r>
    </w:p>
    <w:p>
      <w:pPr>
        <w:spacing w:after="0" w:line="157" w:lineRule="exact"/>
        <w:rPr>
          <w:rFonts w:ascii="Times New Roman" w:cs="Times New Roman" w:eastAsia="Times New Roman" w:hAnsi="Times New Roman"/>
          <w:sz w:val="24"/>
          <w:szCs w:val="24"/>
          <w:color w:val="auto"/>
          <w:vertAlign w:val="superscript"/>
        </w:rPr>
      </w:pPr>
    </w:p>
    <w:p>
      <w:pPr>
        <w:ind w:left="300" w:right="20" w:hanging="294"/>
        <w:spacing w:after="0" w:line="190" w:lineRule="auto"/>
        <w:tabs>
          <w:tab w:leader="none" w:pos="300" w:val="left"/>
        </w:tabs>
        <w:numPr>
          <w:ilvl w:val="0"/>
          <w:numId w:val="6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Clinton Christensen. The address of the principal business office of Clinton Christensen is 3817 B North 2300 East, Filer, ID 83328.</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6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Kelsie Nalder. The address of the principal business office of Kelsie Nalder is 946 Applewood Dr., Buhl, ID 83316.</w:t>
      </w:r>
    </w:p>
    <w:p>
      <w:pPr>
        <w:spacing w:after="0" w:line="146" w:lineRule="exact"/>
        <w:rPr>
          <w:rFonts w:ascii="Times New Roman" w:cs="Times New Roman" w:eastAsia="Times New Roman" w:hAnsi="Times New Roman"/>
          <w:sz w:val="26"/>
          <w:szCs w:val="26"/>
          <w:color w:val="auto"/>
          <w:vertAlign w:val="superscript"/>
        </w:rPr>
      </w:pPr>
    </w:p>
    <w:p>
      <w:pPr>
        <w:ind w:left="300" w:hanging="294"/>
        <w:spacing w:after="0" w:line="185" w:lineRule="auto"/>
        <w:tabs>
          <w:tab w:leader="none" w:pos="300" w:val="left"/>
        </w:tabs>
        <w:numPr>
          <w:ilvl w:val="0"/>
          <w:numId w:val="6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Joshua D. Barnes. The address of the principal business office of Joshua D. Barnes is 3681 N. 2500 East, Twin Falls, ID 83301.</w:t>
      </w:r>
    </w:p>
    <w:p>
      <w:pPr>
        <w:spacing w:after="0" w:line="157" w:lineRule="exact"/>
        <w:rPr>
          <w:rFonts w:ascii="Times New Roman" w:cs="Times New Roman" w:eastAsia="Times New Roman" w:hAnsi="Times New Roman"/>
          <w:sz w:val="24"/>
          <w:szCs w:val="24"/>
          <w:color w:val="auto"/>
          <w:vertAlign w:val="superscript"/>
        </w:rPr>
      </w:pPr>
    </w:p>
    <w:p>
      <w:pPr>
        <w:ind w:left="300" w:right="20" w:hanging="294"/>
        <w:spacing w:after="0" w:line="190" w:lineRule="auto"/>
        <w:tabs>
          <w:tab w:leader="none" w:pos="300" w:val="left"/>
        </w:tabs>
        <w:numPr>
          <w:ilvl w:val="0"/>
          <w:numId w:val="6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Jack Lunsford &amp; Katie Lunsford JT Ten. The address of the principal business office of Jack Lunsford &amp; Katie Lunsford JT Ten is 6560 N. Big Cedar Way, Meridian, ID 83646.</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6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Paul Garn. The address of the principal business office of Paul Garn is 1059 Pinewood Circle, Twin Falls, ID 83301.</w:t>
      </w:r>
    </w:p>
    <w:p>
      <w:pPr>
        <w:spacing w:after="0" w:line="146" w:lineRule="exact"/>
        <w:rPr>
          <w:rFonts w:ascii="Times New Roman" w:cs="Times New Roman" w:eastAsia="Times New Roman" w:hAnsi="Times New Roman"/>
          <w:sz w:val="26"/>
          <w:szCs w:val="26"/>
          <w:color w:val="auto"/>
          <w:vertAlign w:val="superscript"/>
        </w:rPr>
      </w:pPr>
    </w:p>
    <w:p>
      <w:pPr>
        <w:ind w:left="300" w:hanging="294"/>
        <w:spacing w:after="0" w:line="185" w:lineRule="auto"/>
        <w:tabs>
          <w:tab w:leader="none" w:pos="300" w:val="left"/>
        </w:tabs>
        <w:numPr>
          <w:ilvl w:val="0"/>
          <w:numId w:val="6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Garrett Jones. The address of the principal business office of Garrett Jones is 3949 S. Northbridge Way, Boise, ID 83706.</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3300" w:type="dxa"/>
        <w:tblCellMar>
          <w:top w:w="0" w:type="dxa"/>
          <w:left w:w="0" w:type="dxa"/>
          <w:bottom w:w="0" w:type="dxa"/>
          <w:right w:w="0" w:type="dxa"/>
        </w:tblCellMar>
      </w:tblPr>
      <w:tr>
        <w:trPr>
          <w:trHeight w:val="199"/>
        </w:trPr>
        <w:tc>
          <w:tcPr>
            <w:tcW w:w="9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8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Warrants to Purchase Common Stock</w:t>
            </w:r>
          </w:p>
        </w:tc>
      </w:tr>
      <w:tr>
        <w:trPr>
          <w:trHeight w:val="165"/>
        </w:trPr>
        <w:tc>
          <w:tcPr>
            <w:tcW w:w="980" w:type="dxa"/>
            <w:vAlign w:val="bottom"/>
          </w:tcPr>
          <w:p>
            <w:pPr>
              <w:jc w:val="center"/>
              <w:ind w:right="62"/>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980" w:type="dxa"/>
            <w:vAlign w:val="bottom"/>
          </w:tcPr>
          <w:p>
            <w:pPr>
              <w:spacing w:after="0"/>
              <w:rPr>
                <w:sz w:val="14"/>
                <w:szCs w:val="14"/>
                <w:color w:val="auto"/>
              </w:rPr>
            </w:pPr>
          </w:p>
        </w:tc>
        <w:tc>
          <w:tcPr>
            <w:tcW w:w="11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5"/>
        </w:trPr>
        <w:tc>
          <w:tcPr>
            <w:tcW w:w="98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4"/>
              </w:rPr>
              <w:t>Beneficially</w:t>
            </w:r>
          </w:p>
        </w:tc>
        <w:tc>
          <w:tcPr>
            <w:tcW w:w="9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Beneficially</w:t>
            </w:r>
          </w:p>
        </w:tc>
        <w:tc>
          <w:tcPr>
            <w:tcW w:w="8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80" w:type="dxa"/>
            <w:vAlign w:val="bottom"/>
          </w:tcPr>
          <w:p>
            <w:pPr>
              <w:spacing w:after="0"/>
              <w:rPr>
                <w:sz w:val="17"/>
                <w:szCs w:val="17"/>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Number</w:t>
            </w:r>
          </w:p>
        </w:tc>
        <w:tc>
          <w:tcPr>
            <w:tcW w:w="10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Beneficially</w:t>
            </w:r>
          </w:p>
        </w:tc>
      </w:tr>
    </w:tbl>
    <w:p>
      <w:pPr>
        <w:sectPr>
          <w:pgSz w:w="11900" w:h="16840" w:orient="portrait"/>
          <w:cols w:equalWidth="0" w:num="1">
            <w:col w:w="10580"/>
          </w:cols>
          <w:pgMar w:left="660" w:top="917" w:right="660" w:bottom="307"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Registered</w:t>
            </w:r>
          </w:p>
        </w:tc>
        <w:tc>
          <w:tcPr>
            <w:tcW w:w="72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Registered</w:t>
            </w:r>
          </w:p>
        </w:tc>
        <w:tc>
          <w:tcPr>
            <w:tcW w:w="200" w:type="dxa"/>
            <w:vAlign w:val="bottom"/>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0" w:type="dxa"/>
            <w:vAlign w:val="bottom"/>
          </w:tcPr>
          <w:p>
            <w:pPr>
              <w:spacing w:after="0"/>
              <w:rPr>
                <w:sz w:val="1"/>
                <w:szCs w:val="1"/>
                <w:color w:val="auto"/>
              </w:rPr>
            </w:pPr>
          </w:p>
        </w:tc>
      </w:tr>
      <w:tr>
        <w:trPr>
          <w:trHeight w:val="324"/>
        </w:trPr>
        <w:tc>
          <w:tcPr>
            <w:tcW w:w="3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Selling Securityholder</w:t>
            </w:r>
            <w:r>
              <w:rPr>
                <w:rFonts w:ascii="Times New Roman" w:cs="Times New Roman" w:eastAsia="Times New Roman" w:hAnsi="Times New Roman"/>
                <w:sz w:val="26"/>
                <w:szCs w:val="26"/>
                <w:b w:val="1"/>
                <w:bCs w:val="1"/>
                <w:color w:val="auto"/>
                <w:vertAlign w:val="superscript"/>
              </w:rPr>
              <w:t>1</w:t>
            </w:r>
          </w:p>
        </w:tc>
        <w:tc>
          <w:tcPr>
            <w:tcW w:w="12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for Sale</w:t>
            </w:r>
          </w:p>
        </w:tc>
        <w:tc>
          <w:tcPr>
            <w:tcW w:w="72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2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for Sale</w:t>
            </w:r>
          </w:p>
        </w:tc>
        <w:tc>
          <w:tcPr>
            <w:tcW w:w="200" w:type="dxa"/>
            <w:vAlign w:val="bottom"/>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Hereby</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Hereby</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Jared Leuzinger</w:t>
            </w:r>
            <w:r>
              <w:rPr>
                <w:rFonts w:ascii="Times New Roman" w:cs="Times New Roman" w:eastAsia="Times New Roman" w:hAnsi="Times New Roman"/>
                <w:sz w:val="25"/>
                <w:szCs w:val="25"/>
                <w:color w:val="auto"/>
                <w:vertAlign w:val="superscript"/>
              </w:rPr>
              <w:t>118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68,031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Holly Kawano</w:t>
            </w:r>
            <w:r>
              <w:rPr>
                <w:rFonts w:ascii="Times New Roman" w:cs="Times New Roman" w:eastAsia="Times New Roman" w:hAnsi="Times New Roman"/>
                <w:sz w:val="25"/>
                <w:szCs w:val="25"/>
                <w:color w:val="auto"/>
                <w:vertAlign w:val="superscript"/>
              </w:rPr>
              <w:t>119</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6,031</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7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Sean Papineau Boyd</w:t>
            </w:r>
            <w:r>
              <w:rPr>
                <w:rFonts w:ascii="Times New Roman" w:cs="Times New Roman" w:eastAsia="Times New Roman" w:hAnsi="Times New Roman"/>
                <w:sz w:val="25"/>
                <w:szCs w:val="25"/>
                <w:color w:val="auto"/>
                <w:vertAlign w:val="superscript"/>
              </w:rPr>
              <w:t>120</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6,031</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Louis Piccioni &amp; Nita Piccioni JT Ten</w:t>
            </w:r>
            <w:r>
              <w:rPr>
                <w:rFonts w:ascii="Times New Roman" w:cs="Times New Roman" w:eastAsia="Times New Roman" w:hAnsi="Times New Roman"/>
                <w:sz w:val="25"/>
                <w:szCs w:val="25"/>
                <w:color w:val="auto"/>
                <w:vertAlign w:val="superscript"/>
              </w:rPr>
              <w:t>121</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6,031</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7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Ryan Beattie</w:t>
            </w:r>
            <w:r>
              <w:rPr>
                <w:rFonts w:ascii="Times New Roman" w:cs="Times New Roman" w:eastAsia="Times New Roman" w:hAnsi="Times New Roman"/>
                <w:sz w:val="25"/>
                <w:szCs w:val="25"/>
                <w:color w:val="auto"/>
                <w:vertAlign w:val="superscript"/>
              </w:rPr>
              <w:t>122</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6,031</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Eric Stone</w:t>
            </w:r>
            <w:r>
              <w:rPr>
                <w:rFonts w:ascii="Times New Roman" w:cs="Times New Roman" w:eastAsia="Times New Roman" w:hAnsi="Times New Roman"/>
                <w:sz w:val="25"/>
                <w:szCs w:val="25"/>
                <w:color w:val="auto"/>
                <w:vertAlign w:val="superscript"/>
              </w:rPr>
              <w:t>123</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6,031</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7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Rory Jones</w:t>
            </w:r>
            <w:r>
              <w:rPr>
                <w:rFonts w:ascii="Times New Roman" w:cs="Times New Roman" w:eastAsia="Times New Roman" w:hAnsi="Times New Roman"/>
                <w:sz w:val="25"/>
                <w:szCs w:val="25"/>
                <w:color w:val="auto"/>
                <w:vertAlign w:val="superscript"/>
              </w:rPr>
              <w:t>124</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6,031</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Riley Jones</w:t>
            </w:r>
            <w:r>
              <w:rPr>
                <w:rFonts w:ascii="Times New Roman" w:cs="Times New Roman" w:eastAsia="Times New Roman" w:hAnsi="Times New Roman"/>
                <w:sz w:val="25"/>
                <w:szCs w:val="25"/>
                <w:color w:val="auto"/>
                <w:vertAlign w:val="superscript"/>
              </w:rPr>
              <w:t>125</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6,031</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7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Richard E. O’Bringer Revokable Living Trust</w:t>
            </w:r>
            <w:r>
              <w:rPr>
                <w:rFonts w:ascii="Times New Roman" w:cs="Times New Roman" w:eastAsia="Times New Roman" w:hAnsi="Times New Roman"/>
                <w:sz w:val="25"/>
                <w:szCs w:val="25"/>
                <w:color w:val="auto"/>
                <w:vertAlign w:val="superscript"/>
              </w:rPr>
              <w:t>126</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6,031</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Jeffery Pender</w:t>
            </w:r>
            <w:r>
              <w:rPr>
                <w:rFonts w:ascii="Times New Roman" w:cs="Times New Roman" w:eastAsia="Times New Roman" w:hAnsi="Times New Roman"/>
                <w:sz w:val="25"/>
                <w:szCs w:val="25"/>
                <w:color w:val="auto"/>
                <w:vertAlign w:val="superscript"/>
              </w:rPr>
              <w:t>127</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6,031</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7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Scott Coronet &amp; Ken Coronet JT Ten</w:t>
            </w:r>
            <w:r>
              <w:rPr>
                <w:rFonts w:ascii="Times New Roman" w:cs="Times New Roman" w:eastAsia="Times New Roman" w:hAnsi="Times New Roman"/>
                <w:sz w:val="25"/>
                <w:szCs w:val="25"/>
                <w:color w:val="auto"/>
                <w:vertAlign w:val="superscript"/>
              </w:rPr>
              <w:t>128</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6,031</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6,031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48"/>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Karen Louise Buich</w:t>
            </w:r>
            <w:r>
              <w:rPr>
                <w:rFonts w:ascii="Times New Roman" w:cs="Times New Roman" w:eastAsia="Times New Roman" w:hAnsi="Times New Roman"/>
                <w:sz w:val="26"/>
                <w:szCs w:val="26"/>
                <w:color w:val="auto"/>
                <w:vertAlign w:val="superscript"/>
              </w:rPr>
              <w:t>129</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6,007</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6,007</w:t>
            </w:r>
          </w:p>
        </w:tc>
        <w:tc>
          <w:tcPr>
            <w:tcW w:w="7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24"/>
                <w:szCs w:val="24"/>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24"/>
                <w:szCs w:val="24"/>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24"/>
                <w:szCs w:val="24"/>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24"/>
                <w:szCs w:val="24"/>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167703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77035" cy="15240"/>
                    </a:xfrm>
                    <a:prstGeom prst="rect">
                      <a:avLst/>
                    </a:prstGeom>
                    <a:noFill/>
                  </pic:spPr>
                </pic:pic>
              </a:graphicData>
            </a:graphic>
          </wp:anchor>
        </w:drawing>
      </w:r>
    </w:p>
    <w:p>
      <w:pPr>
        <w:spacing w:after="0" w:line="63" w:lineRule="exact"/>
        <w:rPr>
          <w:sz w:val="20"/>
          <w:szCs w:val="20"/>
          <w:color w:val="auto"/>
        </w:rPr>
      </w:pPr>
    </w:p>
    <w:p>
      <w:pPr>
        <w:ind w:left="300" w:right="20" w:hanging="294"/>
        <w:spacing w:after="0" w:line="190" w:lineRule="auto"/>
        <w:tabs>
          <w:tab w:leader="none" w:pos="300" w:val="left"/>
        </w:tabs>
        <w:numPr>
          <w:ilvl w:val="0"/>
          <w:numId w:val="6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Jared Leuzinger. The address of the principal business office of Jared Leuzinger is 1390 N. Deep Creek Way, Meridian, ID 83642-4215.</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6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Holly Kawano. The address of the principal business office of Holly Kawano is 2484 Sunshine Dr., Boise, ID 83712.</w:t>
      </w:r>
    </w:p>
    <w:p>
      <w:pPr>
        <w:spacing w:after="0" w:line="157" w:lineRule="exact"/>
        <w:rPr>
          <w:rFonts w:ascii="Times New Roman" w:cs="Times New Roman" w:eastAsia="Times New Roman" w:hAnsi="Times New Roman"/>
          <w:sz w:val="26"/>
          <w:szCs w:val="26"/>
          <w:color w:val="auto"/>
          <w:vertAlign w:val="superscript"/>
        </w:rPr>
      </w:pPr>
    </w:p>
    <w:p>
      <w:pPr>
        <w:ind w:left="300" w:right="60" w:hanging="294"/>
        <w:spacing w:after="0" w:line="190" w:lineRule="auto"/>
        <w:tabs>
          <w:tab w:leader="none" w:pos="300" w:val="left"/>
        </w:tabs>
        <w:numPr>
          <w:ilvl w:val="0"/>
          <w:numId w:val="6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Sean Papineau Boyd. The address of the principal business office of Sean Papineau Boyd is 838 Bryant Ave., Walla Walla, WA 99362.</w:t>
      </w:r>
    </w:p>
    <w:p>
      <w:pPr>
        <w:spacing w:after="0" w:line="157" w:lineRule="exact"/>
        <w:rPr>
          <w:rFonts w:ascii="Times New Roman" w:cs="Times New Roman" w:eastAsia="Times New Roman" w:hAnsi="Times New Roman"/>
          <w:sz w:val="26"/>
          <w:szCs w:val="26"/>
          <w:color w:val="auto"/>
          <w:vertAlign w:val="superscript"/>
        </w:rPr>
      </w:pPr>
    </w:p>
    <w:p>
      <w:pPr>
        <w:ind w:left="300" w:hanging="294"/>
        <w:spacing w:after="0" w:line="190" w:lineRule="auto"/>
        <w:tabs>
          <w:tab w:leader="none" w:pos="300" w:val="left"/>
        </w:tabs>
        <w:numPr>
          <w:ilvl w:val="0"/>
          <w:numId w:val="6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Louis Piccioni &amp; Nita Piccioni JT Ten. The address of the principal business office of Louis Piccioni &amp; Nita Piccioni JT Ten is 1217 E. Lone Creek Dr., Eagle, ID 83616.</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6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Ryan Beattie. The address of the principal business office of Ryan Beattie is 11497 W. Blackmoor St., Boise, ID 83709.</w:t>
      </w:r>
    </w:p>
    <w:p>
      <w:pPr>
        <w:spacing w:after="0" w:line="146" w:lineRule="exact"/>
        <w:rPr>
          <w:rFonts w:ascii="Times New Roman" w:cs="Times New Roman" w:eastAsia="Times New Roman" w:hAnsi="Times New Roman"/>
          <w:sz w:val="26"/>
          <w:szCs w:val="26"/>
          <w:color w:val="auto"/>
          <w:vertAlign w:val="superscript"/>
        </w:rPr>
      </w:pPr>
    </w:p>
    <w:p>
      <w:pPr>
        <w:ind w:left="300" w:hanging="294"/>
        <w:spacing w:after="0" w:line="185" w:lineRule="auto"/>
        <w:tabs>
          <w:tab w:leader="none" w:pos="300" w:val="left"/>
        </w:tabs>
        <w:numPr>
          <w:ilvl w:val="0"/>
          <w:numId w:val="6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Eric Stone. The address of the principal business office of Eric Stone is 1082 E. Tuttle St., Meridian, ID 83646.</w:t>
      </w:r>
    </w:p>
    <w:p>
      <w:pPr>
        <w:spacing w:after="0" w:line="147" w:lineRule="exact"/>
        <w:rPr>
          <w:rFonts w:ascii="Times New Roman" w:cs="Times New Roman" w:eastAsia="Times New Roman" w:hAnsi="Times New Roman"/>
          <w:sz w:val="24"/>
          <w:szCs w:val="24"/>
          <w:color w:val="auto"/>
          <w:vertAlign w:val="superscript"/>
        </w:rPr>
      </w:pPr>
    </w:p>
    <w:p>
      <w:pPr>
        <w:ind w:left="300" w:hanging="294"/>
        <w:spacing w:after="0" w:line="185" w:lineRule="auto"/>
        <w:tabs>
          <w:tab w:leader="none" w:pos="300" w:val="left"/>
        </w:tabs>
        <w:numPr>
          <w:ilvl w:val="0"/>
          <w:numId w:val="6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Rory Jones. The address of the principal business office of Rory Jones is 910 E. Curling Dr., Boise, ID 83702.</w:t>
      </w:r>
    </w:p>
    <w:p>
      <w:pPr>
        <w:spacing w:after="0" w:line="147" w:lineRule="exact"/>
        <w:rPr>
          <w:rFonts w:ascii="Times New Roman" w:cs="Times New Roman" w:eastAsia="Times New Roman" w:hAnsi="Times New Roman"/>
          <w:sz w:val="24"/>
          <w:szCs w:val="24"/>
          <w:color w:val="auto"/>
          <w:vertAlign w:val="superscript"/>
        </w:rPr>
      </w:pPr>
    </w:p>
    <w:p>
      <w:pPr>
        <w:ind w:left="300" w:hanging="294"/>
        <w:spacing w:after="0" w:line="185" w:lineRule="auto"/>
        <w:tabs>
          <w:tab w:leader="none" w:pos="300" w:val="left"/>
        </w:tabs>
        <w:numPr>
          <w:ilvl w:val="0"/>
          <w:numId w:val="6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Riley Jones. The address of the principal business office of Riley Jones is 1641 S. Annett, Boise, ID 83705.</w:t>
      </w:r>
    </w:p>
    <w:p>
      <w:pPr>
        <w:spacing w:after="0" w:line="157" w:lineRule="exact"/>
        <w:rPr>
          <w:rFonts w:ascii="Times New Roman" w:cs="Times New Roman" w:eastAsia="Times New Roman" w:hAnsi="Times New Roman"/>
          <w:sz w:val="24"/>
          <w:szCs w:val="24"/>
          <w:color w:val="auto"/>
          <w:vertAlign w:val="superscript"/>
        </w:rPr>
      </w:pPr>
    </w:p>
    <w:p>
      <w:pPr>
        <w:ind w:left="300" w:hanging="294"/>
        <w:spacing w:after="0" w:line="190" w:lineRule="auto"/>
        <w:tabs>
          <w:tab w:leader="none" w:pos="300" w:val="left"/>
        </w:tabs>
        <w:numPr>
          <w:ilvl w:val="0"/>
          <w:numId w:val="6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the Richard E. O’Bringer Revokable Living Trust. Richard O’Bringer is the sole trustee. The address of the principal business office of the Richard E. O’Bringer Revokable Living Trust is 11413 Perugino Dr., Las Vegas, NV 89138.</w:t>
      </w:r>
    </w:p>
    <w:p>
      <w:pPr>
        <w:spacing w:after="0" w:line="157" w:lineRule="exact"/>
        <w:rPr>
          <w:rFonts w:ascii="Times New Roman" w:cs="Times New Roman" w:eastAsia="Times New Roman" w:hAnsi="Times New Roman"/>
          <w:sz w:val="26"/>
          <w:szCs w:val="26"/>
          <w:color w:val="auto"/>
          <w:vertAlign w:val="superscript"/>
        </w:rPr>
      </w:pPr>
    </w:p>
    <w:p>
      <w:pPr>
        <w:ind w:left="300" w:hanging="294"/>
        <w:spacing w:after="0" w:line="190" w:lineRule="auto"/>
        <w:tabs>
          <w:tab w:leader="none" w:pos="300" w:val="left"/>
        </w:tabs>
        <w:numPr>
          <w:ilvl w:val="0"/>
          <w:numId w:val="6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Jeffery Pender. The address of the principal business office of Jeffery Pender is Calcada Marques Abrantes 95, RC ESQ Lisbon, Portugal 1200-718.</w:t>
      </w:r>
    </w:p>
    <w:p>
      <w:pPr>
        <w:spacing w:after="0" w:line="157" w:lineRule="exact"/>
        <w:rPr>
          <w:rFonts w:ascii="Times New Roman" w:cs="Times New Roman" w:eastAsia="Times New Roman" w:hAnsi="Times New Roman"/>
          <w:sz w:val="26"/>
          <w:szCs w:val="26"/>
          <w:color w:val="auto"/>
          <w:vertAlign w:val="superscript"/>
        </w:rPr>
      </w:pPr>
    </w:p>
    <w:p>
      <w:pPr>
        <w:ind w:left="300" w:hanging="294"/>
        <w:spacing w:after="0" w:line="190" w:lineRule="auto"/>
        <w:tabs>
          <w:tab w:leader="none" w:pos="300" w:val="left"/>
        </w:tabs>
        <w:numPr>
          <w:ilvl w:val="0"/>
          <w:numId w:val="6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Scott Coronet &amp; Ken Coronet JT Ten. The address of the principal business office of Scott Coronet &amp; Ken Coronet JT Ten is 15006 Alexander, Huntersville, NC 28078.</w:t>
      </w:r>
    </w:p>
    <w:p>
      <w:pPr>
        <w:spacing w:after="0" w:line="157" w:lineRule="exact"/>
        <w:rPr>
          <w:rFonts w:ascii="Times New Roman" w:cs="Times New Roman" w:eastAsia="Times New Roman" w:hAnsi="Times New Roman"/>
          <w:sz w:val="26"/>
          <w:szCs w:val="26"/>
          <w:color w:val="auto"/>
          <w:vertAlign w:val="superscript"/>
        </w:rPr>
      </w:pPr>
    </w:p>
    <w:p>
      <w:pPr>
        <w:ind w:left="300" w:hanging="294"/>
        <w:spacing w:after="0" w:line="190" w:lineRule="auto"/>
        <w:tabs>
          <w:tab w:leader="none" w:pos="300" w:val="left"/>
        </w:tabs>
        <w:numPr>
          <w:ilvl w:val="0"/>
          <w:numId w:val="6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Karen Louise Buich. The address of the principal business office of Karen Louise Buich is 1109 S. Renovare Lane, Eagle, ID 83616.</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gridSpan w:val="8"/>
          </w:tcPr>
          <w:p>
            <w:pPr>
              <w:ind w:left="480"/>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top w:val="single" w:sz="8" w:color="auto"/>
            </w:tcBorders>
            <w:gridSpan w:val="2"/>
          </w:tcPr>
          <w:p>
            <w:pPr>
              <w:jc w:val="center"/>
              <w:ind w:right="60"/>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00" w:type="dxa"/>
            <w:vAlign w:val="bottom"/>
          </w:tcPr>
          <w:p>
            <w:pPr>
              <w:spacing w:after="0"/>
              <w:rPr>
                <w:sz w:val="15"/>
                <w:szCs w:val="15"/>
                <w:color w:val="auto"/>
              </w:rPr>
            </w:pPr>
          </w:p>
        </w:tc>
        <w:tc>
          <w:tcPr>
            <w:tcW w:w="106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8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80" w:type="dxa"/>
            <w:vAlign w:val="bottom"/>
          </w:tcPr>
          <w:p>
            <w:pPr>
              <w:spacing w:after="0"/>
              <w:rPr>
                <w:sz w:val="15"/>
                <w:szCs w:val="15"/>
                <w:color w:val="auto"/>
              </w:rPr>
            </w:pPr>
          </w:p>
        </w:tc>
        <w:tc>
          <w:tcPr>
            <w:tcW w:w="6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Percent</w:t>
            </w:r>
          </w:p>
        </w:tc>
        <w:tc>
          <w:tcPr>
            <w:tcW w:w="200" w:type="dxa"/>
            <w:vAlign w:val="bottom"/>
          </w:tcPr>
          <w:p>
            <w:pPr>
              <w:spacing w:after="0"/>
              <w:rPr>
                <w:sz w:val="15"/>
                <w:szCs w:val="15"/>
                <w:color w:val="auto"/>
              </w:rPr>
            </w:pPr>
          </w:p>
        </w:tc>
        <w:tc>
          <w:tcPr>
            <w:tcW w:w="8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200" w:type="dxa"/>
            <w:vAlign w:val="bottom"/>
          </w:tcPr>
          <w:p>
            <w:pPr>
              <w:spacing w:after="0"/>
              <w:rPr>
                <w:sz w:val="15"/>
                <w:szCs w:val="15"/>
                <w:color w:val="auto"/>
              </w:rPr>
            </w:pPr>
          </w:p>
        </w:tc>
        <w:tc>
          <w:tcPr>
            <w:tcW w:w="90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4"/>
              </w:rPr>
              <w:t>Beneficially</w:t>
            </w:r>
          </w:p>
        </w:tc>
        <w:tc>
          <w:tcPr>
            <w:tcW w:w="180" w:type="dxa"/>
            <w:vAlign w:val="bottom"/>
          </w:tcPr>
          <w:p>
            <w:pPr>
              <w:spacing w:after="0"/>
              <w:rPr>
                <w:sz w:val="15"/>
                <w:szCs w:val="15"/>
                <w:color w:val="auto"/>
              </w:rPr>
            </w:pPr>
          </w:p>
        </w:tc>
        <w:tc>
          <w:tcPr>
            <w:tcW w:w="7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00" w:type="dxa"/>
            <w:vAlign w:val="bottom"/>
          </w:tcPr>
          <w:p>
            <w:pPr>
              <w:spacing w:after="0"/>
              <w:rPr>
                <w:sz w:val="15"/>
                <w:szCs w:val="15"/>
                <w:color w:val="auto"/>
              </w:rPr>
            </w:pPr>
          </w:p>
        </w:tc>
        <w:tc>
          <w:tcPr>
            <w:tcW w:w="106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6"/>
              </w:rPr>
              <w:t>Registered</w:t>
            </w:r>
          </w:p>
        </w:tc>
        <w:tc>
          <w:tcPr>
            <w:tcW w:w="8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80" w:type="dxa"/>
            <w:vAlign w:val="bottom"/>
          </w:tcPr>
          <w:p>
            <w:pPr>
              <w:spacing w:after="0"/>
              <w:rPr>
                <w:sz w:val="15"/>
                <w:szCs w:val="15"/>
                <w:color w:val="auto"/>
              </w:rPr>
            </w:pPr>
          </w:p>
        </w:tc>
        <w:tc>
          <w:tcPr>
            <w:tcW w:w="6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8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10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Registered</w:t>
            </w: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80" w:type="dxa"/>
            <w:vAlign w:val="bottom"/>
          </w:tcPr>
          <w:p>
            <w:pPr>
              <w:spacing w:after="0"/>
              <w:rPr>
                <w:sz w:val="15"/>
                <w:szCs w:val="15"/>
                <w:color w:val="auto"/>
              </w:rPr>
            </w:pPr>
          </w:p>
        </w:tc>
        <w:tc>
          <w:tcPr>
            <w:tcW w:w="7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0" w:type="dxa"/>
            <w:vAlign w:val="bottom"/>
          </w:tcPr>
          <w:p>
            <w:pPr>
              <w:spacing w:after="0"/>
              <w:rPr>
                <w:sz w:val="1"/>
                <w:szCs w:val="1"/>
                <w:color w:val="auto"/>
              </w:rPr>
            </w:pPr>
          </w:p>
        </w:tc>
      </w:tr>
      <w:tr>
        <w:trPr>
          <w:trHeight w:val="205"/>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Selling Securityholder</w:t>
            </w:r>
            <w:r>
              <w:rPr>
                <w:rFonts w:ascii="Times New Roman" w:cs="Times New Roman" w:eastAsia="Times New Roman" w:hAnsi="Times New Roman"/>
                <w:sz w:val="26"/>
                <w:szCs w:val="26"/>
                <w:b w:val="1"/>
                <w:bCs w:val="1"/>
                <w:color w:val="auto"/>
                <w:vertAlign w:val="superscript"/>
              </w:rPr>
              <w:t>1</w:t>
            </w:r>
          </w:p>
        </w:tc>
        <w:tc>
          <w:tcPr>
            <w:tcW w:w="80" w:type="dxa"/>
            <w:vAlign w:val="bottom"/>
            <w:vMerge w:val="restart"/>
          </w:tcPr>
          <w:p>
            <w:pPr>
              <w:spacing w:after="0"/>
              <w:rPr>
                <w:sz w:val="17"/>
                <w:szCs w:val="17"/>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0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4"/>
              </w:rPr>
              <w:t>for Sale</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1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2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2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for Sale</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80" w:type="dxa"/>
            <w:vAlign w:val="bottom"/>
          </w:tcPr>
          <w:p>
            <w:pPr>
              <w:spacing w:after="0"/>
              <w:rPr>
                <w:sz w:val="17"/>
                <w:szCs w:val="17"/>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Hereby</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Hereby</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Laurie S. Forster</w:t>
            </w:r>
            <w:r>
              <w:rPr>
                <w:rFonts w:ascii="Times New Roman" w:cs="Times New Roman" w:eastAsia="Times New Roman" w:hAnsi="Times New Roman"/>
                <w:sz w:val="25"/>
                <w:szCs w:val="25"/>
                <w:color w:val="auto"/>
                <w:vertAlign w:val="superscript"/>
              </w:rPr>
              <w:t>130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4,825</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4,825</w:t>
            </w: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Kalisa Houdek</w:t>
            </w:r>
            <w:r>
              <w:rPr>
                <w:rFonts w:ascii="Times New Roman" w:cs="Times New Roman" w:eastAsia="Times New Roman" w:hAnsi="Times New Roman"/>
                <w:sz w:val="25"/>
                <w:szCs w:val="25"/>
                <w:color w:val="auto"/>
                <w:vertAlign w:val="superscript"/>
              </w:rPr>
              <w:t>131</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4,825</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4,825</w:t>
            </w: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William Ray</w:t>
            </w:r>
            <w:r>
              <w:rPr>
                <w:rFonts w:ascii="Times New Roman" w:cs="Times New Roman" w:eastAsia="Times New Roman" w:hAnsi="Times New Roman"/>
                <w:sz w:val="25"/>
                <w:szCs w:val="25"/>
                <w:color w:val="auto"/>
                <w:vertAlign w:val="superscript"/>
              </w:rPr>
              <w:t>132</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4,825</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4,825</w:t>
            </w: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Darwin Chen</w:t>
            </w:r>
            <w:r>
              <w:rPr>
                <w:rFonts w:ascii="Times New Roman" w:cs="Times New Roman" w:eastAsia="Times New Roman" w:hAnsi="Times New Roman"/>
                <w:sz w:val="25"/>
                <w:szCs w:val="25"/>
                <w:color w:val="auto"/>
                <w:vertAlign w:val="superscript"/>
              </w:rPr>
              <w:t>133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4,825</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4,825</w:t>
            </w: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Jami Vincent</w:t>
            </w:r>
            <w:r>
              <w:rPr>
                <w:rFonts w:ascii="Times New Roman" w:cs="Times New Roman" w:eastAsia="Times New Roman" w:hAnsi="Times New Roman"/>
                <w:sz w:val="25"/>
                <w:szCs w:val="25"/>
                <w:color w:val="auto"/>
                <w:vertAlign w:val="superscript"/>
              </w:rPr>
              <w:t>134</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4,222</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4,222</w:t>
            </w: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Jerry Nemec</w:t>
            </w:r>
            <w:r>
              <w:rPr>
                <w:rFonts w:ascii="Times New Roman" w:cs="Times New Roman" w:eastAsia="Times New Roman" w:hAnsi="Times New Roman"/>
                <w:sz w:val="25"/>
                <w:szCs w:val="25"/>
                <w:color w:val="auto"/>
                <w:vertAlign w:val="superscript"/>
              </w:rPr>
              <w:t>135</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3,860</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3,860</w:t>
            </w: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302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Gregory Goodman &amp; Laree Goodman JT</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02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Ten</w:t>
            </w:r>
            <w:r>
              <w:rPr>
                <w:rFonts w:ascii="Times New Roman" w:cs="Times New Roman" w:eastAsia="Times New Roman" w:hAnsi="Times New Roman"/>
                <w:sz w:val="26"/>
                <w:szCs w:val="26"/>
                <w:color w:val="auto"/>
                <w:vertAlign w:val="superscript"/>
              </w:rPr>
              <w:t>136</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8,766</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3,618</w:t>
            </w: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The Kyle Nagy Trust</w:t>
            </w:r>
            <w:r>
              <w:rPr>
                <w:rFonts w:ascii="Times New Roman" w:cs="Times New Roman" w:eastAsia="Times New Roman" w:hAnsi="Times New Roman"/>
                <w:sz w:val="25"/>
                <w:szCs w:val="25"/>
                <w:color w:val="auto"/>
                <w:vertAlign w:val="superscript"/>
              </w:rPr>
              <w:t>137</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3,618</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3,618</w:t>
            </w: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Multipro Inc</w:t>
            </w:r>
            <w:r>
              <w:rPr>
                <w:rFonts w:ascii="Times New Roman" w:cs="Times New Roman" w:eastAsia="Times New Roman" w:hAnsi="Times New Roman"/>
                <w:sz w:val="25"/>
                <w:szCs w:val="25"/>
                <w:color w:val="auto"/>
                <w:vertAlign w:val="superscript"/>
              </w:rPr>
              <w:t>138</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3,618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3,618</w:t>
            </w: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48"/>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Paul Hanson</w:t>
            </w:r>
            <w:r>
              <w:rPr>
                <w:rFonts w:ascii="Times New Roman" w:cs="Times New Roman" w:eastAsia="Times New Roman" w:hAnsi="Times New Roman"/>
                <w:sz w:val="26"/>
                <w:szCs w:val="26"/>
                <w:color w:val="auto"/>
                <w:vertAlign w:val="superscript"/>
              </w:rPr>
              <w:t>139</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3,618</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3,618</w:t>
            </w: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24"/>
                <w:szCs w:val="24"/>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24"/>
                <w:szCs w:val="24"/>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60960</wp:posOffset>
            </wp:positionV>
            <wp:extent cx="167703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77035" cy="15240"/>
                    </a:xfrm>
                    <a:prstGeom prst="rect">
                      <a:avLst/>
                    </a:prstGeom>
                    <a:noFill/>
                  </pic:spPr>
                </pic:pic>
              </a:graphicData>
            </a:graphic>
          </wp:anchor>
        </w:drawing>
      </w:r>
    </w:p>
    <w:p>
      <w:pPr>
        <w:spacing w:after="0" w:line="27" w:lineRule="exact"/>
        <w:rPr>
          <w:sz w:val="20"/>
          <w:szCs w:val="20"/>
          <w:color w:val="auto"/>
        </w:rPr>
      </w:pPr>
    </w:p>
    <w:p>
      <w:pPr>
        <w:ind w:left="300" w:hanging="294"/>
        <w:spacing w:after="0"/>
        <w:tabs>
          <w:tab w:leader="none" w:pos="300" w:val="left"/>
        </w:tabs>
        <w:numPr>
          <w:ilvl w:val="0"/>
          <w:numId w:val="6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shares directly held by Laurie S. Forster. The address of the principal business office of Laurie S. Forster is 13005 Lake Shore Dr., Nampa, ID 83686.</w:t>
      </w:r>
    </w:p>
    <w:p>
      <w:pPr>
        <w:spacing w:after="0" w:line="146" w:lineRule="exact"/>
        <w:rPr>
          <w:rFonts w:ascii="Times New Roman" w:cs="Times New Roman" w:eastAsia="Times New Roman" w:hAnsi="Times New Roman"/>
          <w:sz w:val="25"/>
          <w:szCs w:val="25"/>
          <w:color w:val="auto"/>
          <w:vertAlign w:val="superscript"/>
        </w:rPr>
      </w:pPr>
    </w:p>
    <w:p>
      <w:pPr>
        <w:ind w:left="300" w:hanging="294"/>
        <w:spacing w:after="0" w:line="185" w:lineRule="auto"/>
        <w:tabs>
          <w:tab w:leader="none" w:pos="300" w:val="left"/>
        </w:tabs>
        <w:numPr>
          <w:ilvl w:val="0"/>
          <w:numId w:val="6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Kalisa Houdek. The address of the principal business office of Kalisa Houdek is 9421 S. Palena Ave., Kuna, ID 83634</w:t>
      </w:r>
    </w:p>
    <w:p>
      <w:pPr>
        <w:spacing w:after="0" w:line="147" w:lineRule="exact"/>
        <w:rPr>
          <w:rFonts w:ascii="Times New Roman" w:cs="Times New Roman" w:eastAsia="Times New Roman" w:hAnsi="Times New Roman"/>
          <w:sz w:val="24"/>
          <w:szCs w:val="24"/>
          <w:color w:val="auto"/>
          <w:vertAlign w:val="superscript"/>
        </w:rPr>
      </w:pPr>
    </w:p>
    <w:p>
      <w:pPr>
        <w:ind w:left="300" w:hanging="294"/>
        <w:spacing w:after="0" w:line="185" w:lineRule="auto"/>
        <w:tabs>
          <w:tab w:leader="none" w:pos="300" w:val="left"/>
        </w:tabs>
        <w:numPr>
          <w:ilvl w:val="0"/>
          <w:numId w:val="6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William Ray. The address of the principal business office of William Ray is 5387 Rainbow Pkwy, Toomsuba, MS 39364.</w:t>
      </w:r>
    </w:p>
    <w:p>
      <w:pPr>
        <w:spacing w:after="0" w:line="147" w:lineRule="exact"/>
        <w:rPr>
          <w:rFonts w:ascii="Times New Roman" w:cs="Times New Roman" w:eastAsia="Times New Roman" w:hAnsi="Times New Roman"/>
          <w:sz w:val="24"/>
          <w:szCs w:val="24"/>
          <w:color w:val="auto"/>
          <w:vertAlign w:val="superscript"/>
        </w:rPr>
      </w:pPr>
    </w:p>
    <w:p>
      <w:pPr>
        <w:ind w:left="300" w:hanging="294"/>
        <w:spacing w:after="0" w:line="185" w:lineRule="auto"/>
        <w:tabs>
          <w:tab w:leader="none" w:pos="300" w:val="left"/>
        </w:tabs>
        <w:numPr>
          <w:ilvl w:val="0"/>
          <w:numId w:val="6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Darwin Chen. The address of the principal business office of Darwin Chen is 18124 Wedge Pkwy #115, Reno, NV 89511.</w:t>
      </w:r>
    </w:p>
    <w:p>
      <w:pPr>
        <w:spacing w:after="0" w:line="147" w:lineRule="exact"/>
        <w:rPr>
          <w:rFonts w:ascii="Times New Roman" w:cs="Times New Roman" w:eastAsia="Times New Roman" w:hAnsi="Times New Roman"/>
          <w:sz w:val="24"/>
          <w:szCs w:val="24"/>
          <w:color w:val="auto"/>
          <w:vertAlign w:val="superscript"/>
        </w:rPr>
      </w:pPr>
    </w:p>
    <w:p>
      <w:pPr>
        <w:ind w:left="300" w:hanging="294"/>
        <w:spacing w:after="0" w:line="185" w:lineRule="auto"/>
        <w:tabs>
          <w:tab w:leader="none" w:pos="300" w:val="left"/>
        </w:tabs>
        <w:numPr>
          <w:ilvl w:val="0"/>
          <w:numId w:val="6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Jami Vincent. The address of the principal business office of Jami Vincent is 2436 E. Halsey, Eagle, ID 83616.</w:t>
      </w:r>
    </w:p>
    <w:p>
      <w:pPr>
        <w:sectPr>
          <w:pgSz w:w="11900" w:h="16840" w:orient="portrait"/>
          <w:cols w:equalWidth="0" w:num="1">
            <w:col w:w="10560"/>
          </w:cols>
          <w:pgMar w:left="660" w:top="555" w:right="680" w:bottom="176" w:gutter="0" w:footer="0" w:header="0"/>
        </w:sectPr>
      </w:pPr>
    </w:p>
    <w:bookmarkStart w:id="62" w:name="page63"/>
    <w:bookmarkEnd w:id="62"/>
    <w:p>
      <w:pPr>
        <w:ind w:left="300" w:hanging="294"/>
        <w:spacing w:after="0"/>
        <w:tabs>
          <w:tab w:leader="none" w:pos="300" w:val="left"/>
        </w:tabs>
        <w:numPr>
          <w:ilvl w:val="0"/>
          <w:numId w:val="6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Jerry Nemec. The address of the principal business office of Jerry Nemec is 609 W. Colchester Dr., Eagle, ID 83616.</w:t>
      </w:r>
    </w:p>
    <w:p>
      <w:pPr>
        <w:spacing w:after="0" w:line="157" w:lineRule="exact"/>
        <w:rPr>
          <w:rFonts w:ascii="Times New Roman" w:cs="Times New Roman" w:eastAsia="Times New Roman" w:hAnsi="Times New Roman"/>
          <w:sz w:val="26"/>
          <w:szCs w:val="26"/>
          <w:color w:val="auto"/>
          <w:vertAlign w:val="superscript"/>
        </w:rPr>
      </w:pPr>
    </w:p>
    <w:p>
      <w:pPr>
        <w:ind w:left="300" w:right="40" w:hanging="294"/>
        <w:spacing w:after="0" w:line="190" w:lineRule="auto"/>
        <w:tabs>
          <w:tab w:leader="none" w:pos="300" w:val="left"/>
        </w:tabs>
        <w:numPr>
          <w:ilvl w:val="0"/>
          <w:numId w:val="6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Gregory Goodman &amp; Laree Goodman JT Ten. The address of the principal business office of Gregory Goodman &amp; Laree Goodman JT Ten is 5064 W. Caragana St., Meridian, ID 83646.</w:t>
      </w:r>
    </w:p>
    <w:p>
      <w:pPr>
        <w:spacing w:after="0" w:line="157" w:lineRule="exact"/>
        <w:rPr>
          <w:rFonts w:ascii="Times New Roman" w:cs="Times New Roman" w:eastAsia="Times New Roman" w:hAnsi="Times New Roman"/>
          <w:sz w:val="26"/>
          <w:szCs w:val="26"/>
          <w:color w:val="auto"/>
          <w:vertAlign w:val="superscript"/>
        </w:rPr>
      </w:pPr>
    </w:p>
    <w:p>
      <w:pPr>
        <w:ind w:left="300" w:right="40" w:hanging="294"/>
        <w:spacing w:after="0" w:line="190" w:lineRule="auto"/>
        <w:tabs>
          <w:tab w:leader="none" w:pos="300" w:val="left"/>
        </w:tabs>
        <w:numPr>
          <w:ilvl w:val="0"/>
          <w:numId w:val="6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The Kyle Nagy Trust. The address of the principal business office of The Kyle Nagy Trust is 2634 Sunday Grace Drive, Henderson, NV 89052.</w:t>
      </w:r>
    </w:p>
    <w:p>
      <w:pPr>
        <w:spacing w:after="0" w:line="73"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6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shares directly held by Multipro Inc. The address of the principal business office of Multipro Inc. is 6315 W. Mesa Vista Ave., Las Vegas, NV 89118.</w:t>
      </w:r>
    </w:p>
    <w:p>
      <w:pPr>
        <w:spacing w:after="0" w:line="146" w:lineRule="exact"/>
        <w:rPr>
          <w:rFonts w:ascii="Times New Roman" w:cs="Times New Roman" w:eastAsia="Times New Roman" w:hAnsi="Times New Roman"/>
          <w:sz w:val="25"/>
          <w:szCs w:val="25"/>
          <w:color w:val="auto"/>
          <w:vertAlign w:val="superscript"/>
        </w:rPr>
      </w:pPr>
    </w:p>
    <w:p>
      <w:pPr>
        <w:ind w:left="300" w:hanging="294"/>
        <w:spacing w:after="0" w:line="185" w:lineRule="auto"/>
        <w:tabs>
          <w:tab w:leader="none" w:pos="300" w:val="left"/>
        </w:tabs>
        <w:numPr>
          <w:ilvl w:val="0"/>
          <w:numId w:val="6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Paul Hanson. The address of the principal business office of Paul Hanson is 300 N. Chief Garry Dr., Liberty Lake, WA 99019.</w:t>
      </w: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60" w:type="dxa"/>
            <w:vAlign w:val="bottom"/>
            <w:gridSpan w:val="5"/>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99"/>
              </w:rPr>
              <w:t>Shares of Common Stock</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20" w:type="dxa"/>
            <w:vAlign w:val="bottom"/>
            <w:gridSpan w:val="8"/>
          </w:tcPr>
          <w:p>
            <w:pPr>
              <w:ind w:left="500"/>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gridSpan w:val="2"/>
          </w:tcPr>
          <w:p>
            <w:pPr>
              <w:jc w:val="center"/>
              <w:ind w:right="60"/>
              <w:spacing w:after="0" w:line="165"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20" w:type="dxa"/>
            <w:vAlign w:val="bottom"/>
          </w:tcPr>
          <w:p>
            <w:pPr>
              <w:spacing w:after="0"/>
              <w:rPr>
                <w:sz w:val="15"/>
                <w:szCs w:val="15"/>
                <w:color w:val="auto"/>
              </w:rPr>
            </w:pPr>
          </w:p>
        </w:tc>
        <w:tc>
          <w:tcPr>
            <w:tcW w:w="9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8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Beneficially</w:t>
            </w:r>
          </w:p>
        </w:tc>
        <w:tc>
          <w:tcPr>
            <w:tcW w:w="160" w:type="dxa"/>
            <w:vAlign w:val="bottom"/>
          </w:tcPr>
          <w:p>
            <w:pPr>
              <w:spacing w:after="0"/>
              <w:rPr>
                <w:sz w:val="15"/>
                <w:szCs w:val="15"/>
                <w:color w:val="auto"/>
              </w:rPr>
            </w:pPr>
          </w:p>
        </w:tc>
        <w:tc>
          <w:tcPr>
            <w:tcW w:w="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18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4"/>
              </w:rPr>
              <w:t>Beneficially</w:t>
            </w:r>
          </w:p>
        </w:tc>
        <w:tc>
          <w:tcPr>
            <w:tcW w:w="180" w:type="dxa"/>
            <w:vAlign w:val="bottom"/>
          </w:tcPr>
          <w:p>
            <w:pPr>
              <w:spacing w:after="0"/>
              <w:rPr>
                <w:sz w:val="15"/>
                <w:szCs w:val="15"/>
                <w:color w:val="auto"/>
              </w:rPr>
            </w:pPr>
          </w:p>
        </w:tc>
        <w:tc>
          <w:tcPr>
            <w:tcW w:w="7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200" w:type="dxa"/>
            <w:vAlign w:val="bottom"/>
          </w:tcPr>
          <w:p>
            <w:pPr>
              <w:spacing w:after="0"/>
              <w:rPr>
                <w:sz w:val="15"/>
                <w:szCs w:val="15"/>
                <w:color w:val="auto"/>
              </w:rPr>
            </w:pPr>
          </w:p>
        </w:tc>
        <w:tc>
          <w:tcPr>
            <w:tcW w:w="8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200" w:type="dxa"/>
            <w:vAlign w:val="bottom"/>
          </w:tcPr>
          <w:p>
            <w:pPr>
              <w:spacing w:after="0"/>
              <w:rPr>
                <w:sz w:val="15"/>
                <w:szCs w:val="15"/>
                <w:color w:val="auto"/>
              </w:rPr>
            </w:pPr>
          </w:p>
        </w:tc>
        <w:tc>
          <w:tcPr>
            <w:tcW w:w="7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5"/>
              </w:rPr>
              <w:t>Percent</w:t>
            </w: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20" w:type="dxa"/>
            <w:vAlign w:val="bottom"/>
          </w:tcPr>
          <w:p>
            <w:pPr>
              <w:spacing w:after="0"/>
              <w:rPr>
                <w:sz w:val="15"/>
                <w:szCs w:val="15"/>
                <w:color w:val="auto"/>
              </w:rPr>
            </w:pPr>
          </w:p>
        </w:tc>
        <w:tc>
          <w:tcPr>
            <w:tcW w:w="9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Registered</w:t>
            </w:r>
          </w:p>
        </w:tc>
        <w:tc>
          <w:tcPr>
            <w:tcW w:w="8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60" w:type="dxa"/>
            <w:vAlign w:val="bottom"/>
          </w:tcPr>
          <w:p>
            <w:pPr>
              <w:spacing w:after="0"/>
              <w:rPr>
                <w:sz w:val="15"/>
                <w:szCs w:val="15"/>
                <w:color w:val="auto"/>
              </w:rPr>
            </w:pPr>
          </w:p>
        </w:tc>
        <w:tc>
          <w:tcPr>
            <w:tcW w:w="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8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80" w:type="dxa"/>
            <w:vAlign w:val="bottom"/>
          </w:tcPr>
          <w:p>
            <w:pPr>
              <w:spacing w:after="0"/>
              <w:rPr>
                <w:sz w:val="15"/>
                <w:szCs w:val="15"/>
                <w:color w:val="auto"/>
              </w:rPr>
            </w:pPr>
          </w:p>
        </w:tc>
        <w:tc>
          <w:tcPr>
            <w:tcW w:w="7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Registered</w:t>
            </w:r>
          </w:p>
        </w:tc>
        <w:tc>
          <w:tcPr>
            <w:tcW w:w="200" w:type="dxa"/>
            <w:vAlign w:val="bottom"/>
          </w:tcPr>
          <w:p>
            <w:pPr>
              <w:spacing w:after="0"/>
              <w:rPr>
                <w:sz w:val="15"/>
                <w:szCs w:val="15"/>
                <w:color w:val="auto"/>
              </w:rPr>
            </w:pPr>
          </w:p>
        </w:tc>
        <w:tc>
          <w:tcPr>
            <w:tcW w:w="8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7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0" w:type="dxa"/>
            <w:vAlign w:val="bottom"/>
          </w:tcPr>
          <w:p>
            <w:pPr>
              <w:spacing w:after="0"/>
              <w:rPr>
                <w:sz w:val="1"/>
                <w:szCs w:val="1"/>
                <w:color w:val="auto"/>
              </w:rPr>
            </w:pPr>
          </w:p>
        </w:tc>
      </w:tr>
      <w:tr>
        <w:trPr>
          <w:trHeight w:val="205"/>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Selling Securityholder</w:t>
            </w:r>
            <w:r>
              <w:rPr>
                <w:rFonts w:ascii="Times New Roman" w:cs="Times New Roman" w:eastAsia="Times New Roman" w:hAnsi="Times New Roman"/>
                <w:sz w:val="26"/>
                <w:szCs w:val="26"/>
                <w:b w:val="1"/>
                <w:bCs w:val="1"/>
                <w:color w:val="auto"/>
                <w:vertAlign w:val="superscript"/>
              </w:rPr>
              <w:t>1</w:t>
            </w:r>
          </w:p>
        </w:tc>
        <w:tc>
          <w:tcPr>
            <w:tcW w:w="100" w:type="dxa"/>
            <w:vAlign w:val="bottom"/>
            <w:vMerge w:val="restart"/>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2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6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2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200" w:type="dxa"/>
            <w:vAlign w:val="bottom"/>
          </w:tcPr>
          <w:p>
            <w:pPr>
              <w:spacing w:after="0"/>
              <w:rPr>
                <w:sz w:val="17"/>
                <w:szCs w:val="17"/>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Hereby</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Hereby</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Excaliber Holdings Inc.</w:t>
            </w:r>
            <w:r>
              <w:rPr>
                <w:rFonts w:ascii="Times New Roman" w:cs="Times New Roman" w:eastAsia="Times New Roman" w:hAnsi="Times New Roman"/>
                <w:sz w:val="25"/>
                <w:szCs w:val="25"/>
                <w:color w:val="auto"/>
                <w:vertAlign w:val="superscript"/>
              </w:rPr>
              <w:t>140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3,015</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3,015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Leslie D. Penney</w:t>
            </w:r>
            <w:r>
              <w:rPr>
                <w:rFonts w:ascii="Times New Roman" w:cs="Times New Roman" w:eastAsia="Times New Roman" w:hAnsi="Times New Roman"/>
                <w:sz w:val="25"/>
                <w:szCs w:val="25"/>
                <w:color w:val="auto"/>
                <w:vertAlign w:val="superscript"/>
              </w:rPr>
              <w:t>141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2,437</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2,437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Tatum Gale</w:t>
            </w:r>
            <w:r>
              <w:rPr>
                <w:rFonts w:ascii="Times New Roman" w:cs="Times New Roman" w:eastAsia="Times New Roman" w:hAnsi="Times New Roman"/>
                <w:sz w:val="25"/>
                <w:szCs w:val="25"/>
                <w:color w:val="auto"/>
                <w:vertAlign w:val="superscript"/>
              </w:rPr>
              <w:t>142</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2,437</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2,437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Kai Gale</w:t>
            </w:r>
            <w:r>
              <w:rPr>
                <w:rFonts w:ascii="Times New Roman" w:cs="Times New Roman" w:eastAsia="Times New Roman" w:hAnsi="Times New Roman"/>
                <w:sz w:val="25"/>
                <w:szCs w:val="25"/>
                <w:color w:val="auto"/>
                <w:vertAlign w:val="superscript"/>
              </w:rPr>
              <w:t>143</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2,437</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2,437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304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Ryan Muckenthaler &amp; Tomasine Sessions JT</w:t>
            </w: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04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Ten</w:t>
            </w:r>
            <w:r>
              <w:rPr>
                <w:rFonts w:ascii="Times New Roman" w:cs="Times New Roman" w:eastAsia="Times New Roman" w:hAnsi="Times New Roman"/>
                <w:sz w:val="26"/>
                <w:szCs w:val="26"/>
                <w:color w:val="auto"/>
                <w:vertAlign w:val="superscript"/>
              </w:rPr>
              <w:t>144</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2,437</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2,437</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Great North Capital Corp.</w:t>
            </w:r>
            <w:r>
              <w:rPr>
                <w:rFonts w:ascii="Times New Roman" w:cs="Times New Roman" w:eastAsia="Times New Roman" w:hAnsi="Times New Roman"/>
                <w:sz w:val="25"/>
                <w:szCs w:val="25"/>
                <w:color w:val="auto"/>
                <w:vertAlign w:val="superscript"/>
              </w:rPr>
              <w:t>145</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2,437</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2,437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Michael O’Dwyer</w:t>
            </w:r>
            <w:r>
              <w:rPr>
                <w:rFonts w:ascii="Times New Roman" w:cs="Times New Roman" w:eastAsia="Times New Roman" w:hAnsi="Times New Roman"/>
                <w:sz w:val="25"/>
                <w:szCs w:val="25"/>
                <w:color w:val="auto"/>
                <w:vertAlign w:val="superscript"/>
              </w:rPr>
              <w:t>146</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2,437</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2,437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Zachery Nemec &amp; Carly Nemec JT Ten</w:t>
            </w:r>
            <w:r>
              <w:rPr>
                <w:rFonts w:ascii="Times New Roman" w:cs="Times New Roman" w:eastAsia="Times New Roman" w:hAnsi="Times New Roman"/>
                <w:sz w:val="25"/>
                <w:szCs w:val="25"/>
                <w:color w:val="auto"/>
                <w:vertAlign w:val="superscript"/>
              </w:rPr>
              <w:t>147</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2,437</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2,437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Matthew Gaworski</w:t>
            </w:r>
            <w:r>
              <w:rPr>
                <w:rFonts w:ascii="Times New Roman" w:cs="Times New Roman" w:eastAsia="Times New Roman" w:hAnsi="Times New Roman"/>
                <w:sz w:val="25"/>
                <w:szCs w:val="25"/>
                <w:color w:val="auto"/>
                <w:vertAlign w:val="superscript"/>
              </w:rPr>
              <w:t>148</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2,437</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2,437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Saumya Das</w:t>
            </w:r>
            <w:r>
              <w:rPr>
                <w:rFonts w:ascii="Times New Roman" w:cs="Times New Roman" w:eastAsia="Times New Roman" w:hAnsi="Times New Roman"/>
                <w:sz w:val="25"/>
                <w:szCs w:val="25"/>
                <w:color w:val="auto"/>
                <w:vertAlign w:val="superscript"/>
              </w:rPr>
              <w:t>149</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8,214</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2,437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Rob Dunn</w:t>
            </w:r>
            <w:r>
              <w:rPr>
                <w:rFonts w:ascii="Times New Roman" w:cs="Times New Roman" w:eastAsia="Times New Roman" w:hAnsi="Times New Roman"/>
                <w:sz w:val="25"/>
                <w:szCs w:val="25"/>
                <w:color w:val="auto"/>
                <w:vertAlign w:val="superscript"/>
              </w:rPr>
              <w:t>150</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2,437</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2,437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Patricia E. Dulaney</w:t>
            </w:r>
            <w:r>
              <w:rPr>
                <w:rFonts w:ascii="Times New Roman" w:cs="Times New Roman" w:eastAsia="Times New Roman" w:hAnsi="Times New Roman"/>
                <w:sz w:val="25"/>
                <w:szCs w:val="25"/>
                <w:color w:val="auto"/>
                <w:vertAlign w:val="superscript"/>
              </w:rPr>
              <w:t>151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2,437</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2,437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Jeremy Terman</w:t>
            </w:r>
            <w:r>
              <w:rPr>
                <w:rFonts w:ascii="Times New Roman" w:cs="Times New Roman" w:eastAsia="Times New Roman" w:hAnsi="Times New Roman"/>
                <w:sz w:val="25"/>
                <w:szCs w:val="25"/>
                <w:color w:val="auto"/>
                <w:vertAlign w:val="superscript"/>
              </w:rPr>
              <w:t>152</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2,437</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2,437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167703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77035" cy="15240"/>
                    </a:xfrm>
                    <a:prstGeom prst="rect">
                      <a:avLst/>
                    </a:prstGeom>
                    <a:noFill/>
                  </pic:spPr>
                </pic:pic>
              </a:graphicData>
            </a:graphic>
          </wp:anchor>
        </w:drawing>
      </w:r>
    </w:p>
    <w:p>
      <w:pPr>
        <w:spacing w:after="0" w:line="195" w:lineRule="exact"/>
        <w:rPr>
          <w:sz w:val="20"/>
          <w:szCs w:val="20"/>
          <w:color w:val="auto"/>
        </w:rPr>
      </w:pPr>
    </w:p>
    <w:p>
      <w:pPr>
        <w:ind w:left="300" w:right="20" w:hanging="294"/>
        <w:spacing w:after="0" w:line="190" w:lineRule="auto"/>
        <w:tabs>
          <w:tab w:leader="none" w:pos="300" w:val="left"/>
        </w:tabs>
        <w:numPr>
          <w:ilvl w:val="0"/>
          <w:numId w:val="6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Excaliber Holdings, Inc. Daniel Wright is the controlling shareholder of Excaliber Holdings, Inc. The address of the principal business office of Excaliber Holdings, Inc. is 4866 N. Maidstone Pl, Boise, ID 83713.</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6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Leslie D. Penney. The address of the principal business office of Leslie D. Penney is 34 S. Mesa Vista Dr., Boise, ID 83705.</w:t>
      </w:r>
    </w:p>
    <w:p>
      <w:pPr>
        <w:spacing w:after="0" w:line="157"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6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Tatum Gale. The address of the principal business office of Tatum Gale is 11047 N.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6"/>
          <w:szCs w:val="16"/>
          <w:color w:val="auto"/>
        </w:rPr>
        <w:t xml:space="preserve"> St., Scottsdale, AZ 85254.</w:t>
      </w:r>
    </w:p>
    <w:p>
      <w:pPr>
        <w:spacing w:after="0" w:line="97"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6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Kai Gale. The address of the principal business office of Kai Gale is 11047 N.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6"/>
          <w:szCs w:val="16"/>
          <w:color w:val="auto"/>
        </w:rPr>
        <w:t xml:space="preserve"> St., Scottsdale, AZ 85254.</w:t>
      </w:r>
    </w:p>
    <w:p>
      <w:pPr>
        <w:spacing w:after="0" w:line="97" w:lineRule="exact"/>
        <w:rPr>
          <w:rFonts w:ascii="Times New Roman" w:cs="Times New Roman" w:eastAsia="Times New Roman" w:hAnsi="Times New Roman"/>
          <w:sz w:val="26"/>
          <w:szCs w:val="26"/>
          <w:color w:val="auto"/>
          <w:vertAlign w:val="superscript"/>
        </w:rPr>
      </w:pPr>
    </w:p>
    <w:p>
      <w:pPr>
        <w:ind w:left="300" w:hanging="294"/>
        <w:spacing w:after="0" w:line="190" w:lineRule="auto"/>
        <w:tabs>
          <w:tab w:leader="none" w:pos="300" w:val="left"/>
        </w:tabs>
        <w:numPr>
          <w:ilvl w:val="0"/>
          <w:numId w:val="6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Ryan Muckenthaler &amp; Tomasine Sessions JT Ten. The address of the principal business office of Ryan Muckenthaler &amp; Tomasine Sessions JT Ten is 1676 S. Blacksmith Pl, Meridian, ID 83642.</w:t>
      </w:r>
    </w:p>
    <w:p>
      <w:pPr>
        <w:spacing w:after="0" w:line="157" w:lineRule="exact"/>
        <w:rPr>
          <w:rFonts w:ascii="Times New Roman" w:cs="Times New Roman" w:eastAsia="Times New Roman" w:hAnsi="Times New Roman"/>
          <w:sz w:val="26"/>
          <w:szCs w:val="26"/>
          <w:color w:val="auto"/>
          <w:vertAlign w:val="superscript"/>
        </w:rPr>
      </w:pPr>
    </w:p>
    <w:p>
      <w:pPr>
        <w:ind w:left="300" w:right="40" w:hanging="294"/>
        <w:spacing w:after="0" w:line="190" w:lineRule="auto"/>
        <w:tabs>
          <w:tab w:leader="none" w:pos="300" w:val="left"/>
        </w:tabs>
        <w:numPr>
          <w:ilvl w:val="0"/>
          <w:numId w:val="6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Great North Capital Corp. The address of the principal business office of Great North Capital Corp. is 4471 Dean Martin Dr., Unit 3102, Las Vegas, NV 89103.</w:t>
      </w:r>
    </w:p>
    <w:p>
      <w:pPr>
        <w:spacing w:after="0" w:line="157" w:lineRule="exact"/>
        <w:rPr>
          <w:rFonts w:ascii="Times New Roman" w:cs="Times New Roman" w:eastAsia="Times New Roman" w:hAnsi="Times New Roman"/>
          <w:sz w:val="26"/>
          <w:szCs w:val="26"/>
          <w:color w:val="auto"/>
          <w:vertAlign w:val="superscript"/>
        </w:rPr>
      </w:pPr>
    </w:p>
    <w:p>
      <w:pPr>
        <w:ind w:left="300" w:right="40" w:hanging="294"/>
        <w:spacing w:after="0" w:line="190" w:lineRule="auto"/>
        <w:tabs>
          <w:tab w:leader="none" w:pos="300" w:val="left"/>
        </w:tabs>
        <w:numPr>
          <w:ilvl w:val="0"/>
          <w:numId w:val="6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Michael O’Dwyer. The address of the principal business office of Michael O’Dwyer is 7532 Toscana Blvd, Unit 524, Orlando, FL 32819.</w:t>
      </w:r>
    </w:p>
    <w:p>
      <w:pPr>
        <w:spacing w:after="0" w:line="157" w:lineRule="exact"/>
        <w:rPr>
          <w:rFonts w:ascii="Times New Roman" w:cs="Times New Roman" w:eastAsia="Times New Roman" w:hAnsi="Times New Roman"/>
          <w:sz w:val="26"/>
          <w:szCs w:val="26"/>
          <w:color w:val="auto"/>
          <w:vertAlign w:val="superscript"/>
        </w:rPr>
      </w:pPr>
    </w:p>
    <w:p>
      <w:pPr>
        <w:ind w:left="300" w:right="20" w:hanging="294"/>
        <w:spacing w:after="0" w:line="190" w:lineRule="auto"/>
        <w:tabs>
          <w:tab w:leader="none" w:pos="300" w:val="left"/>
        </w:tabs>
        <w:numPr>
          <w:ilvl w:val="0"/>
          <w:numId w:val="6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Zachery Nemec &amp; Carly Nemec JT Ten. The address of the principal business office of Zachery Nemec &amp; Carly Nemec JT Ten is 2416 W. Coneflower St., Nampa, ID 83686.</w:t>
      </w:r>
    </w:p>
    <w:p>
      <w:pPr>
        <w:spacing w:after="0" w:line="157" w:lineRule="exact"/>
        <w:rPr>
          <w:rFonts w:ascii="Times New Roman" w:cs="Times New Roman" w:eastAsia="Times New Roman" w:hAnsi="Times New Roman"/>
          <w:sz w:val="26"/>
          <w:szCs w:val="26"/>
          <w:color w:val="auto"/>
          <w:vertAlign w:val="superscript"/>
        </w:rPr>
      </w:pPr>
    </w:p>
    <w:p>
      <w:pPr>
        <w:ind w:left="300" w:right="60" w:hanging="294"/>
        <w:spacing w:after="0" w:line="190" w:lineRule="auto"/>
        <w:tabs>
          <w:tab w:leader="none" w:pos="300" w:val="left"/>
        </w:tabs>
        <w:numPr>
          <w:ilvl w:val="0"/>
          <w:numId w:val="6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Matthew Gaworski. The address of the principal business office of Matthew Gaworski is 11013 N. Pinto Dr., Fountain Hills, AZ 85268.</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6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Saumya Das. The address of the principal business office of Saumya Das is 42205 Dove Wing Ct., Ashburn, VA 20148.</w:t>
      </w:r>
    </w:p>
    <w:p>
      <w:pPr>
        <w:spacing w:after="0" w:line="146" w:lineRule="exact"/>
        <w:rPr>
          <w:rFonts w:ascii="Times New Roman" w:cs="Times New Roman" w:eastAsia="Times New Roman" w:hAnsi="Times New Roman"/>
          <w:sz w:val="26"/>
          <w:szCs w:val="26"/>
          <w:color w:val="auto"/>
          <w:vertAlign w:val="superscript"/>
        </w:rPr>
      </w:pPr>
    </w:p>
    <w:p>
      <w:pPr>
        <w:ind w:left="300" w:hanging="294"/>
        <w:spacing w:after="0" w:line="185" w:lineRule="auto"/>
        <w:tabs>
          <w:tab w:leader="none" w:pos="300" w:val="left"/>
        </w:tabs>
        <w:numPr>
          <w:ilvl w:val="0"/>
          <w:numId w:val="6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Rob Dunn. The address of the principal business office of Rob Dunn is 651 East Gentlewind Court, Boise, ID 83706.</w:t>
      </w:r>
    </w:p>
    <w:p>
      <w:pPr>
        <w:spacing w:after="0" w:line="157" w:lineRule="exact"/>
        <w:rPr>
          <w:rFonts w:ascii="Times New Roman" w:cs="Times New Roman" w:eastAsia="Times New Roman" w:hAnsi="Times New Roman"/>
          <w:sz w:val="24"/>
          <w:szCs w:val="24"/>
          <w:color w:val="auto"/>
          <w:vertAlign w:val="superscript"/>
        </w:rPr>
      </w:pPr>
    </w:p>
    <w:p>
      <w:pPr>
        <w:ind w:left="300" w:right="40" w:hanging="294"/>
        <w:spacing w:after="0" w:line="190" w:lineRule="auto"/>
        <w:tabs>
          <w:tab w:leader="none" w:pos="300" w:val="left"/>
        </w:tabs>
        <w:numPr>
          <w:ilvl w:val="0"/>
          <w:numId w:val="6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Patricia E. Dulaney. The address of the principal business office of Patricia E. Dulaney is 3443 Modena Circle, Las Vegas, NV 89120.</w:t>
      </w:r>
    </w:p>
    <w:p>
      <w:pPr>
        <w:spacing w:after="0" w:line="157"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6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shares directly held by Jeremy Terman. The address of the principal business office of Jeremy Terman is 1201 West 86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St., Kansas City, MO 64114.</w:t>
      </w:r>
    </w:p>
    <w:p>
      <w:pPr>
        <w:spacing w:after="0" w:line="120" w:lineRule="exact"/>
        <w:rPr>
          <w:rFonts w:ascii="Times New Roman" w:cs="Times New Roman" w:eastAsia="Times New Roman" w:hAnsi="Times New Roman"/>
          <w:sz w:val="25"/>
          <w:szCs w:val="25"/>
          <w:color w:val="auto"/>
          <w:vertAlign w:val="superscript"/>
        </w:rPr>
      </w:pPr>
    </w:p>
    <w:p>
      <w:pPr>
        <w:ind w:left="520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3040" w:type="dxa"/>
        <w:tblCellMar>
          <w:top w:w="0" w:type="dxa"/>
          <w:left w:w="0" w:type="dxa"/>
          <w:bottom w:w="0" w:type="dxa"/>
          <w:right w:w="0" w:type="dxa"/>
        </w:tblCellMar>
      </w:tblPr>
      <w:tr>
        <w:trPr>
          <w:trHeight w:val="199"/>
        </w:trPr>
        <w:tc>
          <w:tcPr>
            <w:tcW w:w="9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7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8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r>
      <w:tr>
        <w:trPr>
          <w:trHeight w:val="165"/>
        </w:trPr>
        <w:tc>
          <w:tcPr>
            <w:tcW w:w="94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1080" w:type="dxa"/>
            <w:vAlign w:val="bottom"/>
          </w:tcPr>
          <w:p>
            <w:pPr>
              <w:spacing w:after="0"/>
              <w:rPr>
                <w:sz w:val="14"/>
                <w:szCs w:val="14"/>
                <w:color w:val="auto"/>
              </w:rPr>
            </w:pPr>
          </w:p>
        </w:tc>
        <w:tc>
          <w:tcPr>
            <w:tcW w:w="104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0"/>
        </w:trPr>
        <w:tc>
          <w:tcPr>
            <w:tcW w:w="9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080" w:type="dxa"/>
            <w:vAlign w:val="bottom"/>
          </w:tcPr>
          <w:p>
            <w:pPr>
              <w:jc w:val="center"/>
              <w:ind w:left="2"/>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0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200" w:type="dxa"/>
            <w:vAlign w:val="bottom"/>
          </w:tcPr>
          <w:p>
            <w:pPr>
              <w:spacing w:after="0"/>
              <w:rPr>
                <w:sz w:val="15"/>
                <w:szCs w:val="15"/>
                <w:color w:val="auto"/>
              </w:rPr>
            </w:pPr>
          </w:p>
        </w:tc>
        <w:tc>
          <w:tcPr>
            <w:tcW w:w="86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Percent</w:t>
            </w:r>
          </w:p>
        </w:tc>
      </w:tr>
      <w:tr>
        <w:trPr>
          <w:trHeight w:val="180"/>
        </w:trPr>
        <w:tc>
          <w:tcPr>
            <w:tcW w:w="9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080" w:type="dxa"/>
            <w:vAlign w:val="bottom"/>
          </w:tcPr>
          <w:p>
            <w:pPr>
              <w:jc w:val="center"/>
              <w:ind w:left="2"/>
              <w:spacing w:after="0" w:line="180" w:lineRule="exact"/>
              <w:rPr>
                <w:sz w:val="20"/>
                <w:szCs w:val="20"/>
                <w:color w:val="auto"/>
              </w:rPr>
            </w:pPr>
            <w:r>
              <w:rPr>
                <w:rFonts w:ascii="Times New Roman" w:cs="Times New Roman" w:eastAsia="Times New Roman" w:hAnsi="Times New Roman"/>
                <w:sz w:val="16"/>
                <w:szCs w:val="16"/>
                <w:b w:val="1"/>
                <w:bCs w:val="1"/>
                <w:color w:val="auto"/>
                <w:w w:val="98"/>
              </w:rPr>
              <w:t>Registered</w:t>
            </w:r>
          </w:p>
        </w:tc>
        <w:tc>
          <w:tcPr>
            <w:tcW w:w="10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86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Registered</w:t>
            </w: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r>
      <w:tr>
        <w:trPr>
          <w:trHeight w:val="205"/>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080" w:type="dxa"/>
            <w:vAlign w:val="bottom"/>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200" w:type="dxa"/>
            <w:vAlign w:val="bottom"/>
          </w:tcPr>
          <w:p>
            <w:pPr>
              <w:spacing w:after="0"/>
              <w:rPr>
                <w:sz w:val="17"/>
                <w:szCs w:val="17"/>
                <w:color w:val="auto"/>
              </w:rPr>
            </w:pPr>
          </w:p>
        </w:tc>
        <w:tc>
          <w:tcPr>
            <w:tcW w:w="86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After</w:t>
            </w:r>
          </w:p>
        </w:tc>
      </w:tr>
    </w:tbl>
    <w:p>
      <w:pPr>
        <w:sectPr>
          <w:pgSz w:w="11900" w:h="16840" w:orient="portrait"/>
          <w:cols w:equalWidth="0" w:num="1">
            <w:col w:w="10600"/>
          </w:cols>
          <w:pgMar w:left="660" w:top="461" w:right="640" w:bottom="19"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Selling Securityholder</w:t>
            </w:r>
            <w:r>
              <w:rPr>
                <w:rFonts w:ascii="Times New Roman" w:cs="Times New Roman" w:eastAsia="Times New Roman" w:hAnsi="Times New Roman"/>
                <w:sz w:val="26"/>
                <w:szCs w:val="26"/>
                <w:b w:val="1"/>
                <w:bCs w:val="1"/>
                <w:color w:val="auto"/>
                <w:vertAlign w:val="superscript"/>
              </w:rPr>
              <w:t>1</w:t>
            </w: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8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Hereby</w:t>
            </w:r>
          </w:p>
        </w:tc>
        <w:tc>
          <w:tcPr>
            <w:tcW w:w="18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2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Hereby</w:t>
            </w:r>
          </w:p>
        </w:tc>
        <w:tc>
          <w:tcPr>
            <w:tcW w:w="18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2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80" w:type="dxa"/>
            <w:vAlign w:val="bottom"/>
            <w:tcBorders>
              <w:bottom w:val="single" w:sz="8" w:color="CCEEFF"/>
            </w:tcBorders>
          </w:tcPr>
          <w:p>
            <w:pPr>
              <w:spacing w:after="0"/>
              <w:rPr>
                <w:sz w:val="24"/>
                <w:szCs w:val="24"/>
                <w:color w:val="auto"/>
              </w:rPr>
            </w:pP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Robert Cucchiaro</w:t>
            </w:r>
            <w:r>
              <w:rPr>
                <w:rFonts w:ascii="Times New Roman" w:cs="Times New Roman" w:eastAsia="Times New Roman" w:hAnsi="Times New Roman"/>
                <w:sz w:val="25"/>
                <w:szCs w:val="25"/>
                <w:color w:val="auto"/>
                <w:vertAlign w:val="superscript"/>
              </w:rPr>
              <w:t>153</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2,437</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2,437</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9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Megan Warren</w:t>
            </w:r>
            <w:r>
              <w:rPr>
                <w:rFonts w:ascii="Times New Roman" w:cs="Times New Roman" w:eastAsia="Times New Roman" w:hAnsi="Times New Roman"/>
                <w:sz w:val="25"/>
                <w:szCs w:val="25"/>
                <w:color w:val="auto"/>
                <w:vertAlign w:val="superscript"/>
              </w:rPr>
              <w:t>154</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2,437</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2,437</w:t>
            </w: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Kenneth Scott Spraker</w:t>
            </w:r>
            <w:r>
              <w:rPr>
                <w:rFonts w:ascii="Times New Roman" w:cs="Times New Roman" w:eastAsia="Times New Roman" w:hAnsi="Times New Roman"/>
                <w:sz w:val="25"/>
                <w:szCs w:val="25"/>
                <w:color w:val="auto"/>
                <w:vertAlign w:val="superscript"/>
              </w:rPr>
              <w:t>155</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2,437</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2,437</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9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Rob Dickson</w:t>
            </w:r>
            <w:r>
              <w:rPr>
                <w:rFonts w:ascii="Times New Roman" w:cs="Times New Roman" w:eastAsia="Times New Roman" w:hAnsi="Times New Roman"/>
                <w:sz w:val="25"/>
                <w:szCs w:val="25"/>
                <w:color w:val="auto"/>
                <w:vertAlign w:val="superscript"/>
              </w:rPr>
              <w:t>156</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2,437</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2,437</w:t>
            </w: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Mari E. Dressen Churchill</w:t>
            </w:r>
            <w:r>
              <w:rPr>
                <w:rFonts w:ascii="Times New Roman" w:cs="Times New Roman" w:eastAsia="Times New Roman" w:hAnsi="Times New Roman"/>
                <w:sz w:val="25"/>
                <w:szCs w:val="25"/>
                <w:color w:val="auto"/>
                <w:vertAlign w:val="superscript"/>
              </w:rPr>
              <w:t>157</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2,437</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2,437</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9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Joel Fish</w:t>
            </w:r>
            <w:r>
              <w:rPr>
                <w:rFonts w:ascii="Times New Roman" w:cs="Times New Roman" w:eastAsia="Times New Roman" w:hAnsi="Times New Roman"/>
                <w:sz w:val="25"/>
                <w:szCs w:val="25"/>
                <w:color w:val="auto"/>
                <w:vertAlign w:val="superscript"/>
              </w:rPr>
              <w:t>158</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2,187</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2,187</w:t>
            </w: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Spencer Lee Smith</w:t>
            </w:r>
            <w:r>
              <w:rPr>
                <w:rFonts w:ascii="Times New Roman" w:cs="Times New Roman" w:eastAsia="Times New Roman" w:hAnsi="Times New Roman"/>
                <w:sz w:val="25"/>
                <w:szCs w:val="25"/>
                <w:color w:val="auto"/>
                <w:vertAlign w:val="superscript"/>
              </w:rPr>
              <w:t>159</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1,687</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1,687</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9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Adam Paul Esposito</w:t>
            </w:r>
            <w:r>
              <w:rPr>
                <w:rFonts w:ascii="Times New Roman" w:cs="Times New Roman" w:eastAsia="Times New Roman" w:hAnsi="Times New Roman"/>
                <w:sz w:val="25"/>
                <w:szCs w:val="25"/>
                <w:color w:val="auto"/>
                <w:vertAlign w:val="superscript"/>
              </w:rPr>
              <w:t>160</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1,437</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1,437</w:t>
            </w: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Samual Mallane</w:t>
            </w:r>
            <w:r>
              <w:rPr>
                <w:rFonts w:ascii="Times New Roman" w:cs="Times New Roman" w:eastAsia="Times New Roman" w:hAnsi="Times New Roman"/>
                <w:sz w:val="25"/>
                <w:szCs w:val="25"/>
                <w:color w:val="auto"/>
                <w:vertAlign w:val="superscript"/>
              </w:rPr>
              <w:t>161</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1,437</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1,437</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9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Michael Wright</w:t>
            </w:r>
            <w:r>
              <w:rPr>
                <w:rFonts w:ascii="Times New Roman" w:cs="Times New Roman" w:eastAsia="Times New Roman" w:hAnsi="Times New Roman"/>
                <w:sz w:val="25"/>
                <w:szCs w:val="25"/>
                <w:color w:val="auto"/>
                <w:vertAlign w:val="superscript"/>
              </w:rPr>
              <w:t>162</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1,437</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1,437</w:t>
            </w: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Alejandro Salinas</w:t>
            </w:r>
            <w:r>
              <w:rPr>
                <w:rFonts w:ascii="Times New Roman" w:cs="Times New Roman" w:eastAsia="Times New Roman" w:hAnsi="Times New Roman"/>
                <w:sz w:val="25"/>
                <w:szCs w:val="25"/>
                <w:color w:val="auto"/>
                <w:vertAlign w:val="superscript"/>
              </w:rPr>
              <w:t>163</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1,437</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1,187</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9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Elisa R. Bilbao</w:t>
            </w:r>
            <w:r>
              <w:rPr>
                <w:rFonts w:ascii="Times New Roman" w:cs="Times New Roman" w:eastAsia="Times New Roman" w:hAnsi="Times New Roman"/>
                <w:sz w:val="25"/>
                <w:szCs w:val="25"/>
                <w:color w:val="auto"/>
                <w:vertAlign w:val="superscript"/>
              </w:rPr>
              <w:t>164</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1,187</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1,187</w:t>
            </w: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Christopher Boquette</w:t>
            </w:r>
            <w:r>
              <w:rPr>
                <w:rFonts w:ascii="Times New Roman" w:cs="Times New Roman" w:eastAsia="Times New Roman" w:hAnsi="Times New Roman"/>
                <w:sz w:val="25"/>
                <w:szCs w:val="25"/>
                <w:color w:val="auto"/>
                <w:vertAlign w:val="superscript"/>
              </w:rPr>
              <w:t>165</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1,187</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1,187</w:t>
            </w: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144780</wp:posOffset>
            </wp:positionV>
            <wp:extent cx="167703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77035" cy="15240"/>
                    </a:xfrm>
                    <a:prstGeom prst="rect">
                      <a:avLst/>
                    </a:prstGeom>
                    <a:noFill/>
                  </pic:spPr>
                </pic:pic>
              </a:graphicData>
            </a:graphic>
          </wp:anchor>
        </w:drawing>
      </w:r>
    </w:p>
    <w:p>
      <w:pPr>
        <w:spacing w:after="0" w:line="159" w:lineRule="exact"/>
        <w:rPr>
          <w:sz w:val="20"/>
          <w:szCs w:val="20"/>
          <w:color w:val="auto"/>
        </w:rPr>
      </w:pPr>
    </w:p>
    <w:p>
      <w:pPr>
        <w:ind w:left="300" w:hanging="294"/>
        <w:spacing w:after="0"/>
        <w:tabs>
          <w:tab w:leader="none" w:pos="300" w:val="left"/>
        </w:tabs>
        <w:numPr>
          <w:ilvl w:val="0"/>
          <w:numId w:val="6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shares directly held by Robert Cucchiaro. The address of the principal business office of Robert Cucchiaro is 360 W. Back Forty Dr., Eagle, ID 83616.</w:t>
      </w:r>
    </w:p>
    <w:p>
      <w:pPr>
        <w:spacing w:after="0" w:line="146" w:lineRule="exact"/>
        <w:rPr>
          <w:rFonts w:ascii="Times New Roman" w:cs="Times New Roman" w:eastAsia="Times New Roman" w:hAnsi="Times New Roman"/>
          <w:sz w:val="25"/>
          <w:szCs w:val="25"/>
          <w:color w:val="auto"/>
          <w:vertAlign w:val="superscript"/>
        </w:rPr>
      </w:pPr>
    </w:p>
    <w:p>
      <w:pPr>
        <w:ind w:left="300" w:hanging="294"/>
        <w:spacing w:after="0" w:line="185" w:lineRule="auto"/>
        <w:tabs>
          <w:tab w:leader="none" w:pos="300" w:val="left"/>
        </w:tabs>
        <w:numPr>
          <w:ilvl w:val="0"/>
          <w:numId w:val="6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Megan Warren. The address of the principal business office of Megan Warren is 3034 West Central Blvd., Cambridge, ID 83610.</w:t>
      </w:r>
    </w:p>
    <w:p>
      <w:pPr>
        <w:spacing w:after="0" w:line="157" w:lineRule="exact"/>
        <w:rPr>
          <w:rFonts w:ascii="Times New Roman" w:cs="Times New Roman" w:eastAsia="Times New Roman" w:hAnsi="Times New Roman"/>
          <w:sz w:val="24"/>
          <w:szCs w:val="24"/>
          <w:color w:val="auto"/>
          <w:vertAlign w:val="superscript"/>
        </w:rPr>
      </w:pPr>
    </w:p>
    <w:p>
      <w:pPr>
        <w:ind w:left="300" w:right="20" w:hanging="294"/>
        <w:spacing w:after="0" w:line="190" w:lineRule="auto"/>
        <w:tabs>
          <w:tab w:leader="none" w:pos="300" w:val="left"/>
        </w:tabs>
        <w:numPr>
          <w:ilvl w:val="0"/>
          <w:numId w:val="6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Kenneth Scott Spraker. The address of the principal business office of Kenneth Scott Spraker is 294 E. Whitespur St., Meridian, ID 83642.</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6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Rob Dickson. The address of the principal business office of Rob Dickson is 2434 East Garber, Meridian, ID 83646.</w:t>
      </w:r>
    </w:p>
    <w:p>
      <w:pPr>
        <w:spacing w:after="0" w:line="157" w:lineRule="exact"/>
        <w:rPr>
          <w:rFonts w:ascii="Times New Roman" w:cs="Times New Roman" w:eastAsia="Times New Roman" w:hAnsi="Times New Roman"/>
          <w:sz w:val="26"/>
          <w:szCs w:val="26"/>
          <w:color w:val="auto"/>
          <w:vertAlign w:val="superscript"/>
        </w:rPr>
      </w:pPr>
    </w:p>
    <w:p>
      <w:pPr>
        <w:ind w:left="300" w:hanging="294"/>
        <w:spacing w:after="0" w:line="190" w:lineRule="auto"/>
        <w:tabs>
          <w:tab w:leader="none" w:pos="300" w:val="left"/>
        </w:tabs>
        <w:numPr>
          <w:ilvl w:val="0"/>
          <w:numId w:val="6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Mari E. Dressen Churchill. The address of the principal business office of Mari E. Dressen Churchill is 967 E. Parkcenter #302, Boise, ID 83706.</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6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Joel Fish. The address of the principal business office of Joel Fish is 4931 Morninggale Way, Boise, ID 83713.</w:t>
      </w:r>
    </w:p>
    <w:p>
      <w:pPr>
        <w:spacing w:after="0" w:line="146" w:lineRule="exact"/>
        <w:rPr>
          <w:rFonts w:ascii="Times New Roman" w:cs="Times New Roman" w:eastAsia="Times New Roman" w:hAnsi="Times New Roman"/>
          <w:sz w:val="26"/>
          <w:szCs w:val="26"/>
          <w:color w:val="auto"/>
          <w:vertAlign w:val="superscript"/>
        </w:rPr>
      </w:pPr>
    </w:p>
    <w:p>
      <w:pPr>
        <w:ind w:left="300" w:hanging="294"/>
        <w:spacing w:after="0" w:line="185" w:lineRule="auto"/>
        <w:tabs>
          <w:tab w:leader="none" w:pos="300" w:val="left"/>
        </w:tabs>
        <w:numPr>
          <w:ilvl w:val="0"/>
          <w:numId w:val="6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Spencer Lee Smith. The address of the principal business office of Spencer Lee Smith is 3200 Birch St., Baker City, OR 97814.</w:t>
      </w:r>
    </w:p>
    <w:p>
      <w:pPr>
        <w:spacing w:after="0" w:line="157" w:lineRule="exact"/>
        <w:rPr>
          <w:rFonts w:ascii="Times New Roman" w:cs="Times New Roman" w:eastAsia="Times New Roman" w:hAnsi="Times New Roman"/>
          <w:sz w:val="24"/>
          <w:szCs w:val="24"/>
          <w:color w:val="auto"/>
          <w:vertAlign w:val="superscript"/>
        </w:rPr>
      </w:pPr>
    </w:p>
    <w:p>
      <w:pPr>
        <w:ind w:left="300" w:right="40" w:hanging="294"/>
        <w:spacing w:after="0" w:line="190" w:lineRule="auto"/>
        <w:tabs>
          <w:tab w:leader="none" w:pos="300" w:val="left"/>
        </w:tabs>
        <w:numPr>
          <w:ilvl w:val="0"/>
          <w:numId w:val="6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Adam Paul Esposito. The address of the principal business office of Adam Paul Esposito is 11331 W. Brandi Ln, Nampa, ID 83651.</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6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Samuel Mallane. The address of the principal business office of Samuel Mallane is 2324 W. Ona St., Boise, ID 83705.</w:t>
      </w:r>
    </w:p>
    <w:p>
      <w:pPr>
        <w:spacing w:after="0" w:line="146" w:lineRule="exact"/>
        <w:rPr>
          <w:rFonts w:ascii="Times New Roman" w:cs="Times New Roman" w:eastAsia="Times New Roman" w:hAnsi="Times New Roman"/>
          <w:sz w:val="26"/>
          <w:szCs w:val="26"/>
          <w:color w:val="auto"/>
          <w:vertAlign w:val="superscript"/>
        </w:rPr>
      </w:pPr>
    </w:p>
    <w:p>
      <w:pPr>
        <w:ind w:left="300" w:hanging="294"/>
        <w:spacing w:after="0" w:line="185" w:lineRule="auto"/>
        <w:tabs>
          <w:tab w:leader="none" w:pos="300" w:val="left"/>
        </w:tabs>
        <w:numPr>
          <w:ilvl w:val="0"/>
          <w:numId w:val="6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Michael Wright. The address of the principal business office of Michael Wright is 5683 S. Alyssum Pl., Boise, ID 83716.</w:t>
      </w:r>
    </w:p>
    <w:p>
      <w:pPr>
        <w:spacing w:after="0" w:line="157" w:lineRule="exact"/>
        <w:rPr>
          <w:rFonts w:ascii="Times New Roman" w:cs="Times New Roman" w:eastAsia="Times New Roman" w:hAnsi="Times New Roman"/>
          <w:sz w:val="24"/>
          <w:szCs w:val="24"/>
          <w:color w:val="auto"/>
          <w:vertAlign w:val="superscript"/>
        </w:rPr>
      </w:pPr>
    </w:p>
    <w:p>
      <w:pPr>
        <w:ind w:left="300" w:right="40" w:hanging="294"/>
        <w:spacing w:after="0" w:line="190" w:lineRule="auto"/>
        <w:tabs>
          <w:tab w:leader="none" w:pos="300" w:val="left"/>
        </w:tabs>
        <w:numPr>
          <w:ilvl w:val="0"/>
          <w:numId w:val="6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Alejandro Salinas. The address of the principal business office of Alejandro Salinas is 3428 W. Star Hollow Dr., Meridian, ID 83646.</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6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Elisa Bilbao. The address of the principal business office of Elisa Bilbao is 3597 Cow Creek Rd., Cambridge, ID 83610.</w:t>
      </w:r>
    </w:p>
    <w:p>
      <w:pPr>
        <w:spacing w:after="0" w:line="157" w:lineRule="exact"/>
        <w:rPr>
          <w:rFonts w:ascii="Times New Roman" w:cs="Times New Roman" w:eastAsia="Times New Roman" w:hAnsi="Times New Roman"/>
          <w:sz w:val="26"/>
          <w:szCs w:val="26"/>
          <w:color w:val="auto"/>
          <w:vertAlign w:val="superscript"/>
        </w:rPr>
      </w:pPr>
    </w:p>
    <w:p>
      <w:pPr>
        <w:ind w:left="300" w:right="40" w:hanging="294"/>
        <w:spacing w:after="0" w:line="190" w:lineRule="auto"/>
        <w:tabs>
          <w:tab w:leader="none" w:pos="300" w:val="left"/>
        </w:tabs>
        <w:numPr>
          <w:ilvl w:val="0"/>
          <w:numId w:val="6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Christopher Boquette. The address of the principal business office of Christopher Boquette is 7889 S. Indigo Ridge Ave., Boise, ID 83716.</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gridSpan w:val="5"/>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gridSpan w:val="9"/>
          </w:tcPr>
          <w:p>
            <w:pPr>
              <w:ind w:left="460"/>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top w:val="single" w:sz="8" w:color="auto"/>
            </w:tcBorders>
            <w:gridSpan w:val="2"/>
          </w:tcPr>
          <w:p>
            <w:pPr>
              <w:jc w:val="center"/>
              <w:ind w:right="60"/>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4"/>
              </w:rPr>
              <w:t>Beneficially</w:t>
            </w:r>
          </w:p>
        </w:tc>
        <w:tc>
          <w:tcPr>
            <w:tcW w:w="120" w:type="dxa"/>
            <w:vAlign w:val="bottom"/>
          </w:tcPr>
          <w:p>
            <w:pPr>
              <w:spacing w:after="0"/>
              <w:rPr>
                <w:sz w:val="15"/>
                <w:szCs w:val="15"/>
                <w:color w:val="auto"/>
              </w:rPr>
            </w:pPr>
          </w:p>
        </w:tc>
        <w:tc>
          <w:tcPr>
            <w:tcW w:w="9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8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Beneficially</w:t>
            </w:r>
          </w:p>
        </w:tc>
        <w:tc>
          <w:tcPr>
            <w:tcW w:w="180" w:type="dxa"/>
            <w:vAlign w:val="bottom"/>
          </w:tcPr>
          <w:p>
            <w:pPr>
              <w:spacing w:after="0"/>
              <w:rPr>
                <w:sz w:val="15"/>
                <w:szCs w:val="15"/>
                <w:color w:val="auto"/>
              </w:rPr>
            </w:pPr>
          </w:p>
        </w:tc>
        <w:tc>
          <w:tcPr>
            <w:tcW w:w="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2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4"/>
              </w:rPr>
              <w:t>Beneficially</w:t>
            </w:r>
          </w:p>
        </w:tc>
        <w:tc>
          <w:tcPr>
            <w:tcW w:w="180" w:type="dxa"/>
            <w:vAlign w:val="bottom"/>
          </w:tcPr>
          <w:p>
            <w:pPr>
              <w:spacing w:after="0"/>
              <w:rPr>
                <w:sz w:val="15"/>
                <w:szCs w:val="15"/>
                <w:color w:val="auto"/>
              </w:rPr>
            </w:pPr>
          </w:p>
        </w:tc>
        <w:tc>
          <w:tcPr>
            <w:tcW w:w="80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8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Beneficially</w:t>
            </w:r>
          </w:p>
        </w:tc>
        <w:tc>
          <w:tcPr>
            <w:tcW w:w="200" w:type="dxa"/>
            <w:vAlign w:val="bottom"/>
          </w:tcPr>
          <w:p>
            <w:pPr>
              <w:spacing w:after="0"/>
              <w:rPr>
                <w:sz w:val="15"/>
                <w:szCs w:val="15"/>
                <w:color w:val="auto"/>
              </w:rPr>
            </w:pPr>
          </w:p>
        </w:tc>
        <w:tc>
          <w:tcPr>
            <w:tcW w:w="7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5"/>
              </w:rPr>
              <w:t>Percent</w:t>
            </w: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20" w:type="dxa"/>
            <w:vAlign w:val="bottom"/>
          </w:tcPr>
          <w:p>
            <w:pPr>
              <w:spacing w:after="0"/>
              <w:rPr>
                <w:sz w:val="15"/>
                <w:szCs w:val="15"/>
                <w:color w:val="auto"/>
              </w:rPr>
            </w:pPr>
          </w:p>
        </w:tc>
        <w:tc>
          <w:tcPr>
            <w:tcW w:w="9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Registered</w:t>
            </w:r>
          </w:p>
        </w:tc>
        <w:tc>
          <w:tcPr>
            <w:tcW w:w="1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80" w:type="dxa"/>
            <w:vAlign w:val="bottom"/>
          </w:tcPr>
          <w:p>
            <w:pPr>
              <w:spacing w:after="0"/>
              <w:rPr>
                <w:sz w:val="15"/>
                <w:szCs w:val="15"/>
                <w:color w:val="auto"/>
              </w:rPr>
            </w:pPr>
          </w:p>
        </w:tc>
        <w:tc>
          <w:tcPr>
            <w:tcW w:w="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98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Registered</w:t>
            </w:r>
          </w:p>
        </w:tc>
        <w:tc>
          <w:tcPr>
            <w:tcW w:w="1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7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0" w:type="dxa"/>
            <w:vAlign w:val="bottom"/>
          </w:tcPr>
          <w:p>
            <w:pPr>
              <w:spacing w:after="0"/>
              <w:rPr>
                <w:sz w:val="1"/>
                <w:szCs w:val="1"/>
                <w:color w:val="auto"/>
              </w:rPr>
            </w:pPr>
          </w:p>
        </w:tc>
      </w:tr>
      <w:tr>
        <w:trPr>
          <w:trHeight w:val="205"/>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Selling Securityholder</w:t>
            </w:r>
            <w:r>
              <w:rPr>
                <w:rFonts w:ascii="Times New Roman" w:cs="Times New Roman" w:eastAsia="Times New Roman" w:hAnsi="Times New Roman"/>
                <w:sz w:val="26"/>
                <w:szCs w:val="26"/>
                <w:b w:val="1"/>
                <w:bCs w:val="1"/>
                <w:color w:val="auto"/>
                <w:vertAlign w:val="superscript"/>
              </w:rPr>
              <w:t>1</w:t>
            </w:r>
          </w:p>
        </w:tc>
        <w:tc>
          <w:tcPr>
            <w:tcW w:w="80" w:type="dxa"/>
            <w:vAlign w:val="bottom"/>
            <w:vMerge w:val="restart"/>
          </w:tcPr>
          <w:p>
            <w:pPr>
              <w:spacing w:after="0"/>
              <w:rPr>
                <w:sz w:val="17"/>
                <w:szCs w:val="17"/>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2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2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80" w:type="dxa"/>
            <w:vAlign w:val="bottom"/>
          </w:tcPr>
          <w:p>
            <w:pPr>
              <w:spacing w:after="0"/>
              <w:rPr>
                <w:sz w:val="17"/>
                <w:szCs w:val="17"/>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200" w:type="dxa"/>
            <w:vAlign w:val="bottom"/>
          </w:tcPr>
          <w:p>
            <w:pPr>
              <w:spacing w:after="0"/>
              <w:rPr>
                <w:sz w:val="17"/>
                <w:szCs w:val="17"/>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Hereby</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Hereby</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John Michelmore</w:t>
            </w:r>
            <w:r>
              <w:rPr>
                <w:rFonts w:ascii="Times New Roman" w:cs="Times New Roman" w:eastAsia="Times New Roman" w:hAnsi="Times New Roman"/>
                <w:sz w:val="25"/>
                <w:szCs w:val="25"/>
                <w:color w:val="auto"/>
                <w:vertAlign w:val="superscript"/>
              </w:rPr>
              <w:t>166</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1,187</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YanQiang Lu</w:t>
            </w:r>
            <w:r>
              <w:rPr>
                <w:rFonts w:ascii="Times New Roman" w:cs="Times New Roman" w:eastAsia="Times New Roman" w:hAnsi="Times New Roman"/>
                <w:sz w:val="25"/>
                <w:szCs w:val="25"/>
                <w:color w:val="auto"/>
                <w:vertAlign w:val="superscript"/>
              </w:rPr>
              <w:t>167</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1,187</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Najeeb Ahmed</w:t>
            </w:r>
            <w:r>
              <w:rPr>
                <w:rFonts w:ascii="Times New Roman" w:cs="Times New Roman" w:eastAsia="Times New Roman" w:hAnsi="Times New Roman"/>
                <w:sz w:val="25"/>
                <w:szCs w:val="25"/>
                <w:color w:val="auto"/>
                <w:vertAlign w:val="superscript"/>
              </w:rPr>
              <w:t>168</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1,187</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Jeffrey Weier</w:t>
            </w:r>
            <w:r>
              <w:rPr>
                <w:rFonts w:ascii="Times New Roman" w:cs="Times New Roman" w:eastAsia="Times New Roman" w:hAnsi="Times New Roman"/>
                <w:sz w:val="25"/>
                <w:szCs w:val="25"/>
                <w:color w:val="auto"/>
                <w:vertAlign w:val="superscript"/>
              </w:rPr>
              <w:t>169</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1,187</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StartUpNV</w:t>
            </w:r>
            <w:r>
              <w:rPr>
                <w:rFonts w:ascii="Times New Roman" w:cs="Times New Roman" w:eastAsia="Times New Roman" w:hAnsi="Times New Roman"/>
                <w:sz w:val="25"/>
                <w:szCs w:val="25"/>
                <w:color w:val="auto"/>
                <w:vertAlign w:val="superscript"/>
              </w:rPr>
              <w:t>170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30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AQR Absolute Return Master Account,</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02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L.P.</w:t>
            </w:r>
            <w:r>
              <w:rPr>
                <w:rFonts w:ascii="Times New Roman" w:cs="Times New Roman" w:eastAsia="Times New Roman" w:hAnsi="Times New Roman"/>
                <w:sz w:val="26"/>
                <w:szCs w:val="26"/>
                <w:color w:val="auto"/>
                <w:vertAlign w:val="superscript"/>
              </w:rPr>
              <w:t>171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302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AQR Diversified Arbitrage Fund, a series of</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02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AQR Funds</w:t>
            </w:r>
            <w:r>
              <w:rPr>
                <w:rFonts w:ascii="Times New Roman" w:cs="Times New Roman" w:eastAsia="Times New Roman" w:hAnsi="Times New Roman"/>
                <w:sz w:val="26"/>
                <w:szCs w:val="26"/>
                <w:color w:val="auto"/>
                <w:vertAlign w:val="superscript"/>
              </w:rPr>
              <w:t>172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30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AQR Global Alternative Investment Offshore</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02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Fund, L.P.</w:t>
            </w:r>
            <w:r>
              <w:rPr>
                <w:rFonts w:ascii="Times New Roman" w:cs="Times New Roman" w:eastAsia="Times New Roman" w:hAnsi="Times New Roman"/>
                <w:sz w:val="26"/>
                <w:szCs w:val="26"/>
                <w:color w:val="auto"/>
                <w:vertAlign w:val="superscript"/>
              </w:rPr>
              <w:t>173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302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AQR TA Global Alpha Fund,</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02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 xml:space="preserve">L.P. </w:t>
            </w:r>
            <w:r>
              <w:rPr>
                <w:rFonts w:ascii="Times New Roman" w:cs="Times New Roman" w:eastAsia="Times New Roman" w:hAnsi="Times New Roman"/>
                <w:sz w:val="26"/>
                <w:szCs w:val="26"/>
                <w:color w:val="auto"/>
                <w:vertAlign w:val="superscript"/>
              </w:rPr>
              <w:t>174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Asif Ramji</w:t>
            </w:r>
            <w:r>
              <w:rPr>
                <w:rFonts w:ascii="Times New Roman" w:cs="Times New Roman" w:eastAsia="Times New Roman" w:hAnsi="Times New Roman"/>
                <w:sz w:val="25"/>
                <w:szCs w:val="25"/>
                <w:color w:val="auto"/>
                <w:vertAlign w:val="superscript"/>
              </w:rPr>
              <w:t>175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49,501</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49,501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ASK, LLC</w:t>
            </w:r>
            <w:r>
              <w:rPr>
                <w:rFonts w:ascii="Times New Roman" w:cs="Times New Roman" w:eastAsia="Times New Roman" w:hAnsi="Times New Roman"/>
                <w:sz w:val="25"/>
                <w:szCs w:val="25"/>
                <w:color w:val="auto"/>
                <w:vertAlign w:val="superscript"/>
              </w:rPr>
              <w:t>176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79,689</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167703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77035" cy="15240"/>
                    </a:xfrm>
                    <a:prstGeom prst="rect">
                      <a:avLst/>
                    </a:prstGeom>
                    <a:noFill/>
                  </pic:spPr>
                </pic:pic>
              </a:graphicData>
            </a:graphic>
          </wp:anchor>
        </w:drawing>
      </w:r>
    </w:p>
    <w:p>
      <w:pPr>
        <w:spacing w:after="0" w:line="51" w:lineRule="exact"/>
        <w:rPr>
          <w:sz w:val="20"/>
          <w:szCs w:val="20"/>
          <w:color w:val="auto"/>
        </w:rPr>
      </w:pPr>
    </w:p>
    <w:p>
      <w:pPr>
        <w:ind w:left="300" w:hanging="294"/>
        <w:spacing w:after="0"/>
        <w:tabs>
          <w:tab w:leader="none" w:pos="300" w:val="left"/>
        </w:tabs>
        <w:numPr>
          <w:ilvl w:val="0"/>
          <w:numId w:val="6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shares directly held by John Michelmore. The address of the principal business office of John Michelmore is 2749 Leolota Way, Carmichael, CA 95608.</w:t>
      </w:r>
    </w:p>
    <w:p>
      <w:pPr>
        <w:spacing w:after="0" w:line="115" w:lineRule="exact"/>
        <w:rPr>
          <w:rFonts w:ascii="Times New Roman" w:cs="Times New Roman" w:eastAsia="Times New Roman" w:hAnsi="Times New Roman"/>
          <w:sz w:val="25"/>
          <w:szCs w:val="25"/>
          <w:color w:val="auto"/>
          <w:vertAlign w:val="superscript"/>
        </w:rPr>
      </w:pPr>
    </w:p>
    <w:p>
      <w:pPr>
        <w:ind w:left="300" w:hanging="294"/>
        <w:spacing w:after="0" w:line="183" w:lineRule="auto"/>
        <w:tabs>
          <w:tab w:leader="none" w:pos="300" w:val="left"/>
        </w:tabs>
        <w:numPr>
          <w:ilvl w:val="0"/>
          <w:numId w:val="6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Represents shares directly held by YanQiang Lu. The address of the principal business office of YanQiang Lu is 11838 Bragno Ct., Las Vegas, NV 89138.</w:t>
      </w:r>
    </w:p>
    <w:p>
      <w:pPr>
        <w:spacing w:after="0" w:line="115" w:lineRule="exact"/>
        <w:rPr>
          <w:rFonts w:ascii="Times New Roman" w:cs="Times New Roman" w:eastAsia="Times New Roman" w:hAnsi="Times New Roman"/>
          <w:sz w:val="21"/>
          <w:szCs w:val="21"/>
          <w:color w:val="auto"/>
          <w:vertAlign w:val="superscript"/>
        </w:rPr>
      </w:pPr>
    </w:p>
    <w:p>
      <w:pPr>
        <w:ind w:left="300" w:hanging="294"/>
        <w:spacing w:after="0" w:line="183" w:lineRule="auto"/>
        <w:tabs>
          <w:tab w:leader="none" w:pos="300" w:val="left"/>
        </w:tabs>
        <w:numPr>
          <w:ilvl w:val="0"/>
          <w:numId w:val="6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Represents shares directly held by Najeeb Ahmed. The address of the principal business office of Najeeb Ahmed is 425 S. Secratariat Dr., Springfield, OH 45503.</w:t>
      </w:r>
    </w:p>
    <w:p>
      <w:pPr>
        <w:spacing w:after="0" w:line="115" w:lineRule="exact"/>
        <w:rPr>
          <w:rFonts w:ascii="Times New Roman" w:cs="Times New Roman" w:eastAsia="Times New Roman" w:hAnsi="Times New Roman"/>
          <w:sz w:val="21"/>
          <w:szCs w:val="21"/>
          <w:color w:val="auto"/>
          <w:vertAlign w:val="superscript"/>
        </w:rPr>
      </w:pPr>
    </w:p>
    <w:p>
      <w:pPr>
        <w:ind w:left="300" w:hanging="294"/>
        <w:spacing w:after="0" w:line="183" w:lineRule="auto"/>
        <w:tabs>
          <w:tab w:leader="none" w:pos="300" w:val="left"/>
        </w:tabs>
        <w:numPr>
          <w:ilvl w:val="0"/>
          <w:numId w:val="6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Represents shares directly held by Jeffrey Weier. The address of the principal business office of Jeffrey Weier is 148 N. Harding Rd., Columbus, OH 43209.</w:t>
      </w:r>
    </w:p>
    <w:p>
      <w:pPr>
        <w:spacing w:after="0" w:line="115" w:lineRule="exact"/>
        <w:rPr>
          <w:rFonts w:ascii="Times New Roman" w:cs="Times New Roman" w:eastAsia="Times New Roman" w:hAnsi="Times New Roman"/>
          <w:sz w:val="21"/>
          <w:szCs w:val="21"/>
          <w:color w:val="auto"/>
          <w:vertAlign w:val="superscript"/>
        </w:rPr>
      </w:pPr>
    </w:p>
    <w:p>
      <w:pPr>
        <w:ind w:left="300" w:hanging="294"/>
        <w:spacing w:after="0" w:line="183" w:lineRule="auto"/>
        <w:tabs>
          <w:tab w:leader="none" w:pos="300" w:val="left"/>
        </w:tabs>
        <w:numPr>
          <w:ilvl w:val="0"/>
          <w:numId w:val="6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Represents shares directly held by StartUpNV. The address of the principal business office of StartUpNV is 450 Sinclair St., Reno, NV 89503.</w:t>
      </w:r>
    </w:p>
    <w:p>
      <w:pPr>
        <w:sectPr>
          <w:pgSz w:w="11900" w:h="16840" w:orient="portrait"/>
          <w:cols w:equalWidth="0" w:num="1">
            <w:col w:w="10580"/>
          </w:cols>
          <w:pgMar w:left="660" w:top="511" w:right="660" w:bottom="80" w:gutter="0" w:footer="0" w:header="0"/>
        </w:sectPr>
      </w:pPr>
    </w:p>
    <w:bookmarkStart w:id="64" w:name="page65"/>
    <w:bookmarkEnd w:id="64"/>
    <w:p>
      <w:pPr>
        <w:jc w:val="both"/>
        <w:ind w:left="300" w:right="80" w:hanging="294"/>
        <w:spacing w:after="0" w:line="197" w:lineRule="auto"/>
        <w:tabs>
          <w:tab w:leader="none" w:pos="300" w:val="left"/>
        </w:tabs>
        <w:numPr>
          <w:ilvl w:val="0"/>
          <w:numId w:val="6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shares directly held by AQR Absolute Return Master Account, L.P. AQR Principal Global Asset Allocation LLC, a Delaware limited liability company, is the general partner of AQR Absolute Return Master Account, L.P. AQR Capital Management, LLC and AQR Arbitrage, LLC, each a Delaware limited liability</w:t>
      </w:r>
    </w:p>
    <w:p>
      <w:pPr>
        <w:spacing w:after="0" w:line="1" w:lineRule="exact"/>
        <w:rPr>
          <w:sz w:val="20"/>
          <w:szCs w:val="20"/>
          <w:color w:val="auto"/>
        </w:rPr>
      </w:pPr>
    </w:p>
    <w:p>
      <w:pPr>
        <w:jc w:val="both"/>
        <w:ind w:left="300" w:right="20"/>
        <w:spacing w:after="0" w:line="280" w:lineRule="auto"/>
        <w:rPr>
          <w:sz w:val="20"/>
          <w:szCs w:val="20"/>
          <w:color w:val="auto"/>
        </w:rPr>
      </w:pPr>
      <w:r>
        <w:rPr>
          <w:rFonts w:ascii="Times New Roman" w:cs="Times New Roman" w:eastAsia="Times New Roman" w:hAnsi="Times New Roman"/>
          <w:sz w:val="14"/>
          <w:szCs w:val="14"/>
          <w:color w:val="auto"/>
        </w:rPr>
        <w:t>company, act as investment adviser to AQR Absolute Return Master Account,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Absolute Return Master Account, L.P. is One Greenwich Plaza, Greenwich, CT 06830.</w:t>
      </w:r>
    </w:p>
    <w:p>
      <w:pPr>
        <w:ind w:left="300" w:hanging="294"/>
        <w:spacing w:after="0" w:line="224" w:lineRule="auto"/>
        <w:tabs>
          <w:tab w:leader="none" w:pos="300" w:val="left"/>
        </w:tabs>
        <w:numPr>
          <w:ilvl w:val="0"/>
          <w:numId w:val="7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shares directly held by AQR Diversified Arbitrage Fund. AQR Capital Management, LLC and AQR Arbitrage, LLC, each a Delaware limited  liability</w:t>
      </w:r>
    </w:p>
    <w:p>
      <w:pPr>
        <w:spacing w:after="0" w:line="1" w:lineRule="exact"/>
        <w:rPr>
          <w:sz w:val="20"/>
          <w:szCs w:val="20"/>
          <w:color w:val="auto"/>
        </w:rPr>
      </w:pPr>
    </w:p>
    <w:p>
      <w:pPr>
        <w:jc w:val="both"/>
        <w:ind w:left="300" w:right="20"/>
        <w:spacing w:after="0" w:line="236" w:lineRule="auto"/>
        <w:rPr>
          <w:sz w:val="20"/>
          <w:szCs w:val="20"/>
          <w:color w:val="auto"/>
        </w:rPr>
      </w:pPr>
      <w:r>
        <w:rPr>
          <w:rFonts w:ascii="Times New Roman" w:cs="Times New Roman" w:eastAsia="Times New Roman" w:hAnsi="Times New Roman"/>
          <w:sz w:val="16"/>
          <w:szCs w:val="16"/>
          <w:color w:val="auto"/>
        </w:rPr>
        <w:t>company, act as investment adviser and sub-adviser, respectively to AQR Diversified Arbitrage Fund.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Diversified Arbitrage Fund is One Greenwich Plaza, Greenwich, CT 06830.</w:t>
      </w:r>
    </w:p>
    <w:p>
      <w:pPr>
        <w:spacing w:after="0" w:line="98" w:lineRule="exact"/>
        <w:rPr>
          <w:sz w:val="20"/>
          <w:szCs w:val="20"/>
          <w:color w:val="auto"/>
        </w:rPr>
      </w:pPr>
    </w:p>
    <w:p>
      <w:pPr>
        <w:jc w:val="both"/>
        <w:ind w:left="300" w:right="80" w:hanging="294"/>
        <w:spacing w:after="0" w:line="197" w:lineRule="auto"/>
        <w:tabs>
          <w:tab w:leader="none" w:pos="300" w:val="left"/>
        </w:tabs>
        <w:numPr>
          <w:ilvl w:val="0"/>
          <w:numId w:val="7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shares directly held by AQR Global Alternative Investment Offshore Fund, L.P. AQR Capital Management GP, Ltd., a Cayman Islands company, is the general partner of AQR Global Alternative Investment Offshore Fund, L.P. AQR Capital Management, LLC and AQR Arbitrage, LLC, each a Delaware limited</w:t>
      </w:r>
    </w:p>
    <w:p>
      <w:pPr>
        <w:spacing w:after="0" w:line="1" w:lineRule="exact"/>
        <w:rPr>
          <w:sz w:val="20"/>
          <w:szCs w:val="20"/>
          <w:color w:val="auto"/>
        </w:rPr>
      </w:pPr>
    </w:p>
    <w:p>
      <w:pPr>
        <w:jc w:val="both"/>
        <w:ind w:left="300" w:right="20"/>
        <w:spacing w:after="0" w:line="236" w:lineRule="auto"/>
        <w:rPr>
          <w:sz w:val="20"/>
          <w:szCs w:val="20"/>
          <w:color w:val="auto"/>
        </w:rPr>
      </w:pPr>
      <w:r>
        <w:rPr>
          <w:rFonts w:ascii="Times New Roman" w:cs="Times New Roman" w:eastAsia="Times New Roman" w:hAnsi="Times New Roman"/>
          <w:sz w:val="16"/>
          <w:szCs w:val="16"/>
          <w:color w:val="auto"/>
        </w:rPr>
        <w:t>liability company, act as investment adviser to AQR Global Alternative Investment Offshore Fund,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Global Alternative Investment Offshore Fund, L.P. is One Greenwich Plaza, Greenwich, CT 06830.</w:t>
      </w:r>
    </w:p>
    <w:p>
      <w:pPr>
        <w:spacing w:after="0" w:line="98" w:lineRule="exact"/>
        <w:rPr>
          <w:sz w:val="20"/>
          <w:szCs w:val="20"/>
          <w:color w:val="auto"/>
        </w:rPr>
      </w:pPr>
    </w:p>
    <w:p>
      <w:pPr>
        <w:ind w:left="300" w:hanging="294"/>
        <w:spacing w:after="0" w:line="217" w:lineRule="auto"/>
        <w:tabs>
          <w:tab w:leader="none" w:pos="300" w:val="left"/>
        </w:tabs>
        <w:numPr>
          <w:ilvl w:val="0"/>
          <w:numId w:val="7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AQR TA Global Alpha Fund, L.P. AQR Tax Advantaged GP II, LLC, a Delaware limited liability company, is the general partner of AQR TA Global Alpha Fund, L.P. AQR Capital Management, LLC and AQR Arbitrage, LLC, each a Delaware limited liability company, act as investment adviser to AQR TA Global Alpha Fund,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TA Global Alpha Fund, L.P. is One Greenwich Plaza, Greenwich, CT 06830.</w:t>
      </w:r>
    </w:p>
    <w:p>
      <w:pPr>
        <w:spacing w:after="0" w:line="2"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7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Asif Ramji. The address of the principal business office of Asif Ramji is 337 King Road NW, Atlanta, GA 30342.</w:t>
      </w:r>
    </w:p>
    <w:p>
      <w:pPr>
        <w:spacing w:after="0" w:line="115" w:lineRule="exact"/>
        <w:rPr>
          <w:rFonts w:ascii="Times New Roman" w:cs="Times New Roman" w:eastAsia="Times New Roman" w:hAnsi="Times New Roman"/>
          <w:sz w:val="26"/>
          <w:szCs w:val="26"/>
          <w:color w:val="auto"/>
          <w:vertAlign w:val="superscript"/>
        </w:rPr>
      </w:pPr>
    </w:p>
    <w:p>
      <w:pPr>
        <w:ind w:left="300" w:right="20" w:hanging="294"/>
        <w:spacing w:after="0" w:line="190" w:lineRule="auto"/>
        <w:tabs>
          <w:tab w:leader="none" w:pos="300" w:val="left"/>
        </w:tabs>
        <w:numPr>
          <w:ilvl w:val="0"/>
          <w:numId w:val="7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shares directly held by ASK, LLC. Janice Howroyd is the sole member of ASK, LLC and has voting and investment control of the shares held by ASK, LLC. Mr. Howroyd is a director of the Company. The address of the principal business office of ASK, LLC is 327 W. Broadway Ave, Glendale, CA 91204.</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60" w:type="dxa"/>
            <w:vAlign w:val="bottom"/>
            <w:gridSpan w:val="5"/>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99"/>
              </w:rPr>
              <w:t>Shares of Common Stock</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60" w:type="dxa"/>
            <w:vAlign w:val="bottom"/>
            <w:gridSpan w:val="9"/>
          </w:tcPr>
          <w:p>
            <w:pPr>
              <w:ind w:left="520"/>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top w:val="single" w:sz="8" w:color="auto"/>
            </w:tcBorders>
            <w:gridSpan w:val="2"/>
          </w:tcPr>
          <w:p>
            <w:pPr>
              <w:jc w:val="center"/>
              <w:ind w:right="40"/>
              <w:spacing w:after="0" w:line="165"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20" w:type="dxa"/>
            <w:vAlign w:val="bottom"/>
          </w:tcPr>
          <w:p>
            <w:pPr>
              <w:spacing w:after="0"/>
              <w:rPr>
                <w:sz w:val="15"/>
                <w:szCs w:val="15"/>
                <w:color w:val="auto"/>
              </w:rPr>
            </w:pPr>
          </w:p>
        </w:tc>
        <w:tc>
          <w:tcPr>
            <w:tcW w:w="98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8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Beneficially</w:t>
            </w:r>
          </w:p>
        </w:tc>
        <w:tc>
          <w:tcPr>
            <w:tcW w:w="180" w:type="dxa"/>
            <w:vAlign w:val="bottom"/>
          </w:tcPr>
          <w:p>
            <w:pPr>
              <w:spacing w:after="0"/>
              <w:rPr>
                <w:sz w:val="15"/>
                <w:szCs w:val="15"/>
                <w:color w:val="auto"/>
              </w:rPr>
            </w:pPr>
          </w:p>
        </w:tc>
        <w:tc>
          <w:tcPr>
            <w:tcW w:w="6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160" w:type="dxa"/>
            <w:vAlign w:val="bottom"/>
          </w:tcPr>
          <w:p>
            <w:pPr>
              <w:spacing w:after="0"/>
              <w:rPr>
                <w:sz w:val="15"/>
                <w:szCs w:val="15"/>
                <w:color w:val="auto"/>
              </w:rPr>
            </w:pPr>
          </w:p>
        </w:tc>
        <w:tc>
          <w:tcPr>
            <w:tcW w:w="102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84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8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Beneficially</w:t>
            </w:r>
          </w:p>
        </w:tc>
        <w:tc>
          <w:tcPr>
            <w:tcW w:w="200" w:type="dxa"/>
            <w:vAlign w:val="bottom"/>
          </w:tcPr>
          <w:p>
            <w:pPr>
              <w:spacing w:after="0"/>
              <w:rPr>
                <w:sz w:val="15"/>
                <w:szCs w:val="15"/>
                <w:color w:val="auto"/>
              </w:rPr>
            </w:pPr>
          </w:p>
        </w:tc>
        <w:tc>
          <w:tcPr>
            <w:tcW w:w="7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5"/>
              </w:rPr>
              <w:t>Percent</w:t>
            </w: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20" w:type="dxa"/>
            <w:vAlign w:val="bottom"/>
          </w:tcPr>
          <w:p>
            <w:pPr>
              <w:spacing w:after="0"/>
              <w:rPr>
                <w:sz w:val="15"/>
                <w:szCs w:val="15"/>
                <w:color w:val="auto"/>
              </w:rPr>
            </w:pPr>
          </w:p>
        </w:tc>
        <w:tc>
          <w:tcPr>
            <w:tcW w:w="98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Registered</w:t>
            </w:r>
          </w:p>
        </w:tc>
        <w:tc>
          <w:tcPr>
            <w:tcW w:w="8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80" w:type="dxa"/>
            <w:vAlign w:val="bottom"/>
          </w:tcPr>
          <w:p>
            <w:pPr>
              <w:spacing w:after="0"/>
              <w:rPr>
                <w:sz w:val="15"/>
                <w:szCs w:val="15"/>
                <w:color w:val="auto"/>
              </w:rPr>
            </w:pPr>
          </w:p>
        </w:tc>
        <w:tc>
          <w:tcPr>
            <w:tcW w:w="6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60" w:type="dxa"/>
            <w:vAlign w:val="bottom"/>
          </w:tcPr>
          <w:p>
            <w:pPr>
              <w:spacing w:after="0"/>
              <w:rPr>
                <w:sz w:val="15"/>
                <w:szCs w:val="15"/>
                <w:color w:val="auto"/>
              </w:rPr>
            </w:pPr>
          </w:p>
        </w:tc>
        <w:tc>
          <w:tcPr>
            <w:tcW w:w="102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84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6"/>
              </w:rPr>
              <w:t>Registered</w:t>
            </w:r>
          </w:p>
        </w:tc>
        <w:tc>
          <w:tcPr>
            <w:tcW w:w="1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7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0" w:type="dxa"/>
            <w:vAlign w:val="bottom"/>
          </w:tcPr>
          <w:p>
            <w:pPr>
              <w:spacing w:after="0"/>
              <w:rPr>
                <w:sz w:val="1"/>
                <w:szCs w:val="1"/>
                <w:color w:val="auto"/>
              </w:rPr>
            </w:pPr>
          </w:p>
        </w:tc>
      </w:tr>
      <w:tr>
        <w:trPr>
          <w:trHeight w:val="205"/>
        </w:trPr>
        <w:tc>
          <w:tcPr>
            <w:tcW w:w="2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Selling Securityholder</w:t>
            </w:r>
            <w:r>
              <w:rPr>
                <w:rFonts w:ascii="Times New Roman" w:cs="Times New Roman" w:eastAsia="Times New Roman" w:hAnsi="Times New Roman"/>
                <w:sz w:val="26"/>
                <w:szCs w:val="26"/>
                <w:b w:val="1"/>
                <w:bCs w:val="1"/>
                <w:color w:val="auto"/>
                <w:vertAlign w:val="superscript"/>
              </w:rPr>
              <w:t>1</w:t>
            </w:r>
          </w:p>
        </w:tc>
        <w:tc>
          <w:tcPr>
            <w:tcW w:w="80" w:type="dxa"/>
            <w:vAlign w:val="bottom"/>
            <w:vMerge w:val="restart"/>
          </w:tcPr>
          <w:p>
            <w:pPr>
              <w:spacing w:after="0"/>
              <w:rPr>
                <w:sz w:val="17"/>
                <w:szCs w:val="17"/>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Prior to</w:t>
            </w:r>
          </w:p>
        </w:tc>
        <w:tc>
          <w:tcPr>
            <w:tcW w:w="12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for Sale</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6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200" w:type="dxa"/>
            <w:vAlign w:val="bottom"/>
          </w:tcPr>
          <w:p>
            <w:pPr>
              <w:spacing w:after="0"/>
              <w:rPr>
                <w:sz w:val="17"/>
                <w:szCs w:val="17"/>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Hereby</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Hereby</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Atlas Merchant Capital SPAC Fund I LP</w:t>
            </w:r>
            <w:r>
              <w:rPr>
                <w:rFonts w:ascii="Times New Roman" w:cs="Times New Roman" w:eastAsia="Times New Roman" w:hAnsi="Times New Roman"/>
                <w:sz w:val="25"/>
                <w:szCs w:val="25"/>
                <w:color w:val="auto"/>
                <w:vertAlign w:val="superscript"/>
              </w:rPr>
              <w:t>177</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140,000</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140,000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Betsy Cohen</w:t>
            </w:r>
            <w:r>
              <w:rPr>
                <w:rFonts w:ascii="Times New Roman" w:cs="Times New Roman" w:eastAsia="Times New Roman" w:hAnsi="Times New Roman"/>
                <w:sz w:val="25"/>
                <w:szCs w:val="25"/>
                <w:color w:val="auto"/>
                <w:vertAlign w:val="superscript"/>
              </w:rPr>
              <w:t>178</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46,116</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46,116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5,000</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Boston Patriot Merrimack St, LLC</w:t>
            </w:r>
            <w:r>
              <w:rPr>
                <w:rFonts w:ascii="Times New Roman" w:cs="Times New Roman" w:eastAsia="Times New Roman" w:hAnsi="Times New Roman"/>
                <w:sz w:val="25"/>
                <w:szCs w:val="25"/>
                <w:color w:val="auto"/>
                <w:vertAlign w:val="superscript"/>
              </w:rPr>
              <w:t>179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69,959</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Breoga Trust</w:t>
            </w:r>
            <w:r>
              <w:rPr>
                <w:rFonts w:ascii="Times New Roman" w:cs="Times New Roman" w:eastAsia="Times New Roman" w:hAnsi="Times New Roman"/>
                <w:sz w:val="25"/>
                <w:szCs w:val="25"/>
                <w:color w:val="auto"/>
                <w:vertAlign w:val="superscript"/>
              </w:rPr>
              <w:t>180</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103,126</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103,126</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Cameron Balash</w:t>
            </w:r>
            <w:r>
              <w:rPr>
                <w:rFonts w:ascii="Times New Roman" w:cs="Times New Roman" w:eastAsia="Times New Roman" w:hAnsi="Times New Roman"/>
                <w:sz w:val="25"/>
                <w:szCs w:val="25"/>
                <w:color w:val="auto"/>
                <w:vertAlign w:val="superscript"/>
              </w:rPr>
              <w:t>181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12,419</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Cohen Sponsor LLC - V29 RS</w:t>
            </w:r>
            <w:r>
              <w:rPr>
                <w:rFonts w:ascii="Times New Roman" w:cs="Times New Roman" w:eastAsia="Times New Roman" w:hAnsi="Times New Roman"/>
                <w:sz w:val="25"/>
                <w:szCs w:val="25"/>
                <w:color w:val="auto"/>
                <w:vertAlign w:val="superscript"/>
              </w:rPr>
              <w:t>182</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299,225</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299,225</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300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Crestline Summit Master, SPC - Crestline</w:t>
            </w: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00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Summit APEX SP</w:t>
            </w:r>
            <w:r>
              <w:rPr>
                <w:rFonts w:ascii="Times New Roman" w:cs="Times New Roman" w:eastAsia="Times New Roman" w:hAnsi="Times New Roman"/>
                <w:sz w:val="26"/>
                <w:szCs w:val="26"/>
                <w:color w:val="auto"/>
                <w:vertAlign w:val="superscript"/>
              </w:rPr>
              <w:t>183</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6,497</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6,497</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Crestline Summit Master, SPC- Peak SP</w:t>
            </w:r>
            <w:r>
              <w:rPr>
                <w:rFonts w:ascii="Times New Roman" w:cs="Times New Roman" w:eastAsia="Times New Roman" w:hAnsi="Times New Roman"/>
                <w:sz w:val="25"/>
                <w:szCs w:val="25"/>
                <w:color w:val="auto"/>
                <w:vertAlign w:val="superscript"/>
              </w:rPr>
              <w:t>184</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15,378</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15,378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Cyber Secure at Sea, LLC</w:t>
            </w:r>
            <w:r>
              <w:rPr>
                <w:rFonts w:ascii="Times New Roman" w:cs="Times New Roman" w:eastAsia="Times New Roman" w:hAnsi="Times New Roman"/>
                <w:sz w:val="25"/>
                <w:szCs w:val="25"/>
                <w:color w:val="auto"/>
                <w:vertAlign w:val="superscript"/>
              </w:rPr>
              <w:t>185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18,562</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48"/>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Cynosure Holdings, LLC</w:t>
            </w:r>
            <w:r>
              <w:rPr>
                <w:rFonts w:ascii="Times New Roman" w:cs="Times New Roman" w:eastAsia="Times New Roman" w:hAnsi="Times New Roman"/>
                <w:sz w:val="26"/>
                <w:szCs w:val="26"/>
                <w:color w:val="auto"/>
                <w:vertAlign w:val="superscript"/>
              </w:rPr>
              <w:t>186</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41,250</w:t>
            </w:r>
          </w:p>
        </w:tc>
        <w:tc>
          <w:tcPr>
            <w:tcW w:w="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41,250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60960</wp:posOffset>
            </wp:positionV>
            <wp:extent cx="167703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77035" cy="15240"/>
                    </a:xfrm>
                    <a:prstGeom prst="rect">
                      <a:avLst/>
                    </a:prstGeom>
                    <a:noFill/>
                  </pic:spPr>
                </pic:pic>
              </a:graphicData>
            </a:graphic>
          </wp:anchor>
        </w:drawing>
      </w:r>
    </w:p>
    <w:p>
      <w:pPr>
        <w:spacing w:after="0" w:line="111" w:lineRule="exact"/>
        <w:rPr>
          <w:sz w:val="20"/>
          <w:szCs w:val="20"/>
          <w:color w:val="auto"/>
        </w:rPr>
      </w:pPr>
    </w:p>
    <w:p>
      <w:pPr>
        <w:ind w:left="300" w:right="20" w:hanging="294"/>
        <w:spacing w:after="0" w:line="227" w:lineRule="auto"/>
        <w:tabs>
          <w:tab w:leader="none" w:pos="300" w:val="left"/>
        </w:tabs>
        <w:numPr>
          <w:ilvl w:val="0"/>
          <w:numId w:val="7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Atlas Merchant Capital SPAC Fund I LP (the “Fund”) The shares are held directly by Atlas Merchant Capital SPAC Fund I LP (the “Fund”). Atlas Merchant Capital LLC (the “Advisor”) is a registered investment advisor and the investment manager of the Fund. Atlas Merchant Capital LP (AMC Capital”) is the managing member of the Advisor. Atlas Merchant Capital GP LLC (“AMC-GP”) is the general partner of AMC Capital. AMC SPAC Fund LP GP (the “General Partner”) is the general partner of the Fund and AMC SPAC Fund MGP LLC (“AMC SPAC MGP”) is the general partner of the General Partner. Robert E. Diamond and David I. Schamis are the sole members of AMC SPAC MGP. Each of the Advisor, AMC Capital, AMC-CP, the General Partner, AMC SPAC MGP and Messrs. Diamond and Schamis may be deemed to indirectly beneficially own the shares directly held by the Fund, but each of such persons disclaims such beneficial ownership except to the extent of its pecuniary interest in the shares held by the Fund. The address of the principal business office of the Fund is 477 Madison Ave.,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6"/>
          <w:szCs w:val="16"/>
          <w:color w:val="auto"/>
        </w:rPr>
        <w:t xml:space="preserve"> Floor, New York, NY 10022.</w:t>
      </w:r>
    </w:p>
    <w:p>
      <w:pPr>
        <w:ind w:left="300" w:hanging="294"/>
        <w:spacing w:after="0" w:line="200" w:lineRule="auto"/>
        <w:tabs>
          <w:tab w:leader="none" w:pos="300" w:val="left"/>
        </w:tabs>
        <w:numPr>
          <w:ilvl w:val="0"/>
          <w:numId w:val="7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Betsy Cohen. The address of the principal business office of Betsy Cohen is 1240 N. Casey Key Rd, Osprey, FL 34229.</w:t>
      </w:r>
    </w:p>
    <w:p>
      <w:pPr>
        <w:spacing w:after="0" w:line="157" w:lineRule="exact"/>
        <w:rPr>
          <w:rFonts w:ascii="Times New Roman" w:cs="Times New Roman" w:eastAsia="Times New Roman" w:hAnsi="Times New Roman"/>
          <w:sz w:val="26"/>
          <w:szCs w:val="26"/>
          <w:color w:val="auto"/>
          <w:vertAlign w:val="superscript"/>
        </w:rPr>
      </w:pPr>
    </w:p>
    <w:p>
      <w:pPr>
        <w:jc w:val="both"/>
        <w:ind w:left="300" w:hanging="294"/>
        <w:spacing w:after="0" w:line="221" w:lineRule="auto"/>
        <w:tabs>
          <w:tab w:leader="none" w:pos="300" w:val="left"/>
        </w:tabs>
        <w:numPr>
          <w:ilvl w:val="0"/>
          <w:numId w:val="7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Boston Patriot Merrimack St, LLC. Fir Tree Capital Management, LP is the investment manager of Boston Patriot Merrimack St, LLC. Clinton Biando and David Sultan are the Managing Partners of Fir Tree Capital Management, LP and have voting and investment control of the shares held by Fir Tree Capital Management, LP but disclaim beneficial ownership of the shares. The address of the principal business office of Boston Patriot Merrimack St, LLC is c/o Fir Tree Capital Management, LP, 500 Fifth Avenue,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 New York, NY 10110.</w:t>
      </w:r>
    </w:p>
    <w:p>
      <w:pPr>
        <w:spacing w:after="0" w:line="46" w:lineRule="exact"/>
        <w:rPr>
          <w:rFonts w:ascii="Times New Roman" w:cs="Times New Roman" w:eastAsia="Times New Roman" w:hAnsi="Times New Roman"/>
          <w:sz w:val="26"/>
          <w:szCs w:val="26"/>
          <w:color w:val="auto"/>
          <w:vertAlign w:val="superscript"/>
        </w:rPr>
      </w:pPr>
    </w:p>
    <w:p>
      <w:pPr>
        <w:ind w:left="300" w:right="20" w:hanging="294"/>
        <w:spacing w:after="0" w:line="190" w:lineRule="auto"/>
        <w:tabs>
          <w:tab w:leader="none" w:pos="300" w:val="left"/>
        </w:tabs>
        <w:numPr>
          <w:ilvl w:val="0"/>
          <w:numId w:val="7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Breoga Trust. Tom Killalea is the Trustee of Breoga Trust and has voting and investment control of the shares held by Breoga Trust. The address of the principal business office of Breoga Trust is 7740 Fairway Dr. NE, Seattle, WA 98115.</w:t>
      </w:r>
    </w:p>
    <w:p>
      <w:pPr>
        <w:spacing w:after="0" w:line="157" w:lineRule="exact"/>
        <w:rPr>
          <w:rFonts w:ascii="Times New Roman" w:cs="Times New Roman" w:eastAsia="Times New Roman" w:hAnsi="Times New Roman"/>
          <w:sz w:val="26"/>
          <w:szCs w:val="26"/>
          <w:color w:val="auto"/>
          <w:vertAlign w:val="superscript"/>
        </w:rPr>
      </w:pPr>
    </w:p>
    <w:p>
      <w:pPr>
        <w:ind w:left="300" w:right="20" w:hanging="294"/>
        <w:spacing w:after="0" w:line="190" w:lineRule="auto"/>
        <w:tabs>
          <w:tab w:leader="none" w:pos="300" w:val="left"/>
        </w:tabs>
        <w:numPr>
          <w:ilvl w:val="0"/>
          <w:numId w:val="7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Cameron Balash. The address of the principal business office of Cameron Balash is 218 Le Starboard Dr., Pensacola Beach, FL 32561.</w:t>
      </w:r>
    </w:p>
    <w:p>
      <w:pPr>
        <w:spacing w:after="0" w:line="157" w:lineRule="exact"/>
        <w:rPr>
          <w:rFonts w:ascii="Times New Roman" w:cs="Times New Roman" w:eastAsia="Times New Roman" w:hAnsi="Times New Roman"/>
          <w:sz w:val="26"/>
          <w:szCs w:val="26"/>
          <w:color w:val="auto"/>
          <w:vertAlign w:val="superscript"/>
        </w:rPr>
      </w:pPr>
    </w:p>
    <w:p>
      <w:pPr>
        <w:jc w:val="both"/>
        <w:ind w:left="300" w:hanging="294"/>
        <w:spacing w:after="0" w:line="202" w:lineRule="auto"/>
        <w:tabs>
          <w:tab w:leader="none" w:pos="300" w:val="left"/>
        </w:tabs>
        <w:numPr>
          <w:ilvl w:val="0"/>
          <w:numId w:val="7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Cohen Sponsor LLC - V29 RS. Cohen &amp; Company is the sole member of Cohen Sponsor LLC - V29 RS and Lester Brafman is the managing member of Cohen &amp; Company, LLC. The address of the principal business office of Cohen Sponsor LLC - V29 RS is 2929 Arch Street, Suite 1703, Philadelphia, PA 19104.</w:t>
      </w:r>
    </w:p>
    <w:p>
      <w:pPr>
        <w:sectPr>
          <w:pgSz w:w="11900" w:h="16840" w:orient="portrait"/>
          <w:cols w:equalWidth="0" w:num="1">
            <w:col w:w="10580"/>
          </w:cols>
          <w:pgMar w:left="660" w:top="677" w:right="660" w:bottom="441" w:gutter="0" w:footer="0" w:header="0"/>
        </w:sectPr>
      </w:pPr>
    </w:p>
    <w:bookmarkStart w:id="65" w:name="page66"/>
    <w:bookmarkEnd w:id="65"/>
    <w:p>
      <w:pPr>
        <w:ind w:left="300" w:right="20" w:hanging="294"/>
        <w:spacing w:after="0" w:line="190" w:lineRule="auto"/>
        <w:tabs>
          <w:tab w:leader="none" w:pos="300" w:val="left"/>
        </w:tabs>
        <w:numPr>
          <w:ilvl w:val="0"/>
          <w:numId w:val="7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Crestline Summit Master, SPC - Crestline Summit APEX SP. The address of the principal business office of Crestline Summit Master, SPC - Crestline Summit APEX SP is 201 Main Street, Suite 2600, Fort Worth, TX 76102.</w:t>
      </w:r>
    </w:p>
    <w:p>
      <w:pPr>
        <w:spacing w:after="0" w:line="241" w:lineRule="exact"/>
        <w:rPr>
          <w:rFonts w:ascii="Times New Roman" w:cs="Times New Roman" w:eastAsia="Times New Roman" w:hAnsi="Times New Roman"/>
          <w:sz w:val="26"/>
          <w:szCs w:val="26"/>
          <w:color w:val="auto"/>
          <w:vertAlign w:val="superscript"/>
        </w:rPr>
      </w:pPr>
    </w:p>
    <w:p>
      <w:pPr>
        <w:ind w:left="300" w:right="20" w:hanging="294"/>
        <w:spacing w:after="0" w:line="190" w:lineRule="auto"/>
        <w:tabs>
          <w:tab w:leader="none" w:pos="300" w:val="left"/>
        </w:tabs>
        <w:numPr>
          <w:ilvl w:val="0"/>
          <w:numId w:val="7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Crestline Summit Master, SPC- Peak SP. The address of the principal business office of Crestline Summit Master, SPC- Peak SP is 201 Main Street, Suite 2600, Fort Worth, TX 76102.</w:t>
      </w:r>
    </w:p>
    <w:p>
      <w:pPr>
        <w:spacing w:after="0" w:line="157" w:lineRule="exact"/>
        <w:rPr>
          <w:rFonts w:ascii="Times New Roman" w:cs="Times New Roman" w:eastAsia="Times New Roman" w:hAnsi="Times New Roman"/>
          <w:sz w:val="26"/>
          <w:szCs w:val="26"/>
          <w:color w:val="auto"/>
          <w:vertAlign w:val="superscript"/>
        </w:rPr>
      </w:pPr>
    </w:p>
    <w:p>
      <w:pPr>
        <w:jc w:val="both"/>
        <w:ind w:left="300" w:right="20" w:hanging="294"/>
        <w:spacing w:after="0" w:line="202" w:lineRule="auto"/>
        <w:tabs>
          <w:tab w:leader="none" w:pos="300" w:val="left"/>
        </w:tabs>
        <w:numPr>
          <w:ilvl w:val="0"/>
          <w:numId w:val="7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Cyber Secure at Sea, LLC. Danelle Barrett is the sole member of ASK, LLC and has voting and investment control of the shares held by Cyber Secure at Sea, LLC. The address of the principal business office of Cyber Secure at Sea, LLC is 7500 Old Georgetown Road, Suite 901, Bethesda, MD 20814.</w:t>
      </w:r>
    </w:p>
    <w:p>
      <w:pPr>
        <w:spacing w:after="0" w:line="158" w:lineRule="exact"/>
        <w:rPr>
          <w:rFonts w:ascii="Times New Roman" w:cs="Times New Roman" w:eastAsia="Times New Roman" w:hAnsi="Times New Roman"/>
          <w:sz w:val="26"/>
          <w:szCs w:val="26"/>
          <w:color w:val="auto"/>
          <w:vertAlign w:val="superscript"/>
        </w:rPr>
      </w:pPr>
    </w:p>
    <w:p>
      <w:pPr>
        <w:jc w:val="both"/>
        <w:ind w:left="300" w:right="20" w:hanging="294"/>
        <w:spacing w:after="0" w:line="202" w:lineRule="auto"/>
        <w:tabs>
          <w:tab w:leader="none" w:pos="300" w:val="left"/>
        </w:tabs>
        <w:numPr>
          <w:ilvl w:val="0"/>
          <w:numId w:val="7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Cynosure Holdings, LLC. Sandra Campos is the sole member of Cynosure Holdings, LLC and has voting and investment control of the shares held by Cynosure Holdings, LLC. The address of the principal business office of Cynosure Holdings, LLC is 1040 County Route 13, Old Chatham, NY 12136.</w:t>
      </w: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gridSpan w:val="5"/>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gridSpan w:val="9"/>
          </w:tcPr>
          <w:p>
            <w:pPr>
              <w:ind w:left="460"/>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top w:val="single" w:sz="8" w:color="auto"/>
            </w:tcBorders>
            <w:gridSpan w:val="2"/>
          </w:tcPr>
          <w:p>
            <w:pPr>
              <w:jc w:val="center"/>
              <w:ind w:right="60"/>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4"/>
              </w:rPr>
              <w:t>Beneficially</w:t>
            </w:r>
          </w:p>
        </w:tc>
        <w:tc>
          <w:tcPr>
            <w:tcW w:w="120" w:type="dxa"/>
            <w:vAlign w:val="bottom"/>
          </w:tcPr>
          <w:p>
            <w:pPr>
              <w:spacing w:after="0"/>
              <w:rPr>
                <w:sz w:val="15"/>
                <w:szCs w:val="15"/>
                <w:color w:val="auto"/>
              </w:rPr>
            </w:pPr>
          </w:p>
        </w:tc>
        <w:tc>
          <w:tcPr>
            <w:tcW w:w="9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8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Beneficially</w:t>
            </w:r>
          </w:p>
        </w:tc>
        <w:tc>
          <w:tcPr>
            <w:tcW w:w="180" w:type="dxa"/>
            <w:vAlign w:val="bottom"/>
          </w:tcPr>
          <w:p>
            <w:pPr>
              <w:spacing w:after="0"/>
              <w:rPr>
                <w:sz w:val="15"/>
                <w:szCs w:val="15"/>
                <w:color w:val="auto"/>
              </w:rPr>
            </w:pPr>
          </w:p>
        </w:tc>
        <w:tc>
          <w:tcPr>
            <w:tcW w:w="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2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4"/>
              </w:rPr>
              <w:t>Beneficially</w:t>
            </w:r>
          </w:p>
        </w:tc>
        <w:tc>
          <w:tcPr>
            <w:tcW w:w="180" w:type="dxa"/>
            <w:vAlign w:val="bottom"/>
          </w:tcPr>
          <w:p>
            <w:pPr>
              <w:spacing w:after="0"/>
              <w:rPr>
                <w:sz w:val="15"/>
                <w:szCs w:val="15"/>
                <w:color w:val="auto"/>
              </w:rPr>
            </w:pPr>
          </w:p>
        </w:tc>
        <w:tc>
          <w:tcPr>
            <w:tcW w:w="80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8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Beneficially</w:t>
            </w:r>
          </w:p>
        </w:tc>
        <w:tc>
          <w:tcPr>
            <w:tcW w:w="200" w:type="dxa"/>
            <w:vAlign w:val="bottom"/>
          </w:tcPr>
          <w:p>
            <w:pPr>
              <w:spacing w:after="0"/>
              <w:rPr>
                <w:sz w:val="15"/>
                <w:szCs w:val="15"/>
                <w:color w:val="auto"/>
              </w:rPr>
            </w:pPr>
          </w:p>
        </w:tc>
        <w:tc>
          <w:tcPr>
            <w:tcW w:w="7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5"/>
              </w:rPr>
              <w:t>Percent</w:t>
            </w: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20" w:type="dxa"/>
            <w:vAlign w:val="bottom"/>
          </w:tcPr>
          <w:p>
            <w:pPr>
              <w:spacing w:after="0"/>
              <w:rPr>
                <w:sz w:val="15"/>
                <w:szCs w:val="15"/>
                <w:color w:val="auto"/>
              </w:rPr>
            </w:pPr>
          </w:p>
        </w:tc>
        <w:tc>
          <w:tcPr>
            <w:tcW w:w="9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Registered</w:t>
            </w:r>
          </w:p>
        </w:tc>
        <w:tc>
          <w:tcPr>
            <w:tcW w:w="1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80" w:type="dxa"/>
            <w:vAlign w:val="bottom"/>
          </w:tcPr>
          <w:p>
            <w:pPr>
              <w:spacing w:after="0"/>
              <w:rPr>
                <w:sz w:val="15"/>
                <w:szCs w:val="15"/>
                <w:color w:val="auto"/>
              </w:rPr>
            </w:pPr>
          </w:p>
        </w:tc>
        <w:tc>
          <w:tcPr>
            <w:tcW w:w="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98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Registered</w:t>
            </w:r>
          </w:p>
        </w:tc>
        <w:tc>
          <w:tcPr>
            <w:tcW w:w="1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7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0" w:type="dxa"/>
            <w:vAlign w:val="bottom"/>
          </w:tcPr>
          <w:p>
            <w:pPr>
              <w:spacing w:after="0"/>
              <w:rPr>
                <w:sz w:val="1"/>
                <w:szCs w:val="1"/>
                <w:color w:val="auto"/>
              </w:rPr>
            </w:pPr>
          </w:p>
        </w:tc>
      </w:tr>
      <w:tr>
        <w:trPr>
          <w:trHeight w:val="205"/>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Selling Securityholder</w:t>
            </w:r>
            <w:r>
              <w:rPr>
                <w:rFonts w:ascii="Times New Roman" w:cs="Times New Roman" w:eastAsia="Times New Roman" w:hAnsi="Times New Roman"/>
                <w:sz w:val="26"/>
                <w:szCs w:val="26"/>
                <w:b w:val="1"/>
                <w:bCs w:val="1"/>
                <w:color w:val="auto"/>
                <w:vertAlign w:val="superscript"/>
              </w:rPr>
              <w:t>1</w:t>
            </w:r>
          </w:p>
        </w:tc>
        <w:tc>
          <w:tcPr>
            <w:tcW w:w="80" w:type="dxa"/>
            <w:vAlign w:val="bottom"/>
            <w:vMerge w:val="restart"/>
          </w:tcPr>
          <w:p>
            <w:pPr>
              <w:spacing w:after="0"/>
              <w:rPr>
                <w:sz w:val="17"/>
                <w:szCs w:val="17"/>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2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2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80" w:type="dxa"/>
            <w:vAlign w:val="bottom"/>
          </w:tcPr>
          <w:p>
            <w:pPr>
              <w:spacing w:after="0"/>
              <w:rPr>
                <w:sz w:val="17"/>
                <w:szCs w:val="17"/>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200" w:type="dxa"/>
            <w:vAlign w:val="bottom"/>
          </w:tcPr>
          <w:p>
            <w:pPr>
              <w:spacing w:after="0"/>
              <w:rPr>
                <w:sz w:val="17"/>
                <w:szCs w:val="17"/>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Hereby</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Hereby</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Dr. Barbara Hutchinson</w:t>
            </w:r>
            <w:r>
              <w:rPr>
                <w:rFonts w:ascii="Times New Roman" w:cs="Times New Roman" w:eastAsia="Times New Roman" w:hAnsi="Times New Roman"/>
                <w:sz w:val="25"/>
                <w:szCs w:val="25"/>
                <w:color w:val="auto"/>
                <w:vertAlign w:val="superscript"/>
              </w:rPr>
              <w:t>187</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4,966</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4,966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Eric Oruoele</w:t>
            </w:r>
            <w:r>
              <w:rPr>
                <w:rFonts w:ascii="Times New Roman" w:cs="Times New Roman" w:eastAsia="Times New Roman" w:hAnsi="Times New Roman"/>
                <w:sz w:val="25"/>
                <w:szCs w:val="25"/>
                <w:color w:val="auto"/>
                <w:vertAlign w:val="superscript"/>
              </w:rPr>
              <w:t>188</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1,031</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EVN 2021 Trust, Ezekiel V. Newhouse</w:t>
            </w:r>
            <w:r>
              <w:rPr>
                <w:rFonts w:ascii="Times New Roman" w:cs="Times New Roman" w:eastAsia="Times New Roman" w:hAnsi="Times New Roman"/>
                <w:sz w:val="25"/>
                <w:szCs w:val="25"/>
                <w:color w:val="auto"/>
                <w:vertAlign w:val="superscript"/>
              </w:rPr>
              <w:t>189</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375,000</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375,000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EXOS Collateralized SPAC Holdings Fund</w:t>
            </w:r>
            <w:r>
              <w:rPr>
                <w:rFonts w:ascii="Times New Roman" w:cs="Times New Roman" w:eastAsia="Times New Roman" w:hAnsi="Times New Roman"/>
                <w:sz w:val="25"/>
                <w:szCs w:val="25"/>
                <w:color w:val="auto"/>
                <w:vertAlign w:val="superscript"/>
              </w:rPr>
              <w:t>190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126,000</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126,000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F-Cubed Investments, LLC</w:t>
            </w:r>
            <w:r>
              <w:rPr>
                <w:rFonts w:ascii="Times New Roman" w:cs="Times New Roman" w:eastAsia="Times New Roman" w:hAnsi="Times New Roman"/>
                <w:sz w:val="25"/>
                <w:szCs w:val="25"/>
                <w:color w:val="auto"/>
                <w:vertAlign w:val="superscript"/>
              </w:rPr>
              <w:t>191</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525,000</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525,000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7"/>
        </w:trPr>
        <w:tc>
          <w:tcPr>
            <w:tcW w:w="302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Fir Tree Credit Opportunity Master Fund III,</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02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6"/>
                <w:szCs w:val="16"/>
                <w:color w:val="auto"/>
              </w:rPr>
              <w:t>LP FKA: Fir Tree Capital Opportunity</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02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Master Fund III, LP</w:t>
            </w:r>
            <w:r>
              <w:rPr>
                <w:rFonts w:ascii="Times New Roman" w:cs="Times New Roman" w:eastAsia="Times New Roman" w:hAnsi="Times New Roman"/>
                <w:sz w:val="26"/>
                <w:szCs w:val="26"/>
                <w:color w:val="auto"/>
                <w:vertAlign w:val="superscript"/>
              </w:rPr>
              <w:t>192</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9,727</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9,727</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FT SOF XIII (SPAC) Holdings, LLC</w:t>
            </w:r>
            <w:r>
              <w:rPr>
                <w:rFonts w:ascii="Times New Roman" w:cs="Times New Roman" w:eastAsia="Times New Roman" w:hAnsi="Times New Roman"/>
                <w:sz w:val="25"/>
                <w:szCs w:val="25"/>
                <w:color w:val="auto"/>
                <w:vertAlign w:val="superscript"/>
              </w:rPr>
              <w:t>193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60,314</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Grace Vandecruze</w:t>
            </w:r>
            <w:r>
              <w:rPr>
                <w:rFonts w:ascii="Times New Roman" w:cs="Times New Roman" w:eastAsia="Times New Roman" w:hAnsi="Times New Roman"/>
                <w:sz w:val="25"/>
                <w:szCs w:val="25"/>
                <w:color w:val="auto"/>
                <w:vertAlign w:val="superscript"/>
              </w:rPr>
              <w:t>194</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30,937</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30,937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Greice Murphy Enterprise, LLC</w:t>
            </w:r>
            <w:r>
              <w:rPr>
                <w:rFonts w:ascii="Times New Roman" w:cs="Times New Roman" w:eastAsia="Times New Roman" w:hAnsi="Times New Roman"/>
                <w:sz w:val="25"/>
                <w:szCs w:val="25"/>
                <w:color w:val="auto"/>
                <w:vertAlign w:val="superscript"/>
              </w:rPr>
              <w:t>195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19,871</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30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Highbridge Tactical Credit Institutional Fund</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3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196</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167703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77035" cy="15240"/>
                    </a:xfrm>
                    <a:prstGeom prst="rect">
                      <a:avLst/>
                    </a:prstGeom>
                    <a:noFill/>
                  </pic:spPr>
                </pic:pic>
              </a:graphicData>
            </a:graphic>
          </wp:anchor>
        </w:drawing>
      </w:r>
    </w:p>
    <w:p>
      <w:pPr>
        <w:spacing w:after="0" w:line="51" w:lineRule="exact"/>
        <w:rPr>
          <w:sz w:val="20"/>
          <w:szCs w:val="20"/>
          <w:color w:val="auto"/>
        </w:rPr>
      </w:pPr>
    </w:p>
    <w:p>
      <w:pPr>
        <w:ind w:left="300" w:right="40" w:hanging="294"/>
        <w:spacing w:after="0" w:line="190" w:lineRule="auto"/>
        <w:tabs>
          <w:tab w:leader="none" w:pos="300" w:val="left"/>
        </w:tabs>
        <w:numPr>
          <w:ilvl w:val="0"/>
          <w:numId w:val="7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Dr. Barbara Hutchinson. The address of the principal business office of Dr. Barbara Hutchinson is 11906 Shady Stone Terr., Bowie, MD 20721.</w:t>
      </w:r>
    </w:p>
    <w:p>
      <w:pPr>
        <w:spacing w:after="0" w:line="133" w:lineRule="exact"/>
        <w:rPr>
          <w:rFonts w:ascii="Times New Roman" w:cs="Times New Roman" w:eastAsia="Times New Roman" w:hAnsi="Times New Roman"/>
          <w:sz w:val="26"/>
          <w:szCs w:val="26"/>
          <w:color w:val="auto"/>
          <w:vertAlign w:val="superscript"/>
        </w:rPr>
      </w:pPr>
    </w:p>
    <w:p>
      <w:pPr>
        <w:ind w:left="300" w:right="20" w:hanging="294"/>
        <w:spacing w:after="0" w:line="190" w:lineRule="auto"/>
        <w:tabs>
          <w:tab w:leader="none" w:pos="300" w:val="left"/>
        </w:tabs>
        <w:numPr>
          <w:ilvl w:val="0"/>
          <w:numId w:val="7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Eric Oruoele. The address of the principal business office of Eric Oruoele is 11180 State Bridge Road, Suite 203, Alpharetta, GA 30022.</w:t>
      </w:r>
    </w:p>
    <w:p>
      <w:pPr>
        <w:spacing w:after="0" w:line="133" w:lineRule="exact"/>
        <w:rPr>
          <w:rFonts w:ascii="Times New Roman" w:cs="Times New Roman" w:eastAsia="Times New Roman" w:hAnsi="Times New Roman"/>
          <w:sz w:val="26"/>
          <w:szCs w:val="26"/>
          <w:color w:val="auto"/>
          <w:vertAlign w:val="superscript"/>
        </w:rPr>
      </w:pPr>
    </w:p>
    <w:p>
      <w:pPr>
        <w:ind w:left="300" w:right="20" w:hanging="294"/>
        <w:spacing w:after="0" w:line="190" w:lineRule="auto"/>
        <w:tabs>
          <w:tab w:leader="none" w:pos="300" w:val="left"/>
        </w:tabs>
        <w:numPr>
          <w:ilvl w:val="0"/>
          <w:numId w:val="7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EVN 2021 Trust. Ezekiel V. Newhouse is the Trustee of the EVN 2021 Trust and has voting and investment control of the shares held by the EVN 2021 Trust. The address of the principal business office of EVN 2021 Trust is 2129 Lamberton Ln, Kennesaw, GA 30152.</w:t>
      </w:r>
    </w:p>
    <w:p>
      <w:pPr>
        <w:spacing w:after="0" w:line="133" w:lineRule="exact"/>
        <w:rPr>
          <w:rFonts w:ascii="Times New Roman" w:cs="Times New Roman" w:eastAsia="Times New Roman" w:hAnsi="Times New Roman"/>
          <w:sz w:val="26"/>
          <w:szCs w:val="26"/>
          <w:color w:val="auto"/>
          <w:vertAlign w:val="superscript"/>
        </w:rPr>
      </w:pPr>
    </w:p>
    <w:p>
      <w:pPr>
        <w:jc w:val="both"/>
        <w:ind w:left="300" w:hanging="294"/>
        <w:spacing w:after="0" w:line="209" w:lineRule="auto"/>
        <w:tabs>
          <w:tab w:leader="none" w:pos="300" w:val="left"/>
        </w:tabs>
        <w:numPr>
          <w:ilvl w:val="0"/>
          <w:numId w:val="7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EXOS Collateralized SPAC Holdings Fund LP. EXOS Collateralized SPAC Holdings Fund GP LL is the general partner of EXOS Collateralized SPAC Holdings Fund LP and has voting and investment control of the shares held by EXOS Collateralized SPAC Holdings Fund LP but disclaims beneficial ownership of such shares. The address of the principal business office of EXOS Collateralized SPAC Holdings Fund LP is 1370 Broadway, Suite 1450, New York, NY 10018.</w:t>
      </w:r>
    </w:p>
    <w:p>
      <w:pPr>
        <w:spacing w:after="0" w:line="135" w:lineRule="exact"/>
        <w:rPr>
          <w:rFonts w:ascii="Times New Roman" w:cs="Times New Roman" w:eastAsia="Times New Roman" w:hAnsi="Times New Roman"/>
          <w:sz w:val="26"/>
          <w:szCs w:val="26"/>
          <w:color w:val="auto"/>
          <w:vertAlign w:val="superscript"/>
        </w:rPr>
      </w:pPr>
    </w:p>
    <w:p>
      <w:pPr>
        <w:jc w:val="both"/>
        <w:ind w:left="300" w:hanging="294"/>
        <w:spacing w:after="0" w:line="202" w:lineRule="auto"/>
        <w:tabs>
          <w:tab w:leader="none" w:pos="300" w:val="left"/>
        </w:tabs>
        <w:numPr>
          <w:ilvl w:val="0"/>
          <w:numId w:val="7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F-Cubed Investments, LLC. Tarrea Ashe is the sole member of F-Cubed Investments, LLC and has voting and investment control of the shares held by F-Cubed Investments, LLC. The address of the principal business office of F-Cubed Investments, LLC, Tarrea Ashe is 1607 Highway 99, Townsend, GA 31331.</w:t>
      </w:r>
    </w:p>
    <w:p>
      <w:pPr>
        <w:spacing w:after="0" w:line="134" w:lineRule="exact"/>
        <w:rPr>
          <w:rFonts w:ascii="Times New Roman" w:cs="Times New Roman" w:eastAsia="Times New Roman" w:hAnsi="Times New Roman"/>
          <w:sz w:val="26"/>
          <w:szCs w:val="26"/>
          <w:color w:val="auto"/>
          <w:vertAlign w:val="superscript"/>
        </w:rPr>
      </w:pPr>
    </w:p>
    <w:p>
      <w:pPr>
        <w:jc w:val="both"/>
        <w:ind w:left="300" w:right="20" w:hanging="294"/>
        <w:spacing w:after="0" w:line="224" w:lineRule="auto"/>
        <w:tabs>
          <w:tab w:leader="none" w:pos="300" w:val="left"/>
        </w:tabs>
        <w:numPr>
          <w:ilvl w:val="0"/>
          <w:numId w:val="7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Fir Tree Credit Opportunity Master Fund, LP formerly known as Fir Tree Capital Opportunity Master Fund III, LP. Fir Tree Capital Management, LP is the investment manager of Fir Tree Credit Opportunity Master Fund, LP formerly known as Fir Tree Capital Opportunity Master Fund III, LP. Clinton Biando and David Sultan are the Managing Partners of Fir Tree Capital Management, LP and have voting and investment control of the shares held by Fir Tree Credit Opportunity Master Fund, LP formerly known as Fir Tree Capital Opportunity Master Fund III, LP but disclaim beneficial ownership of such shares. The address of the principal business office of Fir Tree Credit Opportunity Master Fund, LP formerly known as Fir Tree Capital Opportunity Master Fund III, LP is c/o Fir Tree Capital Management, LP, 500 Fifth Avenue,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 New York, NY 10110.</w:t>
      </w:r>
    </w:p>
    <w:p>
      <w:pPr>
        <w:spacing w:after="0" w:line="27" w:lineRule="exact"/>
        <w:rPr>
          <w:rFonts w:ascii="Times New Roman" w:cs="Times New Roman" w:eastAsia="Times New Roman" w:hAnsi="Times New Roman"/>
          <w:sz w:val="26"/>
          <w:szCs w:val="26"/>
          <w:color w:val="auto"/>
          <w:vertAlign w:val="superscript"/>
        </w:rPr>
      </w:pPr>
    </w:p>
    <w:p>
      <w:pPr>
        <w:jc w:val="both"/>
        <w:ind w:left="300" w:right="20" w:hanging="294"/>
        <w:spacing w:after="0" w:line="209" w:lineRule="auto"/>
        <w:tabs>
          <w:tab w:leader="none" w:pos="300" w:val="left"/>
        </w:tabs>
        <w:numPr>
          <w:ilvl w:val="0"/>
          <w:numId w:val="7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FT SOF XIII (SPAC) Holdings, LLC. Fir Tree Capital Management, LP is the investment manager of FT SOF XIII (SPAC) Holdings, LLC and Clinton Biando and David Sultan are the Managing Partners of Fir Tree Capital Management, LP and have voting and investment control of the shares held by FT SOF XIII (SPAC) Holdings, LLC but disclaim beneficial ownership of such shares. The address of the principal business office of FT SOF XIII (SPAC) Holdings, LLC is c/o Fir Tree Capital Management, LP, 500 Fifth Avenue, 9th Floor, New York, NY 10110.</w:t>
      </w:r>
    </w:p>
    <w:p>
      <w:pPr>
        <w:spacing w:after="0" w:line="135" w:lineRule="exact"/>
        <w:rPr>
          <w:rFonts w:ascii="Times New Roman" w:cs="Times New Roman" w:eastAsia="Times New Roman" w:hAnsi="Times New Roman"/>
          <w:sz w:val="26"/>
          <w:szCs w:val="26"/>
          <w:color w:val="auto"/>
          <w:vertAlign w:val="superscript"/>
        </w:rPr>
      </w:pPr>
    </w:p>
    <w:p>
      <w:pPr>
        <w:ind w:left="300" w:right="40" w:hanging="294"/>
        <w:spacing w:after="0" w:line="190" w:lineRule="auto"/>
        <w:tabs>
          <w:tab w:leader="none" w:pos="300" w:val="left"/>
        </w:tabs>
        <w:numPr>
          <w:ilvl w:val="0"/>
          <w:numId w:val="7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Grace Vandecruze. The address of the principal business office of Grace Vandecruze is 54 Riverside Drive 8AA, New York, NY 10024.</w:t>
      </w:r>
    </w:p>
    <w:p>
      <w:pPr>
        <w:spacing w:after="0" w:line="133" w:lineRule="exact"/>
        <w:rPr>
          <w:rFonts w:ascii="Times New Roman" w:cs="Times New Roman" w:eastAsia="Times New Roman" w:hAnsi="Times New Roman"/>
          <w:sz w:val="26"/>
          <w:szCs w:val="26"/>
          <w:color w:val="auto"/>
          <w:vertAlign w:val="superscript"/>
        </w:rPr>
      </w:pPr>
    </w:p>
    <w:p>
      <w:pPr>
        <w:jc w:val="both"/>
        <w:ind w:left="300" w:hanging="294"/>
        <w:spacing w:after="0" w:line="202" w:lineRule="auto"/>
        <w:tabs>
          <w:tab w:leader="none" w:pos="300" w:val="left"/>
        </w:tabs>
        <w:numPr>
          <w:ilvl w:val="0"/>
          <w:numId w:val="7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Greice Murphy Enterprise, LLC. Greice Murphy is the sole member of Greice Murphy Enterprise, LLC and has voting and investment control of the shares held by Greice Murphy Enterprise, LLC. The address of the principal business office of Greice Murphy Enterprise, LLC is 9200 SW 71st Avenue, Pinecrest, FL 33156.</w:t>
      </w:r>
    </w:p>
    <w:p>
      <w:pPr>
        <w:spacing w:after="0" w:line="134" w:lineRule="exact"/>
        <w:rPr>
          <w:rFonts w:ascii="Times New Roman" w:cs="Times New Roman" w:eastAsia="Times New Roman" w:hAnsi="Times New Roman"/>
          <w:sz w:val="26"/>
          <w:szCs w:val="26"/>
          <w:color w:val="auto"/>
          <w:vertAlign w:val="superscript"/>
        </w:rPr>
      </w:pPr>
    </w:p>
    <w:p>
      <w:pPr>
        <w:ind w:left="300" w:hanging="294"/>
        <w:spacing w:after="0" w:line="190" w:lineRule="auto"/>
        <w:tabs>
          <w:tab w:leader="none" w:pos="300" w:val="left"/>
        </w:tabs>
        <w:numPr>
          <w:ilvl w:val="0"/>
          <w:numId w:val="7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100,000 shares directly held by Highbridge Tactical Credit Institutional Fund Ltd. (“Highbride”). The address of the principal business office of the Highbridge is P.O. Box 309 GT, Ugland House, South Church St., George Town.</w:t>
      </w:r>
    </w:p>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557" w:right="660" w:bottom="878"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5"/>
        </w:trPr>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gridSpan w:val="5"/>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gridSpan w:val="9"/>
          </w:tcPr>
          <w:p>
            <w:pPr>
              <w:ind w:left="460"/>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c>
          <w:tcPr>
            <w:tcW w:w="0" w:type="dxa"/>
            <w:vAlign w:val="bottom"/>
          </w:tcPr>
          <w:p>
            <w:pPr>
              <w:spacing w:after="0"/>
              <w:rPr>
                <w:sz w:val="1"/>
                <w:szCs w:val="1"/>
                <w:color w:val="auto"/>
              </w:rPr>
            </w:pPr>
          </w:p>
        </w:tc>
      </w:tr>
      <w:tr>
        <w:trPr>
          <w:trHeight w:val="90"/>
        </w:trPr>
        <w:tc>
          <w:tcPr>
            <w:tcW w:w="29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60"/>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4"/>
              </w:rPr>
              <w:t>Beneficially</w:t>
            </w:r>
          </w:p>
        </w:tc>
        <w:tc>
          <w:tcPr>
            <w:tcW w:w="120" w:type="dxa"/>
            <w:vAlign w:val="bottom"/>
          </w:tcPr>
          <w:p>
            <w:pPr>
              <w:spacing w:after="0"/>
              <w:rPr>
                <w:sz w:val="15"/>
                <w:szCs w:val="15"/>
                <w:color w:val="auto"/>
              </w:rPr>
            </w:pPr>
          </w:p>
        </w:tc>
        <w:tc>
          <w:tcPr>
            <w:tcW w:w="9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8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Beneficially</w:t>
            </w:r>
          </w:p>
        </w:tc>
        <w:tc>
          <w:tcPr>
            <w:tcW w:w="180" w:type="dxa"/>
            <w:vAlign w:val="bottom"/>
          </w:tcPr>
          <w:p>
            <w:pPr>
              <w:spacing w:after="0"/>
              <w:rPr>
                <w:sz w:val="15"/>
                <w:szCs w:val="15"/>
                <w:color w:val="auto"/>
              </w:rPr>
            </w:pPr>
          </w:p>
        </w:tc>
        <w:tc>
          <w:tcPr>
            <w:tcW w:w="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2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4"/>
              </w:rPr>
              <w:t>Beneficially</w:t>
            </w:r>
          </w:p>
        </w:tc>
        <w:tc>
          <w:tcPr>
            <w:tcW w:w="180" w:type="dxa"/>
            <w:vAlign w:val="bottom"/>
          </w:tcPr>
          <w:p>
            <w:pPr>
              <w:spacing w:after="0"/>
              <w:rPr>
                <w:sz w:val="15"/>
                <w:szCs w:val="15"/>
                <w:color w:val="auto"/>
              </w:rPr>
            </w:pPr>
          </w:p>
        </w:tc>
        <w:tc>
          <w:tcPr>
            <w:tcW w:w="80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8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Beneficially</w:t>
            </w:r>
          </w:p>
        </w:tc>
        <w:tc>
          <w:tcPr>
            <w:tcW w:w="200" w:type="dxa"/>
            <w:vAlign w:val="bottom"/>
          </w:tcPr>
          <w:p>
            <w:pPr>
              <w:spacing w:after="0"/>
              <w:rPr>
                <w:sz w:val="15"/>
                <w:szCs w:val="15"/>
                <w:color w:val="auto"/>
              </w:rPr>
            </w:pPr>
          </w:p>
        </w:tc>
        <w:tc>
          <w:tcPr>
            <w:tcW w:w="7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5"/>
              </w:rPr>
              <w:t>Percent</w:t>
            </w: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20" w:type="dxa"/>
            <w:vAlign w:val="bottom"/>
          </w:tcPr>
          <w:p>
            <w:pPr>
              <w:spacing w:after="0"/>
              <w:rPr>
                <w:sz w:val="15"/>
                <w:szCs w:val="15"/>
                <w:color w:val="auto"/>
              </w:rPr>
            </w:pPr>
          </w:p>
        </w:tc>
        <w:tc>
          <w:tcPr>
            <w:tcW w:w="9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Registered</w:t>
            </w:r>
          </w:p>
        </w:tc>
        <w:tc>
          <w:tcPr>
            <w:tcW w:w="1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80" w:type="dxa"/>
            <w:vAlign w:val="bottom"/>
          </w:tcPr>
          <w:p>
            <w:pPr>
              <w:spacing w:after="0"/>
              <w:rPr>
                <w:sz w:val="15"/>
                <w:szCs w:val="15"/>
                <w:color w:val="auto"/>
              </w:rPr>
            </w:pPr>
          </w:p>
        </w:tc>
        <w:tc>
          <w:tcPr>
            <w:tcW w:w="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98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Registered</w:t>
            </w:r>
          </w:p>
        </w:tc>
        <w:tc>
          <w:tcPr>
            <w:tcW w:w="1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7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0" w:type="dxa"/>
            <w:vAlign w:val="bottom"/>
          </w:tcPr>
          <w:p>
            <w:pPr>
              <w:spacing w:after="0"/>
              <w:rPr>
                <w:sz w:val="1"/>
                <w:szCs w:val="1"/>
                <w:color w:val="auto"/>
              </w:rPr>
            </w:pPr>
          </w:p>
        </w:tc>
      </w:tr>
      <w:tr>
        <w:trPr>
          <w:trHeight w:val="205"/>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Selling Securityholder</w:t>
            </w:r>
            <w:r>
              <w:rPr>
                <w:rFonts w:ascii="Times New Roman" w:cs="Times New Roman" w:eastAsia="Times New Roman" w:hAnsi="Times New Roman"/>
                <w:sz w:val="26"/>
                <w:szCs w:val="26"/>
                <w:b w:val="1"/>
                <w:bCs w:val="1"/>
                <w:color w:val="auto"/>
                <w:vertAlign w:val="superscript"/>
              </w:rPr>
              <w:t>1</w:t>
            </w:r>
          </w:p>
        </w:tc>
        <w:tc>
          <w:tcPr>
            <w:tcW w:w="80" w:type="dxa"/>
            <w:vAlign w:val="bottom"/>
            <w:vMerge w:val="restart"/>
          </w:tcPr>
          <w:p>
            <w:pPr>
              <w:spacing w:after="0"/>
              <w:rPr>
                <w:sz w:val="17"/>
                <w:szCs w:val="17"/>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2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2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80" w:type="dxa"/>
            <w:vAlign w:val="bottom"/>
          </w:tcPr>
          <w:p>
            <w:pPr>
              <w:spacing w:after="0"/>
              <w:rPr>
                <w:sz w:val="17"/>
                <w:szCs w:val="17"/>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200" w:type="dxa"/>
            <w:vAlign w:val="bottom"/>
          </w:tcPr>
          <w:p>
            <w:pPr>
              <w:spacing w:after="0"/>
              <w:rPr>
                <w:sz w:val="17"/>
                <w:szCs w:val="17"/>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Hereby</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Hereby</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Ingram Capital Investment Group, LLC</w:t>
            </w:r>
            <w:r>
              <w:rPr>
                <w:rFonts w:ascii="Times New Roman" w:cs="Times New Roman" w:eastAsia="Times New Roman" w:hAnsi="Times New Roman"/>
                <w:sz w:val="25"/>
                <w:szCs w:val="25"/>
                <w:color w:val="auto"/>
                <w:vertAlign w:val="superscript"/>
              </w:rPr>
              <w:t>197</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475,000</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475,000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Jose Ariel Mendiola</w:t>
            </w:r>
            <w:r>
              <w:rPr>
                <w:rFonts w:ascii="Times New Roman" w:cs="Times New Roman" w:eastAsia="Times New Roman" w:hAnsi="Times New Roman"/>
                <w:sz w:val="25"/>
                <w:szCs w:val="25"/>
                <w:color w:val="auto"/>
                <w:vertAlign w:val="superscript"/>
              </w:rPr>
              <w:t>198</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12,419</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Joyce Brocaglia</w:t>
            </w:r>
            <w:r>
              <w:rPr>
                <w:rFonts w:ascii="Times New Roman" w:cs="Times New Roman" w:eastAsia="Times New Roman" w:hAnsi="Times New Roman"/>
                <w:sz w:val="25"/>
                <w:szCs w:val="25"/>
                <w:color w:val="auto"/>
                <w:vertAlign w:val="superscript"/>
              </w:rPr>
              <w:t>199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34,772</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Latonja Chatman-Culmer</w:t>
            </w:r>
            <w:r>
              <w:rPr>
                <w:rFonts w:ascii="Times New Roman" w:cs="Times New Roman" w:eastAsia="Times New Roman" w:hAnsi="Times New Roman"/>
                <w:sz w:val="25"/>
                <w:szCs w:val="25"/>
                <w:color w:val="auto"/>
                <w:vertAlign w:val="superscript"/>
              </w:rPr>
              <w:t>200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1,987</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1,987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Lauren C. Anderson</w:t>
            </w:r>
            <w:r>
              <w:rPr>
                <w:rFonts w:ascii="Times New Roman" w:cs="Times New Roman" w:eastAsia="Times New Roman" w:hAnsi="Times New Roman"/>
                <w:sz w:val="25"/>
                <w:szCs w:val="25"/>
                <w:color w:val="auto"/>
                <w:vertAlign w:val="superscript"/>
              </w:rPr>
              <w:t>201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12,891</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M&amp;M Holdings LLC</w:t>
            </w:r>
            <w:r>
              <w:rPr>
                <w:rFonts w:ascii="Times New Roman" w:cs="Times New Roman" w:eastAsia="Times New Roman" w:hAnsi="Times New Roman"/>
                <w:sz w:val="25"/>
                <w:szCs w:val="25"/>
                <w:color w:val="auto"/>
                <w:vertAlign w:val="superscript"/>
              </w:rPr>
              <w:t>202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20,626</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Madhani Investments, LLC</w:t>
            </w:r>
            <w:r>
              <w:rPr>
                <w:rFonts w:ascii="Times New Roman" w:cs="Times New Roman" w:eastAsia="Times New Roman" w:hAnsi="Times New Roman"/>
                <w:sz w:val="25"/>
                <w:szCs w:val="25"/>
                <w:color w:val="auto"/>
                <w:vertAlign w:val="superscript"/>
              </w:rPr>
              <w:t>203</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7,452</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7,452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Mahesh Konduru</w:t>
            </w:r>
            <w:r>
              <w:rPr>
                <w:rFonts w:ascii="Times New Roman" w:cs="Times New Roman" w:eastAsia="Times New Roman" w:hAnsi="Times New Roman"/>
                <w:sz w:val="25"/>
                <w:szCs w:val="25"/>
                <w:color w:val="auto"/>
                <w:vertAlign w:val="superscript"/>
              </w:rPr>
              <w:t>204</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14,903</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302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Marc J Gorlin TTEE MJG 2014 Subtrust U/a</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02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DTD 09/03/2021</w:t>
            </w:r>
            <w:r>
              <w:rPr>
                <w:rFonts w:ascii="Times New Roman" w:cs="Times New Roman" w:eastAsia="Times New Roman" w:hAnsi="Times New Roman"/>
                <w:sz w:val="26"/>
                <w:szCs w:val="26"/>
                <w:color w:val="auto"/>
                <w:vertAlign w:val="superscript"/>
              </w:rPr>
              <w:t>205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25,781</w:t>
            </w:r>
          </w:p>
        </w:tc>
        <w:tc>
          <w:tcPr>
            <w:tcW w:w="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Marco Gomez Roquero</w:t>
            </w:r>
            <w:r>
              <w:rPr>
                <w:rFonts w:ascii="Times New Roman" w:cs="Times New Roman" w:eastAsia="Times New Roman" w:hAnsi="Times New Roman"/>
                <w:sz w:val="25"/>
                <w:szCs w:val="25"/>
                <w:color w:val="auto"/>
                <w:vertAlign w:val="superscript"/>
              </w:rPr>
              <w:t>206</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49,676</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49,676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Mary Lake Polan</w:t>
            </w:r>
            <w:r>
              <w:rPr>
                <w:rFonts w:ascii="Times New Roman" w:cs="Times New Roman" w:eastAsia="Times New Roman" w:hAnsi="Times New Roman"/>
                <w:sz w:val="25"/>
                <w:szCs w:val="25"/>
                <w:color w:val="auto"/>
                <w:vertAlign w:val="superscript"/>
              </w:rPr>
              <w:t>207</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9,952</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9,952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144780</wp:posOffset>
            </wp:positionV>
            <wp:extent cx="167703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77035" cy="15240"/>
                    </a:xfrm>
                    <a:prstGeom prst="rect">
                      <a:avLst/>
                    </a:prstGeom>
                    <a:noFill/>
                  </pic:spPr>
                </pic:pic>
              </a:graphicData>
            </a:graphic>
          </wp:anchor>
        </w:drawing>
      </w:r>
    </w:p>
    <w:p>
      <w:pPr>
        <w:spacing w:after="0" w:line="243" w:lineRule="exact"/>
        <w:rPr>
          <w:sz w:val="20"/>
          <w:szCs w:val="20"/>
          <w:color w:val="auto"/>
        </w:rPr>
      </w:pPr>
    </w:p>
    <w:p>
      <w:pPr>
        <w:jc w:val="both"/>
        <w:ind w:left="300" w:right="20" w:hanging="294"/>
        <w:spacing w:after="0" w:line="202" w:lineRule="auto"/>
        <w:tabs>
          <w:tab w:leader="none" w:pos="300" w:val="left"/>
        </w:tabs>
        <w:numPr>
          <w:ilvl w:val="0"/>
          <w:numId w:val="7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Ingram Capital Investment Group, LLC. Hervia Ingram is the sole member of Ingram Capital Investment Group, LLC and has voting and investment control of the shares held by Ingram Capital Investment Group, LLC. The address of the principal business office of Ingram Capital Investment Group, LLC is 2360 Lahinch Court, Kennesaw, GA 30152.</w:t>
      </w:r>
    </w:p>
    <w:p>
      <w:pPr>
        <w:spacing w:after="0" w:line="158" w:lineRule="exact"/>
        <w:rPr>
          <w:rFonts w:ascii="Times New Roman" w:cs="Times New Roman" w:eastAsia="Times New Roman" w:hAnsi="Times New Roman"/>
          <w:sz w:val="26"/>
          <w:szCs w:val="26"/>
          <w:color w:val="auto"/>
          <w:vertAlign w:val="superscript"/>
        </w:rPr>
      </w:pPr>
    </w:p>
    <w:p>
      <w:pPr>
        <w:ind w:left="300" w:right="40" w:hanging="294"/>
        <w:spacing w:after="0" w:line="190" w:lineRule="auto"/>
        <w:tabs>
          <w:tab w:leader="none" w:pos="300" w:val="left"/>
        </w:tabs>
        <w:numPr>
          <w:ilvl w:val="0"/>
          <w:numId w:val="7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Jose Ariel Mendiola. The address of the principal business office of Jose Ariel Mendiola is 12015 Silverwood Bend Ln, Cypress, TX 77433.</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7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Joyce Brocaglia. The address of the principal business office of Joyce Brocaglia is 602 Ocean Avenue, Sea Bright, NJ 07760.</w:t>
      </w:r>
    </w:p>
    <w:p>
      <w:pPr>
        <w:spacing w:after="0" w:line="157" w:lineRule="exact"/>
        <w:rPr>
          <w:rFonts w:ascii="Times New Roman" w:cs="Times New Roman" w:eastAsia="Times New Roman" w:hAnsi="Times New Roman"/>
          <w:sz w:val="26"/>
          <w:szCs w:val="26"/>
          <w:color w:val="auto"/>
          <w:vertAlign w:val="superscript"/>
        </w:rPr>
      </w:pPr>
    </w:p>
    <w:p>
      <w:pPr>
        <w:ind w:left="300" w:right="40" w:hanging="294"/>
        <w:spacing w:after="0" w:line="190" w:lineRule="auto"/>
        <w:tabs>
          <w:tab w:leader="none" w:pos="300" w:val="left"/>
        </w:tabs>
        <w:numPr>
          <w:ilvl w:val="0"/>
          <w:numId w:val="7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Latonja Chatman-Culmer. The address of the principal business office of Latonja Chatman-Culmer is 4330 Celebration Drive SW, Atlanta, GA 30331.</w:t>
      </w:r>
    </w:p>
    <w:p>
      <w:pPr>
        <w:spacing w:after="0" w:line="157" w:lineRule="exact"/>
        <w:rPr>
          <w:rFonts w:ascii="Times New Roman" w:cs="Times New Roman" w:eastAsia="Times New Roman" w:hAnsi="Times New Roman"/>
          <w:sz w:val="26"/>
          <w:szCs w:val="26"/>
          <w:color w:val="auto"/>
          <w:vertAlign w:val="superscript"/>
        </w:rPr>
      </w:pPr>
    </w:p>
    <w:p>
      <w:pPr>
        <w:ind w:left="300" w:hanging="294"/>
        <w:spacing w:after="0" w:line="190" w:lineRule="auto"/>
        <w:tabs>
          <w:tab w:leader="none" w:pos="300" w:val="left"/>
        </w:tabs>
        <w:numPr>
          <w:ilvl w:val="0"/>
          <w:numId w:val="7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Lauren C. Anderson. The address of the principal business office of Lauren C. Anderson is 327 Tonetta Lake Road, Brewster, NY 10509.</w:t>
      </w:r>
    </w:p>
    <w:p>
      <w:pPr>
        <w:spacing w:after="0" w:line="157" w:lineRule="exact"/>
        <w:rPr>
          <w:rFonts w:ascii="Times New Roman" w:cs="Times New Roman" w:eastAsia="Times New Roman" w:hAnsi="Times New Roman"/>
          <w:sz w:val="26"/>
          <w:szCs w:val="26"/>
          <w:color w:val="auto"/>
          <w:vertAlign w:val="superscript"/>
        </w:rPr>
      </w:pPr>
    </w:p>
    <w:p>
      <w:pPr>
        <w:ind w:left="300" w:right="20" w:hanging="294"/>
        <w:spacing w:after="0" w:line="199" w:lineRule="auto"/>
        <w:tabs>
          <w:tab w:leader="none" w:pos="300" w:val="left"/>
        </w:tabs>
        <w:numPr>
          <w:ilvl w:val="0"/>
          <w:numId w:val="7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shares directly held by M&amp;M Holdings LLC. Chris Murphy is the sole member of M&amp;M Holdings, LLC and has voting and investment control of the shares held by M&amp;M Holdings, LLC. The address of the principal business office of M&amp;M Holdings LLC is 2271 Loring Oak Place NW, Marietta, GA 30064.</w:t>
      </w:r>
    </w:p>
    <w:p>
      <w:pPr>
        <w:spacing w:after="0" w:line="158" w:lineRule="exact"/>
        <w:rPr>
          <w:rFonts w:ascii="Times New Roman" w:cs="Times New Roman" w:eastAsia="Times New Roman" w:hAnsi="Times New Roman"/>
          <w:sz w:val="25"/>
          <w:szCs w:val="25"/>
          <w:color w:val="auto"/>
          <w:vertAlign w:val="superscript"/>
        </w:rPr>
      </w:pPr>
    </w:p>
    <w:p>
      <w:pPr>
        <w:jc w:val="both"/>
        <w:ind w:left="300" w:right="20" w:hanging="294"/>
        <w:spacing w:after="0" w:line="202" w:lineRule="auto"/>
        <w:tabs>
          <w:tab w:leader="none" w:pos="300" w:val="left"/>
        </w:tabs>
        <w:numPr>
          <w:ilvl w:val="0"/>
          <w:numId w:val="7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Madhani Investments, LLC. Suneera Madhani is the sole member of Madhani Investments, LLC and has voting and investment control of the shares held by Madhani Investments, LLC. The address of the principal business office of Madhani Investments, LLC is 1219 Eastin Avenue, Orlando, FL 32804.</w:t>
      </w:r>
    </w:p>
    <w:p>
      <w:pPr>
        <w:spacing w:after="0" w:line="62"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7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Mahesh Konduru. The address of the principal business office of Mahesh Konduru is 6512 Mercer St., Houston, TX 77005.</w:t>
      </w:r>
    </w:p>
    <w:p>
      <w:pPr>
        <w:spacing w:after="0" w:line="157" w:lineRule="exact"/>
        <w:rPr>
          <w:rFonts w:ascii="Times New Roman" w:cs="Times New Roman" w:eastAsia="Times New Roman" w:hAnsi="Times New Roman"/>
          <w:sz w:val="26"/>
          <w:szCs w:val="26"/>
          <w:color w:val="auto"/>
          <w:vertAlign w:val="superscript"/>
        </w:rPr>
      </w:pPr>
    </w:p>
    <w:p>
      <w:pPr>
        <w:jc w:val="both"/>
        <w:ind w:left="300" w:right="40" w:hanging="294"/>
        <w:spacing w:after="0" w:line="209" w:lineRule="auto"/>
        <w:tabs>
          <w:tab w:leader="none" w:pos="300" w:val="left"/>
        </w:tabs>
        <w:numPr>
          <w:ilvl w:val="0"/>
          <w:numId w:val="7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Marc J Gorlin TTEE MJG 2014 Subtrust U/a DTD 09/03/2021. Marc J Gorlin is the Trustee of Marc J Gorlin TTEE MJG 2014 Subtrust U/a DTD 09/03/2021 and has voting and investment control of the shares held by Marc J Gorlin TTEE MJG 2014 Subtrust U/a DTD 09/03/2021. The address of the principal business office of Marc J Gorlin TTEE MJG 2014 Subtrust U/a DTD 09/03/2021 is 14900 River Road, Unite 901, Pensacola Beach, FL 32507.</w:t>
      </w:r>
    </w:p>
    <w:p>
      <w:pPr>
        <w:spacing w:after="0" w:line="159" w:lineRule="exact"/>
        <w:rPr>
          <w:rFonts w:ascii="Times New Roman" w:cs="Times New Roman" w:eastAsia="Times New Roman" w:hAnsi="Times New Roman"/>
          <w:sz w:val="26"/>
          <w:szCs w:val="26"/>
          <w:color w:val="auto"/>
          <w:vertAlign w:val="superscript"/>
        </w:rPr>
      </w:pPr>
    </w:p>
    <w:p>
      <w:pPr>
        <w:ind w:left="300" w:right="60" w:hanging="294"/>
        <w:spacing w:after="0" w:line="190" w:lineRule="auto"/>
        <w:tabs>
          <w:tab w:leader="none" w:pos="300" w:val="left"/>
        </w:tabs>
        <w:numPr>
          <w:ilvl w:val="0"/>
          <w:numId w:val="7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Marco Gomez Roquero. The address of the principal business office of Marco Gomez Roquero is 1300 S Miami Avenue #4705, Miami, FL 33130.</w:t>
      </w:r>
    </w:p>
    <w:p>
      <w:pPr>
        <w:spacing w:after="0" w:line="157" w:lineRule="exact"/>
        <w:rPr>
          <w:rFonts w:ascii="Times New Roman" w:cs="Times New Roman" w:eastAsia="Times New Roman" w:hAnsi="Times New Roman"/>
          <w:sz w:val="26"/>
          <w:szCs w:val="26"/>
          <w:color w:val="auto"/>
          <w:vertAlign w:val="superscript"/>
        </w:rPr>
      </w:pPr>
    </w:p>
    <w:p>
      <w:pPr>
        <w:ind w:left="300" w:right="40" w:hanging="294"/>
        <w:spacing w:after="0" w:line="190" w:lineRule="auto"/>
        <w:tabs>
          <w:tab w:leader="none" w:pos="300" w:val="left"/>
        </w:tabs>
        <w:numPr>
          <w:ilvl w:val="0"/>
          <w:numId w:val="7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Mary Lake Polan. The address of the principal business office of Mary Lake Polan is Eagle Bluff Ranch, 795 Eagle Ridge Rd., Camp Verde, TX 78010.</w:t>
      </w:r>
    </w:p>
    <w:p>
      <w:pPr>
        <w:spacing w:after="0" w:line="1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60" w:type="dxa"/>
            <w:vAlign w:val="bottom"/>
            <w:gridSpan w:val="5"/>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99"/>
              </w:rPr>
              <w:t>Shares of Common Stock</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gridSpan w:val="8"/>
          </w:tcPr>
          <w:p>
            <w:pPr>
              <w:ind w:left="500"/>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c>
          <w:tcPr>
            <w:tcW w:w="0" w:type="dxa"/>
            <w:vAlign w:val="bottom"/>
          </w:tcPr>
          <w:p>
            <w:pPr>
              <w:spacing w:after="0"/>
              <w:rPr>
                <w:sz w:val="1"/>
                <w:szCs w:val="1"/>
                <w:color w:val="auto"/>
              </w:rPr>
            </w:pPr>
          </w:p>
        </w:tc>
      </w:tr>
      <w:tr>
        <w:trPr>
          <w:trHeight w:val="165"/>
        </w:trPr>
        <w:tc>
          <w:tcPr>
            <w:tcW w:w="2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gridSpan w:val="2"/>
          </w:tcPr>
          <w:p>
            <w:pPr>
              <w:jc w:val="center"/>
              <w:ind w:right="40"/>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20" w:type="dxa"/>
            <w:vAlign w:val="bottom"/>
          </w:tcPr>
          <w:p>
            <w:pPr>
              <w:spacing w:after="0"/>
              <w:rPr>
                <w:sz w:val="15"/>
                <w:szCs w:val="15"/>
                <w:color w:val="auto"/>
              </w:rPr>
            </w:pPr>
          </w:p>
        </w:tc>
        <w:tc>
          <w:tcPr>
            <w:tcW w:w="9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8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Beneficially</w:t>
            </w:r>
          </w:p>
        </w:tc>
        <w:tc>
          <w:tcPr>
            <w:tcW w:w="160" w:type="dxa"/>
            <w:vAlign w:val="bottom"/>
          </w:tcPr>
          <w:p>
            <w:pPr>
              <w:spacing w:after="0"/>
              <w:rPr>
                <w:sz w:val="15"/>
                <w:szCs w:val="15"/>
                <w:color w:val="auto"/>
              </w:rPr>
            </w:pPr>
          </w:p>
        </w:tc>
        <w:tc>
          <w:tcPr>
            <w:tcW w:w="6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Percent</w:t>
            </w:r>
          </w:p>
        </w:tc>
        <w:tc>
          <w:tcPr>
            <w:tcW w:w="180" w:type="dxa"/>
            <w:vAlign w:val="bottom"/>
          </w:tcPr>
          <w:p>
            <w:pPr>
              <w:spacing w:after="0"/>
              <w:rPr>
                <w:sz w:val="15"/>
                <w:szCs w:val="15"/>
                <w:color w:val="auto"/>
              </w:rPr>
            </w:pPr>
          </w:p>
        </w:tc>
        <w:tc>
          <w:tcPr>
            <w:tcW w:w="10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92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10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74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20" w:type="dxa"/>
            <w:vAlign w:val="bottom"/>
          </w:tcPr>
          <w:p>
            <w:pPr>
              <w:spacing w:after="0"/>
              <w:rPr>
                <w:sz w:val="15"/>
                <w:szCs w:val="15"/>
                <w:color w:val="auto"/>
              </w:rPr>
            </w:pPr>
          </w:p>
        </w:tc>
        <w:tc>
          <w:tcPr>
            <w:tcW w:w="9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Registered</w:t>
            </w:r>
          </w:p>
        </w:tc>
        <w:tc>
          <w:tcPr>
            <w:tcW w:w="8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60" w:type="dxa"/>
            <w:vAlign w:val="bottom"/>
          </w:tcPr>
          <w:p>
            <w:pPr>
              <w:spacing w:after="0"/>
              <w:rPr>
                <w:sz w:val="15"/>
                <w:szCs w:val="15"/>
                <w:color w:val="auto"/>
              </w:rPr>
            </w:pPr>
          </w:p>
        </w:tc>
        <w:tc>
          <w:tcPr>
            <w:tcW w:w="6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80" w:type="dxa"/>
            <w:vAlign w:val="bottom"/>
          </w:tcPr>
          <w:p>
            <w:pPr>
              <w:spacing w:after="0"/>
              <w:rPr>
                <w:sz w:val="15"/>
                <w:szCs w:val="15"/>
                <w:color w:val="auto"/>
              </w:rPr>
            </w:pPr>
          </w:p>
        </w:tc>
        <w:tc>
          <w:tcPr>
            <w:tcW w:w="10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3"/>
              </w:rPr>
              <w:t>Owned</w:t>
            </w:r>
          </w:p>
        </w:tc>
        <w:tc>
          <w:tcPr>
            <w:tcW w:w="92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Registered</w:t>
            </w:r>
          </w:p>
        </w:tc>
        <w:tc>
          <w:tcPr>
            <w:tcW w:w="10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3"/>
              </w:rPr>
              <w:t>Owned</w:t>
            </w:r>
          </w:p>
        </w:tc>
        <w:tc>
          <w:tcPr>
            <w:tcW w:w="74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0" w:type="dxa"/>
            <w:vAlign w:val="bottom"/>
          </w:tcPr>
          <w:p>
            <w:pPr>
              <w:spacing w:after="0"/>
              <w:rPr>
                <w:sz w:val="1"/>
                <w:szCs w:val="1"/>
                <w:color w:val="auto"/>
              </w:rPr>
            </w:pPr>
          </w:p>
        </w:tc>
      </w:tr>
      <w:tr>
        <w:trPr>
          <w:trHeight w:val="205"/>
        </w:trPr>
        <w:tc>
          <w:tcPr>
            <w:tcW w:w="2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Selling Securityholder</w:t>
            </w:r>
            <w:r>
              <w:rPr>
                <w:rFonts w:ascii="Times New Roman" w:cs="Times New Roman" w:eastAsia="Times New Roman" w:hAnsi="Times New Roman"/>
                <w:sz w:val="26"/>
                <w:szCs w:val="26"/>
                <w:b w:val="1"/>
                <w:bCs w:val="1"/>
                <w:color w:val="auto"/>
                <w:vertAlign w:val="superscript"/>
              </w:rPr>
              <w:t>1</w:t>
            </w:r>
          </w:p>
        </w:tc>
        <w:tc>
          <w:tcPr>
            <w:tcW w:w="80" w:type="dxa"/>
            <w:vAlign w:val="bottom"/>
            <w:vMerge w:val="restart"/>
          </w:tcPr>
          <w:p>
            <w:pPr>
              <w:spacing w:after="0"/>
              <w:rPr>
                <w:sz w:val="17"/>
                <w:szCs w:val="17"/>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2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for Sale</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6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8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Prior to</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for Sale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Hereby</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Hereby</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MMF LT, LLC</w:t>
            </w:r>
            <w:r>
              <w:rPr>
                <w:rFonts w:ascii="Times New Roman" w:cs="Times New Roman" w:eastAsia="Times New Roman" w:hAnsi="Times New Roman"/>
                <w:sz w:val="25"/>
                <w:szCs w:val="25"/>
                <w:color w:val="auto"/>
                <w:vertAlign w:val="superscript"/>
              </w:rPr>
              <w:t>208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156,667</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156,667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center"/>
              <w:ind w:left="26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3020" w:type="dxa"/>
            <w:vAlign w:val="bottom"/>
            <w:gridSpan w:val="3"/>
          </w:tcPr>
          <w:p>
            <w:pPr>
              <w:spacing w:after="0" w:line="216" w:lineRule="exact"/>
              <w:rPr>
                <w:sz w:val="20"/>
                <w:szCs w:val="20"/>
                <w:color w:val="auto"/>
              </w:rPr>
            </w:pPr>
            <w:r>
              <w:rPr>
                <w:rFonts w:ascii="Times New Roman" w:cs="Times New Roman" w:eastAsia="Times New Roman" w:hAnsi="Times New Roman"/>
                <w:sz w:val="15"/>
                <w:szCs w:val="15"/>
                <w:color w:val="auto"/>
              </w:rPr>
              <w:t>Nautilus Master Fund, L.P</w:t>
            </w:r>
            <w:r>
              <w:rPr>
                <w:rFonts w:ascii="Times New Roman" w:cs="Times New Roman" w:eastAsia="Times New Roman" w:hAnsi="Times New Roman"/>
                <w:sz w:val="25"/>
                <w:szCs w:val="25"/>
                <w:color w:val="auto"/>
                <w:vertAlign w:val="superscript"/>
              </w:rPr>
              <w:t>209</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332,797</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332,797</w:t>
            </w:r>
          </w:p>
        </w:tc>
        <w:tc>
          <w:tcPr>
            <w:tcW w:w="740" w:type="dxa"/>
            <w:vAlign w:val="bottom"/>
            <w:gridSpan w:val="2"/>
          </w:tcPr>
          <w:p>
            <w:pPr>
              <w:jc w:val="center"/>
              <w:ind w:left="302"/>
              <w:spacing w:after="0"/>
              <w:rPr>
                <w:sz w:val="20"/>
                <w:szCs w:val="20"/>
                <w:color w:val="auto"/>
              </w:rPr>
            </w:pPr>
            <w:r>
              <w:rPr>
                <w:rFonts w:ascii="Times New Roman" w:cs="Times New Roman" w:eastAsia="Times New Roman" w:hAnsi="Times New Roman"/>
                <w:sz w:val="16"/>
                <w:szCs w:val="16"/>
                <w:color w:val="auto"/>
                <w:w w:val="96"/>
              </w:rPr>
              <w:t>2.1 %</w:t>
            </w:r>
          </w:p>
        </w:tc>
        <w:tc>
          <w:tcPr>
            <w:tcW w:w="0" w:type="dxa"/>
            <w:vAlign w:val="bottom"/>
          </w:tcPr>
          <w:p>
            <w:pPr>
              <w:spacing w:after="0"/>
              <w:rPr>
                <w:sz w:val="1"/>
                <w:szCs w:val="1"/>
                <w:color w:val="auto"/>
              </w:rPr>
            </w:pPr>
          </w:p>
        </w:tc>
      </w:tr>
      <w:tr>
        <w:trPr>
          <w:trHeight w:val="216"/>
        </w:trPr>
        <w:tc>
          <w:tcPr>
            <w:tcW w:w="30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Ocean Family Trust, LLC</w:t>
            </w:r>
            <w:r>
              <w:rPr>
                <w:rFonts w:ascii="Times New Roman" w:cs="Times New Roman" w:eastAsia="Times New Roman" w:hAnsi="Times New Roman"/>
                <w:sz w:val="25"/>
                <w:szCs w:val="25"/>
                <w:color w:val="auto"/>
                <w:vertAlign w:val="superscript"/>
              </w:rPr>
              <w:t>210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24,838</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center"/>
              <w:ind w:left="26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3020" w:type="dxa"/>
            <w:vAlign w:val="bottom"/>
            <w:gridSpan w:val="3"/>
          </w:tcPr>
          <w:p>
            <w:pPr>
              <w:spacing w:after="0" w:line="216" w:lineRule="exact"/>
              <w:rPr>
                <w:sz w:val="20"/>
                <w:szCs w:val="20"/>
                <w:color w:val="auto"/>
              </w:rPr>
            </w:pPr>
            <w:r>
              <w:rPr>
                <w:rFonts w:ascii="Times New Roman" w:cs="Times New Roman" w:eastAsia="Times New Roman" w:hAnsi="Times New Roman"/>
                <w:sz w:val="15"/>
                <w:szCs w:val="15"/>
                <w:color w:val="auto"/>
              </w:rPr>
              <w:t>Paula Hawkins</w:t>
            </w:r>
            <w:r>
              <w:rPr>
                <w:rFonts w:ascii="Times New Roman" w:cs="Times New Roman" w:eastAsia="Times New Roman" w:hAnsi="Times New Roman"/>
                <w:sz w:val="25"/>
                <w:szCs w:val="25"/>
                <w:color w:val="auto"/>
                <w:vertAlign w:val="superscript"/>
              </w:rPr>
              <w:t>211</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3,974</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3,974</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center"/>
              <w:ind w:left="26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30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Phyllis W. Newhouse</w:t>
            </w:r>
            <w:r>
              <w:rPr>
                <w:rFonts w:ascii="Times New Roman" w:cs="Times New Roman" w:eastAsia="Times New Roman" w:hAnsi="Times New Roman"/>
                <w:sz w:val="25"/>
                <w:szCs w:val="25"/>
                <w:color w:val="auto"/>
                <w:vertAlign w:val="superscript"/>
              </w:rPr>
              <w:t>212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1,023,314</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1,023,314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502,170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502,170</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center"/>
              <w:ind w:left="26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3020" w:type="dxa"/>
            <w:vAlign w:val="bottom"/>
            <w:gridSpan w:val="3"/>
          </w:tcPr>
          <w:p>
            <w:pPr>
              <w:spacing w:after="0" w:line="216" w:lineRule="exact"/>
              <w:rPr>
                <w:sz w:val="20"/>
                <w:szCs w:val="20"/>
                <w:color w:val="auto"/>
              </w:rPr>
            </w:pPr>
            <w:r>
              <w:rPr>
                <w:rFonts w:ascii="Times New Roman" w:cs="Times New Roman" w:eastAsia="Times New Roman" w:hAnsi="Times New Roman"/>
                <w:sz w:val="15"/>
                <w:szCs w:val="15"/>
                <w:color w:val="auto"/>
              </w:rPr>
              <w:t>Primetime Investment Group, LLC</w:t>
            </w:r>
            <w:r>
              <w:rPr>
                <w:rFonts w:ascii="Times New Roman" w:cs="Times New Roman" w:eastAsia="Times New Roman" w:hAnsi="Times New Roman"/>
                <w:sz w:val="25"/>
                <w:szCs w:val="25"/>
                <w:color w:val="auto"/>
                <w:vertAlign w:val="superscript"/>
              </w:rPr>
              <w:t>213</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165,463</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165,463</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center"/>
              <w:ind w:left="26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30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Project JB LLC</w:t>
            </w:r>
            <w:r>
              <w:rPr>
                <w:rFonts w:ascii="Times New Roman" w:cs="Times New Roman" w:eastAsia="Times New Roman" w:hAnsi="Times New Roman"/>
                <w:sz w:val="25"/>
                <w:szCs w:val="25"/>
                <w:color w:val="auto"/>
                <w:vertAlign w:val="superscript"/>
              </w:rPr>
              <w:t>214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20,626</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center"/>
              <w:ind w:left="26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3020" w:type="dxa"/>
            <w:vAlign w:val="bottom"/>
            <w:gridSpan w:val="3"/>
          </w:tcPr>
          <w:p>
            <w:pPr>
              <w:spacing w:after="0" w:line="216" w:lineRule="exact"/>
              <w:rPr>
                <w:sz w:val="20"/>
                <w:szCs w:val="20"/>
                <w:color w:val="auto"/>
              </w:rPr>
            </w:pPr>
            <w:r>
              <w:rPr>
                <w:rFonts w:ascii="Times New Roman" w:cs="Times New Roman" w:eastAsia="Times New Roman" w:hAnsi="Times New Roman"/>
                <w:sz w:val="15"/>
                <w:szCs w:val="15"/>
                <w:color w:val="auto"/>
              </w:rPr>
              <w:t>Radcliffe SPAC Master Fund, L.P.</w:t>
            </w:r>
            <w:r>
              <w:rPr>
                <w:rFonts w:ascii="Times New Roman" w:cs="Times New Roman" w:eastAsia="Times New Roman" w:hAnsi="Times New Roman"/>
                <w:sz w:val="25"/>
                <w:szCs w:val="25"/>
                <w:color w:val="auto"/>
                <w:vertAlign w:val="superscript"/>
              </w:rPr>
              <w:t>215</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center"/>
              <w:ind w:left="26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30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Rashaun Williams</w:t>
            </w:r>
            <w:r>
              <w:rPr>
                <w:rFonts w:ascii="Times New Roman" w:cs="Times New Roman" w:eastAsia="Times New Roman" w:hAnsi="Times New Roman"/>
                <w:sz w:val="25"/>
                <w:szCs w:val="25"/>
                <w:color w:val="auto"/>
                <w:vertAlign w:val="superscript"/>
              </w:rPr>
              <w:t>216</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406,252</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406,252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center"/>
              <w:ind w:left="26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3020" w:type="dxa"/>
            <w:vAlign w:val="bottom"/>
            <w:gridSpan w:val="3"/>
          </w:tcPr>
          <w:p>
            <w:pPr>
              <w:spacing w:after="0" w:line="216" w:lineRule="exact"/>
              <w:rPr>
                <w:sz w:val="20"/>
                <w:szCs w:val="20"/>
                <w:color w:val="auto"/>
              </w:rPr>
            </w:pPr>
            <w:r>
              <w:rPr>
                <w:rFonts w:ascii="Times New Roman" w:cs="Times New Roman" w:eastAsia="Times New Roman" w:hAnsi="Times New Roman"/>
                <w:sz w:val="15"/>
                <w:szCs w:val="15"/>
                <w:color w:val="auto"/>
              </w:rPr>
              <w:t>Ray Caron</w:t>
            </w:r>
            <w:r>
              <w:rPr>
                <w:rFonts w:ascii="Times New Roman" w:cs="Times New Roman" w:eastAsia="Times New Roman" w:hAnsi="Times New Roman"/>
                <w:sz w:val="25"/>
                <w:szCs w:val="25"/>
                <w:color w:val="auto"/>
                <w:vertAlign w:val="superscript"/>
              </w:rPr>
              <w:t>217</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49,675</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49,675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center"/>
              <w:ind w:left="26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30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Rivernorth SPAC Arbitrage Fund, LP</w:t>
            </w:r>
            <w:r>
              <w:rPr>
                <w:rFonts w:ascii="Times New Roman" w:cs="Times New Roman" w:eastAsia="Times New Roman" w:hAnsi="Times New Roman"/>
                <w:sz w:val="25"/>
                <w:szCs w:val="25"/>
                <w:color w:val="auto"/>
                <w:vertAlign w:val="superscript"/>
              </w:rPr>
              <w:t>218</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106,667</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106,667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center"/>
              <w:ind w:left="26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48"/>
        </w:trPr>
        <w:tc>
          <w:tcPr>
            <w:tcW w:w="3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Romonda Jordan</w:t>
            </w:r>
            <w:r>
              <w:rPr>
                <w:rFonts w:ascii="Times New Roman" w:cs="Times New Roman" w:eastAsia="Times New Roman" w:hAnsi="Times New Roman"/>
                <w:sz w:val="26"/>
                <w:szCs w:val="26"/>
                <w:color w:val="auto"/>
                <w:vertAlign w:val="superscript"/>
              </w:rPr>
              <w:t>219</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200,000</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center"/>
              <w:ind w:left="26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
        </w:trPr>
        <w:tc>
          <w:tcPr>
            <w:tcW w:w="2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40" w:orient="portrait"/>
          <w:cols w:equalWidth="0" w:num="1">
            <w:col w:w="10600"/>
          </w:cols>
          <w:pgMar w:left="660" w:top="555" w:right="640" w:bottom="413" w:gutter="0" w:footer="0" w:header="0"/>
        </w:sectPr>
      </w:pPr>
    </w:p>
    <w:bookmarkStart w:id="67" w:name="page68"/>
    <w:bookmarkEnd w:id="67"/>
    <w:p>
      <w:pPr>
        <w:jc w:val="both"/>
        <w:ind w:left="300" w:right="20" w:hanging="294"/>
        <w:spacing w:after="0" w:line="209" w:lineRule="auto"/>
        <w:tabs>
          <w:tab w:leader="none" w:pos="300" w:val="left"/>
        </w:tabs>
        <w:numPr>
          <w:ilvl w:val="0"/>
          <w:numId w:val="7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MMF LT, LLC. 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 The address of the principal business office of MMF LT, LLC is 11 Times Square, 37th Floor, New York, NY 10036.</w:t>
      </w:r>
    </w:p>
    <w:p>
      <w:pPr>
        <w:spacing w:after="0" w:line="159" w:lineRule="exact"/>
        <w:rPr>
          <w:rFonts w:ascii="Times New Roman" w:cs="Times New Roman" w:eastAsia="Times New Roman" w:hAnsi="Times New Roman"/>
          <w:sz w:val="26"/>
          <w:szCs w:val="26"/>
          <w:color w:val="auto"/>
          <w:vertAlign w:val="superscript"/>
        </w:rPr>
      </w:pPr>
    </w:p>
    <w:p>
      <w:pPr>
        <w:jc w:val="both"/>
        <w:ind w:left="300" w:hanging="294"/>
        <w:spacing w:after="0" w:line="214" w:lineRule="auto"/>
        <w:tabs>
          <w:tab w:leader="none" w:pos="300" w:val="left"/>
        </w:tabs>
        <w:numPr>
          <w:ilvl w:val="0"/>
          <w:numId w:val="7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Nautilus Master Fund, L.P., (“Nautilus”). Voting and investment power over the interests by Nautilus resides with its investment manager, Periscope Capital Inc. Jamie Wise is the Chief Executive Office of Persicope Capital Inc. and may be deemed to be the beneficial owner of the interests held by Nautilus. Jamie Wise and Persicope Capital Inc., however, disclaim any beneficial ownership of the interests held by Nautilus. The address of the foregoing individual and entities is c/o 333 Bay Street, Suite 1240, Toronto, ON, M5H 2R2. The address of the principal business office of Nautilus Master Fund, L.P., c/o Periscope Capital, Inc. is Bay Adelaide Centre, 33 Bay St., Suite 1240, Toronto, ON M5H 2R2.</w:t>
      </w:r>
    </w:p>
    <w:p>
      <w:pPr>
        <w:spacing w:after="0" w:line="133" w:lineRule="exact"/>
        <w:rPr>
          <w:rFonts w:ascii="Times New Roman" w:cs="Times New Roman" w:eastAsia="Times New Roman" w:hAnsi="Times New Roman"/>
          <w:sz w:val="26"/>
          <w:szCs w:val="26"/>
          <w:color w:val="auto"/>
          <w:vertAlign w:val="superscript"/>
        </w:rPr>
      </w:pPr>
    </w:p>
    <w:p>
      <w:pPr>
        <w:jc w:val="both"/>
        <w:ind w:left="300" w:right="20" w:hanging="294"/>
        <w:spacing w:after="0" w:line="202" w:lineRule="auto"/>
        <w:tabs>
          <w:tab w:leader="none" w:pos="300" w:val="left"/>
        </w:tabs>
        <w:numPr>
          <w:ilvl w:val="0"/>
          <w:numId w:val="7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Ocean Family Trust, LLC. Mark Griswell is the sole member of Ocean Family Trust, LLC and has voting and investment control of the shares held by Ocean Family Trust, LLC. The address of the principal business office of Ocean Family Trust, LLC, Mark Griswell is 861 Wayland Ct., Smyrna, GA 30080.</w:t>
      </w:r>
    </w:p>
    <w:p>
      <w:pPr>
        <w:spacing w:after="0" w:line="38"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7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Paula Hawkins. The address of the principal business office of Paula Hawkins is 2904 Lennox Rd, Conyers, GA 30094.</w:t>
      </w:r>
    </w:p>
    <w:p>
      <w:pPr>
        <w:spacing w:after="0" w:line="146" w:lineRule="exact"/>
        <w:rPr>
          <w:rFonts w:ascii="Times New Roman" w:cs="Times New Roman" w:eastAsia="Times New Roman" w:hAnsi="Times New Roman"/>
          <w:sz w:val="26"/>
          <w:szCs w:val="26"/>
          <w:color w:val="auto"/>
          <w:vertAlign w:val="superscript"/>
        </w:rPr>
      </w:pPr>
    </w:p>
    <w:p>
      <w:pPr>
        <w:ind w:left="300" w:right="20" w:hanging="294"/>
        <w:spacing w:after="0" w:line="183" w:lineRule="auto"/>
        <w:tabs>
          <w:tab w:leader="none" w:pos="300" w:val="left"/>
        </w:tabs>
        <w:numPr>
          <w:ilvl w:val="0"/>
          <w:numId w:val="7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Phyllis W. Newhouse. Ms. Newhouse is a director of the Company. The address of the principal business office of Phyllis W. Newhouse is 2291 Loring Oak PL NW, Marietta, GA 30064.</w:t>
      </w:r>
    </w:p>
    <w:p>
      <w:pPr>
        <w:spacing w:after="0" w:line="134" w:lineRule="exact"/>
        <w:rPr>
          <w:rFonts w:ascii="Times New Roman" w:cs="Times New Roman" w:eastAsia="Times New Roman" w:hAnsi="Times New Roman"/>
          <w:sz w:val="26"/>
          <w:szCs w:val="26"/>
          <w:color w:val="auto"/>
          <w:vertAlign w:val="superscript"/>
        </w:rPr>
      </w:pPr>
    </w:p>
    <w:p>
      <w:pPr>
        <w:jc w:val="both"/>
        <w:ind w:left="300" w:hanging="294"/>
        <w:spacing w:after="0" w:line="202" w:lineRule="auto"/>
        <w:tabs>
          <w:tab w:leader="none" w:pos="300" w:val="left"/>
        </w:tabs>
        <w:numPr>
          <w:ilvl w:val="0"/>
          <w:numId w:val="7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Primetime Investment Group, LLC. Ezekiel V. Newhouse is the sole member of Primetime Investment Group, LLC and has voting and investment control of the shares held by Primetime Investments Group, LLC. The address of the principal business office of Primetime Investment Group, LLC is 2129 Lamberton Ln, Kennesaw, GA 30152.</w:t>
      </w:r>
    </w:p>
    <w:p>
      <w:pPr>
        <w:spacing w:after="0" w:line="134" w:lineRule="exact"/>
        <w:rPr>
          <w:rFonts w:ascii="Times New Roman" w:cs="Times New Roman" w:eastAsia="Times New Roman" w:hAnsi="Times New Roman"/>
          <w:sz w:val="26"/>
          <w:szCs w:val="26"/>
          <w:color w:val="auto"/>
          <w:vertAlign w:val="superscript"/>
        </w:rPr>
      </w:pPr>
    </w:p>
    <w:p>
      <w:pPr>
        <w:ind w:left="300" w:right="20" w:hanging="294"/>
        <w:spacing w:after="0" w:line="190" w:lineRule="auto"/>
        <w:tabs>
          <w:tab w:leader="none" w:pos="300" w:val="left"/>
        </w:tabs>
        <w:numPr>
          <w:ilvl w:val="0"/>
          <w:numId w:val="7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Project JB LLC. Chenxi Wang is the sole member of Project JB, LLC and has voting and investment control of the shares held by Project JB, LLC. The address of the principal business office of Project JB LLC, Chenxi Wang is 24 Jordan Avenue, Los Altos, CA 94022.</w:t>
      </w:r>
    </w:p>
    <w:p>
      <w:pPr>
        <w:spacing w:after="0" w:line="133" w:lineRule="exact"/>
        <w:rPr>
          <w:rFonts w:ascii="Times New Roman" w:cs="Times New Roman" w:eastAsia="Times New Roman" w:hAnsi="Times New Roman"/>
          <w:sz w:val="26"/>
          <w:szCs w:val="26"/>
          <w:color w:val="auto"/>
          <w:vertAlign w:val="superscript"/>
        </w:rPr>
      </w:pPr>
    </w:p>
    <w:p>
      <w:pPr>
        <w:jc w:val="both"/>
        <w:ind w:left="300" w:hanging="294"/>
        <w:spacing w:after="0" w:line="214" w:lineRule="auto"/>
        <w:tabs>
          <w:tab w:leader="none" w:pos="300" w:val="left"/>
        </w:tabs>
        <w:numPr>
          <w:ilvl w:val="0"/>
          <w:numId w:val="7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Radcliffe SPAC Master Fund, L.P. (the “Master Fund”). Pursuant to an investment management agreement, Radcliffe Capital Management, L.P. (“RCM”) serves as the investment manager of the Master Fund. RGC Management Company, LLC (“Management”) is the general partner of RCM. Steve Katznelson and Christopher Hinkel serve as managing members of Management. Each of the parties in this footnote disclaims any beneficial ownership of the reported shares other than to the extent of any pecuniary interest the party may have therein. The address of the principal business office of Radcliffe SPAC Master Fund, L.P., c/o Radcliffe Capital Management, LP is 50 Monument Road, Suite 300, Bala Cynwyd, PA 19004.</w:t>
      </w:r>
    </w:p>
    <w:p>
      <w:pPr>
        <w:spacing w:after="0" w:line="133" w:lineRule="exact"/>
        <w:rPr>
          <w:rFonts w:ascii="Times New Roman" w:cs="Times New Roman" w:eastAsia="Times New Roman" w:hAnsi="Times New Roman"/>
          <w:sz w:val="26"/>
          <w:szCs w:val="26"/>
          <w:color w:val="auto"/>
          <w:vertAlign w:val="superscript"/>
        </w:rPr>
      </w:pPr>
    </w:p>
    <w:p>
      <w:pPr>
        <w:ind w:left="300" w:right="20" w:hanging="294"/>
        <w:spacing w:after="0" w:line="190" w:lineRule="auto"/>
        <w:tabs>
          <w:tab w:leader="none" w:pos="300" w:val="left"/>
        </w:tabs>
        <w:numPr>
          <w:ilvl w:val="0"/>
          <w:numId w:val="7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Rashaun Williams. The address of the principal business office of Rashaun Williams is 505 N. Lake Shore Dr. #3810-11, Chicago, IL 60611.</w:t>
      </w:r>
    </w:p>
    <w:p>
      <w:pPr>
        <w:spacing w:after="0" w:line="37"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7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Ray Caron. The address of the principal business office of Ray Caron is 14 Marina Ct, Newnan, GA 30263.</w:t>
      </w:r>
    </w:p>
    <w:p>
      <w:pPr>
        <w:spacing w:after="0" w:line="146" w:lineRule="exact"/>
        <w:rPr>
          <w:rFonts w:ascii="Times New Roman" w:cs="Times New Roman" w:eastAsia="Times New Roman" w:hAnsi="Times New Roman"/>
          <w:sz w:val="26"/>
          <w:szCs w:val="26"/>
          <w:color w:val="auto"/>
          <w:vertAlign w:val="superscript"/>
        </w:rPr>
      </w:pPr>
    </w:p>
    <w:p>
      <w:pPr>
        <w:ind w:left="300" w:right="20" w:hanging="294"/>
        <w:spacing w:after="0" w:line="183" w:lineRule="auto"/>
        <w:tabs>
          <w:tab w:leader="none" w:pos="300" w:val="left"/>
        </w:tabs>
        <w:numPr>
          <w:ilvl w:val="0"/>
          <w:numId w:val="7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Rivernorth SPAC Arbitrage Fund, LP. The address of the principal business office of Rivernorth SPAC Arbitrage Fund, LP is 360 South Rosemary Ave, Suite 1420, West Palm Beach, FL 33401.</w:t>
      </w:r>
    </w:p>
    <w:p>
      <w:pPr>
        <w:spacing w:after="0" w:line="134" w:lineRule="exact"/>
        <w:rPr>
          <w:rFonts w:ascii="Times New Roman" w:cs="Times New Roman" w:eastAsia="Times New Roman" w:hAnsi="Times New Roman"/>
          <w:sz w:val="26"/>
          <w:szCs w:val="26"/>
          <w:color w:val="auto"/>
          <w:vertAlign w:val="superscript"/>
        </w:rPr>
      </w:pPr>
    </w:p>
    <w:p>
      <w:pPr>
        <w:ind w:left="300" w:right="40" w:hanging="294"/>
        <w:spacing w:after="0" w:line="190" w:lineRule="auto"/>
        <w:tabs>
          <w:tab w:leader="none" w:pos="300" w:val="left"/>
        </w:tabs>
        <w:numPr>
          <w:ilvl w:val="0"/>
          <w:numId w:val="7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Romonda Jordan. The address of the principal business office of Romonda Jordan is 22197 Windy Pine Ct., Broadlands, VA 20148.</w:t>
      </w:r>
    </w:p>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gridSpan w:val="5"/>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gridSpan w:val="9"/>
          </w:tcPr>
          <w:p>
            <w:pPr>
              <w:ind w:left="460"/>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r>
      <w:tr>
        <w:trPr>
          <w:trHeight w:val="165"/>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top w:val="single" w:sz="8" w:color="auto"/>
            </w:tcBorders>
            <w:gridSpan w:val="2"/>
          </w:tcPr>
          <w:p>
            <w:pPr>
              <w:jc w:val="center"/>
              <w:ind w:right="60"/>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00" w:type="dxa"/>
            <w:vAlign w:val="bottom"/>
          </w:tcPr>
          <w:p>
            <w:pPr>
              <w:spacing w:after="0"/>
              <w:rPr>
                <w:sz w:val="15"/>
                <w:szCs w:val="15"/>
                <w:color w:val="auto"/>
              </w:rPr>
            </w:pPr>
          </w:p>
        </w:tc>
        <w:tc>
          <w:tcPr>
            <w:tcW w:w="100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8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Beneficially</w:t>
            </w:r>
          </w:p>
        </w:tc>
        <w:tc>
          <w:tcPr>
            <w:tcW w:w="180" w:type="dxa"/>
            <w:vAlign w:val="bottom"/>
          </w:tcPr>
          <w:p>
            <w:pPr>
              <w:spacing w:after="0"/>
              <w:rPr>
                <w:sz w:val="15"/>
                <w:szCs w:val="15"/>
                <w:color w:val="auto"/>
              </w:rPr>
            </w:pPr>
          </w:p>
        </w:tc>
        <w:tc>
          <w:tcPr>
            <w:tcW w:w="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2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4"/>
              </w:rPr>
              <w:t>Beneficially</w:t>
            </w:r>
          </w:p>
        </w:tc>
        <w:tc>
          <w:tcPr>
            <w:tcW w:w="180" w:type="dxa"/>
            <w:vAlign w:val="bottom"/>
          </w:tcPr>
          <w:p>
            <w:pPr>
              <w:spacing w:after="0"/>
              <w:rPr>
                <w:sz w:val="15"/>
                <w:szCs w:val="15"/>
                <w:color w:val="auto"/>
              </w:rPr>
            </w:pPr>
          </w:p>
        </w:tc>
        <w:tc>
          <w:tcPr>
            <w:tcW w:w="80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8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Beneficially</w:t>
            </w:r>
          </w:p>
        </w:tc>
        <w:tc>
          <w:tcPr>
            <w:tcW w:w="200" w:type="dxa"/>
            <w:vAlign w:val="bottom"/>
          </w:tcPr>
          <w:p>
            <w:pPr>
              <w:spacing w:after="0"/>
              <w:rPr>
                <w:sz w:val="15"/>
                <w:szCs w:val="15"/>
                <w:color w:val="auto"/>
              </w:rPr>
            </w:pPr>
          </w:p>
        </w:tc>
        <w:tc>
          <w:tcPr>
            <w:tcW w:w="7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5"/>
              </w:rPr>
              <w:t>Percent</w:t>
            </w:r>
          </w:p>
        </w:tc>
      </w:tr>
      <w:tr>
        <w:trPr>
          <w:trHeight w:val="180"/>
        </w:trPr>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00" w:type="dxa"/>
            <w:vAlign w:val="bottom"/>
          </w:tcPr>
          <w:p>
            <w:pPr>
              <w:spacing w:after="0"/>
              <w:rPr>
                <w:sz w:val="15"/>
                <w:szCs w:val="15"/>
                <w:color w:val="auto"/>
              </w:rPr>
            </w:pPr>
          </w:p>
        </w:tc>
        <w:tc>
          <w:tcPr>
            <w:tcW w:w="100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6"/>
              </w:rPr>
              <w:t>Registered</w:t>
            </w:r>
          </w:p>
        </w:tc>
        <w:tc>
          <w:tcPr>
            <w:tcW w:w="1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80" w:type="dxa"/>
            <w:vAlign w:val="bottom"/>
          </w:tcPr>
          <w:p>
            <w:pPr>
              <w:spacing w:after="0"/>
              <w:rPr>
                <w:sz w:val="15"/>
                <w:szCs w:val="15"/>
                <w:color w:val="auto"/>
              </w:rPr>
            </w:pPr>
          </w:p>
        </w:tc>
        <w:tc>
          <w:tcPr>
            <w:tcW w:w="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98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Registered</w:t>
            </w:r>
          </w:p>
        </w:tc>
        <w:tc>
          <w:tcPr>
            <w:tcW w:w="1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7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r>
      <w:tr>
        <w:trPr>
          <w:trHeight w:val="180"/>
        </w:trPr>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6"/>
              </w:rPr>
              <w:t>Prior to</w:t>
            </w:r>
          </w:p>
        </w:tc>
        <w:tc>
          <w:tcPr>
            <w:tcW w:w="100" w:type="dxa"/>
            <w:vAlign w:val="bottom"/>
          </w:tcPr>
          <w:p>
            <w:pPr>
              <w:spacing w:after="0"/>
              <w:rPr>
                <w:sz w:val="15"/>
                <w:szCs w:val="15"/>
                <w:color w:val="auto"/>
              </w:rPr>
            </w:pPr>
          </w:p>
        </w:tc>
        <w:tc>
          <w:tcPr>
            <w:tcW w:w="100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4"/>
              </w:rPr>
              <w:t>for Sale</w:t>
            </w:r>
          </w:p>
        </w:tc>
        <w:tc>
          <w:tcPr>
            <w:tcW w:w="1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After</w:t>
            </w:r>
          </w:p>
        </w:tc>
        <w:tc>
          <w:tcPr>
            <w:tcW w:w="180" w:type="dxa"/>
            <w:vAlign w:val="bottom"/>
          </w:tcPr>
          <w:p>
            <w:pPr>
              <w:spacing w:after="0"/>
              <w:rPr>
                <w:sz w:val="15"/>
                <w:szCs w:val="15"/>
                <w:color w:val="auto"/>
              </w:rPr>
            </w:pPr>
          </w:p>
        </w:tc>
        <w:tc>
          <w:tcPr>
            <w:tcW w:w="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After</w:t>
            </w:r>
          </w:p>
        </w:tc>
        <w:tc>
          <w:tcPr>
            <w:tcW w:w="2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Prior to</w:t>
            </w:r>
          </w:p>
        </w:tc>
        <w:tc>
          <w:tcPr>
            <w:tcW w:w="180" w:type="dxa"/>
            <w:vAlign w:val="bottom"/>
          </w:tcPr>
          <w:p>
            <w:pPr>
              <w:spacing w:after="0"/>
              <w:rPr>
                <w:sz w:val="15"/>
                <w:szCs w:val="15"/>
                <w:color w:val="auto"/>
              </w:rPr>
            </w:pPr>
          </w:p>
        </w:tc>
        <w:tc>
          <w:tcPr>
            <w:tcW w:w="80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for Sale</w:t>
            </w:r>
          </w:p>
        </w:tc>
        <w:tc>
          <w:tcPr>
            <w:tcW w:w="1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3"/>
              </w:rPr>
              <w:t>After</w:t>
            </w:r>
          </w:p>
        </w:tc>
        <w:tc>
          <w:tcPr>
            <w:tcW w:w="200" w:type="dxa"/>
            <w:vAlign w:val="bottom"/>
          </w:tcPr>
          <w:p>
            <w:pPr>
              <w:spacing w:after="0"/>
              <w:rPr>
                <w:sz w:val="15"/>
                <w:szCs w:val="15"/>
                <w:color w:val="auto"/>
              </w:rPr>
            </w:pPr>
          </w:p>
        </w:tc>
        <w:tc>
          <w:tcPr>
            <w:tcW w:w="7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3"/>
              </w:rPr>
              <w:t>After</w:t>
            </w:r>
          </w:p>
        </w:tc>
      </w:tr>
      <w:tr>
        <w:trPr>
          <w:trHeight w:val="199"/>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Selling Securityholder</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Hereby</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Hereby</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2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0" w:type="dxa"/>
            <w:vAlign w:val="bottom"/>
            <w:tcBorders>
              <w:bottom w:val="single" w:sz="8" w:color="CCEEFF"/>
            </w:tcBorders>
          </w:tcPr>
          <w:p>
            <w:pPr>
              <w:spacing w:after="0"/>
              <w:rPr>
                <w:sz w:val="17"/>
                <w:szCs w:val="17"/>
                <w:color w:val="auto"/>
              </w:rPr>
            </w:pP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Roxanna Aguillard</w:t>
            </w:r>
            <w:r>
              <w:rPr>
                <w:rFonts w:ascii="Times New Roman" w:cs="Times New Roman" w:eastAsia="Times New Roman" w:hAnsi="Times New Roman"/>
                <w:sz w:val="25"/>
                <w:szCs w:val="25"/>
                <w:color w:val="auto"/>
                <w:vertAlign w:val="superscript"/>
              </w:rPr>
              <w:t>220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2,981</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2,981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Shawn Henry</w:t>
            </w:r>
            <w:r>
              <w:rPr>
                <w:rFonts w:ascii="Times New Roman" w:cs="Times New Roman" w:eastAsia="Times New Roman" w:hAnsi="Times New Roman"/>
                <w:sz w:val="25"/>
                <w:szCs w:val="25"/>
                <w:color w:val="auto"/>
                <w:vertAlign w:val="superscript"/>
              </w:rPr>
              <w:t>221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30,937</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30,937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ShoulderUp 2021 Trust</w:t>
            </w:r>
            <w:r>
              <w:rPr>
                <w:rFonts w:ascii="Times New Roman" w:cs="Times New Roman" w:eastAsia="Times New Roman" w:hAnsi="Times New Roman"/>
                <w:sz w:val="25"/>
                <w:szCs w:val="25"/>
                <w:color w:val="auto"/>
                <w:vertAlign w:val="superscript"/>
              </w:rPr>
              <w:t>222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2,154,416</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2,154,416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Sierra Hotel Enterprise LLC</w:t>
            </w:r>
            <w:r>
              <w:rPr>
                <w:rFonts w:ascii="Times New Roman" w:cs="Times New Roman" w:eastAsia="Times New Roman" w:hAnsi="Times New Roman"/>
                <w:sz w:val="25"/>
                <w:szCs w:val="25"/>
                <w:color w:val="auto"/>
                <w:vertAlign w:val="superscript"/>
              </w:rPr>
              <w:t>223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19,869</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Stacey Berns</w:t>
            </w:r>
            <w:r>
              <w:rPr>
                <w:rFonts w:ascii="Times New Roman" w:cs="Times New Roman" w:eastAsia="Times New Roman" w:hAnsi="Times New Roman"/>
                <w:sz w:val="25"/>
                <w:szCs w:val="25"/>
                <w:color w:val="auto"/>
                <w:vertAlign w:val="superscript"/>
              </w:rPr>
              <w:t>224</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5,156</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5,156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Steve Eskenazi</w:t>
            </w:r>
            <w:r>
              <w:rPr>
                <w:rFonts w:ascii="Times New Roman" w:cs="Times New Roman" w:eastAsia="Times New Roman" w:hAnsi="Times New Roman"/>
                <w:sz w:val="25"/>
                <w:szCs w:val="25"/>
                <w:color w:val="auto"/>
                <w:vertAlign w:val="superscript"/>
              </w:rPr>
              <w:t>225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12,891</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Tauheed Epps</w:t>
            </w:r>
            <w:r>
              <w:rPr>
                <w:rFonts w:ascii="Times New Roman" w:cs="Times New Roman" w:eastAsia="Times New Roman" w:hAnsi="Times New Roman"/>
                <w:sz w:val="25"/>
                <w:szCs w:val="25"/>
                <w:color w:val="auto"/>
                <w:vertAlign w:val="superscript"/>
              </w:rPr>
              <w:t>226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51,563</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Tenor Opportunity Master Fund, Ltd.</w:t>
            </w:r>
            <w:r>
              <w:rPr>
                <w:rFonts w:ascii="Times New Roman" w:cs="Times New Roman" w:eastAsia="Times New Roman" w:hAnsi="Times New Roman"/>
                <w:sz w:val="25"/>
                <w:szCs w:val="25"/>
                <w:color w:val="auto"/>
                <w:vertAlign w:val="superscript"/>
              </w:rPr>
              <w:t>227</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168"/>
        </w:trPr>
        <w:tc>
          <w:tcPr>
            <w:tcW w:w="302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The Newhouse Family 2016 Revocable</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28"/>
        </w:trPr>
        <w:tc>
          <w:tcPr>
            <w:tcW w:w="302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Trust</w:t>
            </w:r>
            <w:r>
              <w:rPr>
                <w:rFonts w:ascii="Times New Roman" w:cs="Times New Roman" w:eastAsia="Times New Roman" w:hAnsi="Times New Roman"/>
                <w:sz w:val="26"/>
                <w:szCs w:val="26"/>
                <w:color w:val="auto"/>
                <w:vertAlign w:val="superscript"/>
              </w:rPr>
              <w:t>228</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4,968</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4,968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The Salman Rehmetullah Revocable Trust</w:t>
            </w:r>
            <w:r>
              <w:rPr>
                <w:rFonts w:ascii="Times New Roman" w:cs="Times New Roman" w:eastAsia="Times New Roman" w:hAnsi="Times New Roman"/>
                <w:sz w:val="25"/>
                <w:szCs w:val="25"/>
                <w:color w:val="auto"/>
                <w:vertAlign w:val="superscript"/>
              </w:rPr>
              <w:t>229</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7,452</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7,452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168"/>
        </w:trPr>
        <w:tc>
          <w:tcPr>
            <w:tcW w:w="302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The Vincent Raymond Stewart and Phyllis</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28"/>
        </w:trPr>
        <w:tc>
          <w:tcPr>
            <w:tcW w:w="302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Lea Stewart Living Trust</w:t>
            </w:r>
            <w:r>
              <w:rPr>
                <w:rFonts w:ascii="Times New Roman" w:cs="Times New Roman" w:eastAsia="Times New Roman" w:hAnsi="Times New Roman"/>
                <w:sz w:val="26"/>
                <w:szCs w:val="26"/>
                <w:color w:val="auto"/>
                <w:vertAlign w:val="superscript"/>
              </w:rPr>
              <w:t>230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25,781</w:t>
            </w:r>
          </w:p>
        </w:tc>
        <w:tc>
          <w:tcPr>
            <w:tcW w:w="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144780</wp:posOffset>
            </wp:positionV>
            <wp:extent cx="167703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77035" cy="15240"/>
                    </a:xfrm>
                    <a:prstGeom prst="rect">
                      <a:avLst/>
                    </a:prstGeom>
                    <a:noFill/>
                  </pic:spPr>
                </pic:pic>
              </a:graphicData>
            </a:graphic>
          </wp:anchor>
        </w:drawing>
      </w:r>
    </w:p>
    <w:p>
      <w:pPr>
        <w:spacing w:after="0" w:line="243" w:lineRule="exact"/>
        <w:rPr>
          <w:sz w:val="20"/>
          <w:szCs w:val="20"/>
          <w:color w:val="auto"/>
        </w:rPr>
      </w:pPr>
    </w:p>
    <w:p>
      <w:pPr>
        <w:ind w:left="300" w:right="20" w:hanging="294"/>
        <w:spacing w:after="0" w:line="190" w:lineRule="auto"/>
        <w:tabs>
          <w:tab w:leader="none" w:pos="300" w:val="left"/>
        </w:tabs>
        <w:numPr>
          <w:ilvl w:val="0"/>
          <w:numId w:val="7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Roxanna Aguillard. The address of the principal business office of Roxanna Aguillard is 504 Bruin Court, Stockbridge, GA 30281.</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7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Shawn Henry. The address of the principal business office of Shawn Henry is 605 S. Gulfstream Ave, Sarasota, FL 34236.</w:t>
      </w:r>
    </w:p>
    <w:p>
      <w:pPr>
        <w:spacing w:after="0" w:line="157" w:lineRule="exact"/>
        <w:rPr>
          <w:rFonts w:ascii="Times New Roman" w:cs="Times New Roman" w:eastAsia="Times New Roman" w:hAnsi="Times New Roman"/>
          <w:sz w:val="26"/>
          <w:szCs w:val="26"/>
          <w:color w:val="auto"/>
          <w:vertAlign w:val="superscript"/>
        </w:rPr>
      </w:pPr>
    </w:p>
    <w:p>
      <w:pPr>
        <w:jc w:val="both"/>
        <w:ind w:left="300" w:hanging="294"/>
        <w:spacing w:after="0" w:line="199" w:lineRule="auto"/>
        <w:tabs>
          <w:tab w:leader="none" w:pos="300" w:val="left"/>
        </w:tabs>
        <w:numPr>
          <w:ilvl w:val="0"/>
          <w:numId w:val="7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shares directly held by ShoulderUp 2021 Trust. Phyllis W. Newhouse is the Trustee of ShoulderUp 2021 Trust and has voting and investment control of the shares held by ShoulderUp 2021 Trust. The address of the principal business office of ShoulderUp 2021 Trust is 2291 Loring Oak PL NW, Marietta, GA 30064.</w:t>
      </w:r>
    </w:p>
    <w:p>
      <w:pPr>
        <w:spacing w:after="0" w:line="158" w:lineRule="exact"/>
        <w:rPr>
          <w:rFonts w:ascii="Times New Roman" w:cs="Times New Roman" w:eastAsia="Times New Roman" w:hAnsi="Times New Roman"/>
          <w:sz w:val="25"/>
          <w:szCs w:val="25"/>
          <w:color w:val="auto"/>
          <w:vertAlign w:val="superscript"/>
        </w:rPr>
      </w:pPr>
    </w:p>
    <w:p>
      <w:pPr>
        <w:jc w:val="both"/>
        <w:ind w:left="300" w:hanging="294"/>
        <w:spacing w:after="0" w:line="202" w:lineRule="auto"/>
        <w:tabs>
          <w:tab w:leader="none" w:pos="300" w:val="left"/>
        </w:tabs>
        <w:numPr>
          <w:ilvl w:val="0"/>
          <w:numId w:val="7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Sierra Hotel Enterprise LLC. Greice Murphy is the sole member of Sierra Hotell Enterprise, LLC and has voting and investment control of the shares held by Sierra Hotel Enterprise, LLC. The address of the principal business office of Sierra Hotel Enterprise LLC, Greice Murphy is 9200 SW 71st Avenue, Pinecrest, FL 33156.</w:t>
      </w:r>
    </w:p>
    <w:p>
      <w:pPr>
        <w:spacing w:after="0" w:line="74"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7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shares directly held by Stacey Berns. The address of the principal business office of Stacey Berns is 101 Warren St., Apt. 820, New York, NY 10007.</w:t>
      </w:r>
    </w:p>
    <w:p>
      <w:pPr>
        <w:spacing w:after="0" w:line="146" w:lineRule="exact"/>
        <w:rPr>
          <w:rFonts w:ascii="Times New Roman" w:cs="Times New Roman" w:eastAsia="Times New Roman" w:hAnsi="Times New Roman"/>
          <w:sz w:val="25"/>
          <w:szCs w:val="25"/>
          <w:color w:val="auto"/>
          <w:vertAlign w:val="superscript"/>
        </w:rPr>
      </w:pPr>
    </w:p>
    <w:p>
      <w:pPr>
        <w:ind w:left="300" w:hanging="294"/>
        <w:spacing w:after="0" w:line="185" w:lineRule="auto"/>
        <w:tabs>
          <w:tab w:leader="none" w:pos="300" w:val="left"/>
        </w:tabs>
        <w:numPr>
          <w:ilvl w:val="0"/>
          <w:numId w:val="7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Represents shares directly held by Steve Eskenazi. The address of the principal business office of Steve Eskenazi is 50 Sheldon Way, Hillsborough, CA 94010.</w:t>
      </w:r>
    </w:p>
    <w:p>
      <w:pPr>
        <w:sectPr>
          <w:pgSz w:w="11900" w:h="16840" w:orient="portrait"/>
          <w:cols w:equalWidth="0" w:num="1">
            <w:col w:w="10580"/>
          </w:cols>
          <w:pgMar w:left="660" w:top="557" w:right="660" w:bottom="308" w:gutter="0" w:footer="0" w:header="0"/>
        </w:sectPr>
      </w:pPr>
    </w:p>
    <w:bookmarkStart w:id="68" w:name="page69"/>
    <w:bookmarkEnd w:id="68"/>
    <w:p>
      <w:pPr>
        <w:ind w:left="300" w:hanging="294"/>
        <w:spacing w:after="0"/>
        <w:tabs>
          <w:tab w:leader="none" w:pos="300" w:val="left"/>
        </w:tabs>
        <w:numPr>
          <w:ilvl w:val="0"/>
          <w:numId w:val="7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Tauheed Epps. The address of the principal business office of Tauheed Epps is 1740 Defoor Pl, Atlanta, GA 30318.</w:t>
      </w:r>
    </w:p>
    <w:p>
      <w:pPr>
        <w:spacing w:after="0" w:line="289" w:lineRule="exact"/>
        <w:rPr>
          <w:rFonts w:ascii="Times New Roman" w:cs="Times New Roman" w:eastAsia="Times New Roman" w:hAnsi="Times New Roman"/>
          <w:sz w:val="26"/>
          <w:szCs w:val="26"/>
          <w:color w:val="auto"/>
          <w:vertAlign w:val="superscript"/>
        </w:rPr>
      </w:pPr>
    </w:p>
    <w:p>
      <w:pPr>
        <w:ind w:left="300" w:right="20" w:hanging="294"/>
        <w:spacing w:after="0" w:line="190" w:lineRule="auto"/>
        <w:tabs>
          <w:tab w:leader="none" w:pos="300" w:val="left"/>
        </w:tabs>
        <w:numPr>
          <w:ilvl w:val="0"/>
          <w:numId w:val="7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Tenor Opportunity Master Fund, Ltd. The address of the principal business office of Tenor Opportunity Fund, Ltd. is 810 Seventh Ave., Suite 1905, New York, NY 10019.</w:t>
      </w:r>
    </w:p>
    <w:p>
      <w:pPr>
        <w:spacing w:after="0" w:line="157" w:lineRule="exact"/>
        <w:rPr>
          <w:rFonts w:ascii="Times New Roman" w:cs="Times New Roman" w:eastAsia="Times New Roman" w:hAnsi="Times New Roman"/>
          <w:sz w:val="26"/>
          <w:szCs w:val="26"/>
          <w:color w:val="auto"/>
          <w:vertAlign w:val="superscript"/>
        </w:rPr>
      </w:pPr>
    </w:p>
    <w:p>
      <w:pPr>
        <w:jc w:val="both"/>
        <w:ind w:left="300" w:right="40" w:hanging="294"/>
        <w:spacing w:after="0" w:line="202" w:lineRule="auto"/>
        <w:tabs>
          <w:tab w:leader="none" w:pos="300" w:val="left"/>
        </w:tabs>
        <w:numPr>
          <w:ilvl w:val="0"/>
          <w:numId w:val="7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The Newhouse Family 2016 Revocable Trust. Tiffany Newhouse is the Trustee of The Newhouse Family 2016 Revocable Trust and has voting and investment control of the shares held by The Newhouse Family 20216 Revocable Trust. The address of the principal business office of The Newhouse Family 2016 Revocable Trust is 620 Via De Bella, Fairfield, CA 94534.</w:t>
      </w:r>
    </w:p>
    <w:p>
      <w:pPr>
        <w:spacing w:after="0" w:line="158" w:lineRule="exact"/>
        <w:rPr>
          <w:rFonts w:ascii="Times New Roman" w:cs="Times New Roman" w:eastAsia="Times New Roman" w:hAnsi="Times New Roman"/>
          <w:sz w:val="26"/>
          <w:szCs w:val="26"/>
          <w:color w:val="auto"/>
          <w:vertAlign w:val="superscript"/>
        </w:rPr>
      </w:pPr>
    </w:p>
    <w:p>
      <w:pPr>
        <w:jc w:val="both"/>
        <w:ind w:left="300" w:right="20" w:hanging="294"/>
        <w:spacing w:after="0" w:line="202" w:lineRule="auto"/>
        <w:tabs>
          <w:tab w:leader="none" w:pos="300" w:val="left"/>
        </w:tabs>
        <w:numPr>
          <w:ilvl w:val="0"/>
          <w:numId w:val="7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The Salman Rehmetullah Revocable Trust. Sal Rehmetullah is the Trustee of The Salman Rehmetullah Revocable Trust and has voting and investment control of the shares held by The Salman Remetullah Revocable Trust. The address of the principal business office of The Salman Rehmetullah Revocable Trust is 609 E Ridgewood St, Orlando, FL 32803-5622.</w:t>
      </w:r>
    </w:p>
    <w:p>
      <w:pPr>
        <w:spacing w:after="0" w:line="158" w:lineRule="exact"/>
        <w:rPr>
          <w:rFonts w:ascii="Times New Roman" w:cs="Times New Roman" w:eastAsia="Times New Roman" w:hAnsi="Times New Roman"/>
          <w:sz w:val="26"/>
          <w:szCs w:val="26"/>
          <w:color w:val="auto"/>
          <w:vertAlign w:val="superscript"/>
        </w:rPr>
      </w:pPr>
    </w:p>
    <w:p>
      <w:pPr>
        <w:ind w:left="300" w:right="40" w:hanging="294"/>
        <w:spacing w:after="0" w:line="190" w:lineRule="auto"/>
        <w:tabs>
          <w:tab w:leader="none" w:pos="300" w:val="left"/>
        </w:tabs>
        <w:numPr>
          <w:ilvl w:val="0"/>
          <w:numId w:val="7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The Vincent Raymond Stewart and Phyllis Lea Stewart Living Trust. The address of the principal business office of The Vincent Raymond Stewart and Phyllis Lea Stewart Living Trust is 3101 Castlerock Rd., Unit 107, Oklahoma City, OK 73120.</w:t>
      </w:r>
    </w:p>
    <w:p>
      <w:pPr>
        <w:spacing w:after="0" w:line="3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60" w:type="dxa"/>
            <w:vAlign w:val="bottom"/>
            <w:gridSpan w:val="5"/>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99"/>
              </w:rPr>
              <w:t>Shares of Common Stock</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60" w:type="dxa"/>
            <w:vAlign w:val="bottom"/>
            <w:gridSpan w:val="9"/>
          </w:tcPr>
          <w:p>
            <w:pPr>
              <w:ind w:left="520"/>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gridSpan w:val="2"/>
          </w:tcPr>
          <w:p>
            <w:pPr>
              <w:jc w:val="center"/>
              <w:ind w:right="40"/>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20" w:type="dxa"/>
            <w:vAlign w:val="bottom"/>
          </w:tcPr>
          <w:p>
            <w:pPr>
              <w:spacing w:after="0"/>
              <w:rPr>
                <w:sz w:val="15"/>
                <w:szCs w:val="15"/>
                <w:color w:val="auto"/>
              </w:rPr>
            </w:pPr>
          </w:p>
        </w:tc>
        <w:tc>
          <w:tcPr>
            <w:tcW w:w="98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8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Beneficially</w:t>
            </w:r>
          </w:p>
        </w:tc>
        <w:tc>
          <w:tcPr>
            <w:tcW w:w="180" w:type="dxa"/>
            <w:vAlign w:val="bottom"/>
          </w:tcPr>
          <w:p>
            <w:pPr>
              <w:spacing w:after="0"/>
              <w:rPr>
                <w:sz w:val="15"/>
                <w:szCs w:val="15"/>
                <w:color w:val="auto"/>
              </w:rPr>
            </w:pPr>
          </w:p>
        </w:tc>
        <w:tc>
          <w:tcPr>
            <w:tcW w:w="6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160" w:type="dxa"/>
            <w:vAlign w:val="bottom"/>
          </w:tcPr>
          <w:p>
            <w:pPr>
              <w:spacing w:after="0"/>
              <w:rPr>
                <w:sz w:val="15"/>
                <w:szCs w:val="15"/>
                <w:color w:val="auto"/>
              </w:rPr>
            </w:pPr>
          </w:p>
        </w:tc>
        <w:tc>
          <w:tcPr>
            <w:tcW w:w="100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8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8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Beneficially</w:t>
            </w:r>
          </w:p>
        </w:tc>
        <w:tc>
          <w:tcPr>
            <w:tcW w:w="200" w:type="dxa"/>
            <w:vAlign w:val="bottom"/>
          </w:tcPr>
          <w:p>
            <w:pPr>
              <w:spacing w:after="0"/>
              <w:rPr>
                <w:sz w:val="15"/>
                <w:szCs w:val="15"/>
                <w:color w:val="auto"/>
              </w:rPr>
            </w:pPr>
          </w:p>
        </w:tc>
        <w:tc>
          <w:tcPr>
            <w:tcW w:w="7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5"/>
              </w:rPr>
              <w:t>Percent</w:t>
            </w: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20" w:type="dxa"/>
            <w:vAlign w:val="bottom"/>
          </w:tcPr>
          <w:p>
            <w:pPr>
              <w:spacing w:after="0"/>
              <w:rPr>
                <w:sz w:val="15"/>
                <w:szCs w:val="15"/>
                <w:color w:val="auto"/>
              </w:rPr>
            </w:pPr>
          </w:p>
        </w:tc>
        <w:tc>
          <w:tcPr>
            <w:tcW w:w="98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Registered</w:t>
            </w:r>
          </w:p>
        </w:tc>
        <w:tc>
          <w:tcPr>
            <w:tcW w:w="8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80" w:type="dxa"/>
            <w:vAlign w:val="bottom"/>
          </w:tcPr>
          <w:p>
            <w:pPr>
              <w:spacing w:after="0"/>
              <w:rPr>
                <w:sz w:val="15"/>
                <w:szCs w:val="15"/>
                <w:color w:val="auto"/>
              </w:rPr>
            </w:pPr>
          </w:p>
        </w:tc>
        <w:tc>
          <w:tcPr>
            <w:tcW w:w="6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160" w:type="dxa"/>
            <w:vAlign w:val="bottom"/>
          </w:tcPr>
          <w:p>
            <w:pPr>
              <w:spacing w:after="0"/>
              <w:rPr>
                <w:sz w:val="15"/>
                <w:szCs w:val="15"/>
                <w:color w:val="auto"/>
              </w:rPr>
            </w:pPr>
          </w:p>
        </w:tc>
        <w:tc>
          <w:tcPr>
            <w:tcW w:w="100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8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Registered</w:t>
            </w:r>
          </w:p>
        </w:tc>
        <w:tc>
          <w:tcPr>
            <w:tcW w:w="1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200" w:type="dxa"/>
            <w:vAlign w:val="bottom"/>
          </w:tcPr>
          <w:p>
            <w:pPr>
              <w:spacing w:after="0"/>
              <w:rPr>
                <w:sz w:val="15"/>
                <w:szCs w:val="15"/>
                <w:color w:val="auto"/>
              </w:rPr>
            </w:pPr>
          </w:p>
        </w:tc>
        <w:tc>
          <w:tcPr>
            <w:tcW w:w="7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Owned</w:t>
            </w:r>
          </w:p>
        </w:tc>
        <w:tc>
          <w:tcPr>
            <w:tcW w:w="0" w:type="dxa"/>
            <w:vAlign w:val="bottom"/>
          </w:tcPr>
          <w:p>
            <w:pPr>
              <w:spacing w:after="0"/>
              <w:rPr>
                <w:sz w:val="1"/>
                <w:szCs w:val="1"/>
                <w:color w:val="auto"/>
              </w:rPr>
            </w:pPr>
          </w:p>
        </w:tc>
      </w:tr>
      <w:tr>
        <w:trPr>
          <w:trHeight w:val="205"/>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Selling Securityholder</w:t>
            </w:r>
            <w:r>
              <w:rPr>
                <w:rFonts w:ascii="Times New Roman" w:cs="Times New Roman" w:eastAsia="Times New Roman" w:hAnsi="Times New Roman"/>
                <w:sz w:val="26"/>
                <w:szCs w:val="26"/>
                <w:b w:val="1"/>
                <w:bCs w:val="1"/>
                <w:color w:val="auto"/>
                <w:vertAlign w:val="superscript"/>
              </w:rPr>
              <w:t>1</w:t>
            </w:r>
          </w:p>
        </w:tc>
        <w:tc>
          <w:tcPr>
            <w:tcW w:w="80" w:type="dxa"/>
            <w:vAlign w:val="bottom"/>
            <w:vMerge w:val="restart"/>
          </w:tcPr>
          <w:p>
            <w:pPr>
              <w:spacing w:after="0"/>
              <w:rPr>
                <w:sz w:val="17"/>
                <w:szCs w:val="17"/>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12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for Sale</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16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Prior to</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for Sale</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200" w:type="dxa"/>
            <w:vAlign w:val="bottom"/>
          </w:tcPr>
          <w:p>
            <w:pPr>
              <w:spacing w:after="0"/>
              <w:rPr>
                <w:sz w:val="17"/>
                <w:szCs w:val="17"/>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After</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Hereby</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Hereby</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Triple Helix, LLC</w:t>
            </w:r>
            <w:r>
              <w:rPr>
                <w:rFonts w:ascii="Times New Roman" w:cs="Times New Roman" w:eastAsia="Times New Roman" w:hAnsi="Times New Roman"/>
                <w:sz w:val="25"/>
                <w:szCs w:val="25"/>
                <w:color w:val="auto"/>
                <w:vertAlign w:val="superscript"/>
              </w:rPr>
              <w:t>231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103,126</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103,126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Una Ryan</w:t>
            </w:r>
            <w:r>
              <w:rPr>
                <w:rFonts w:ascii="Times New Roman" w:cs="Times New Roman" w:eastAsia="Times New Roman" w:hAnsi="Times New Roman"/>
                <w:sz w:val="25"/>
                <w:szCs w:val="25"/>
                <w:color w:val="auto"/>
                <w:vertAlign w:val="superscript"/>
              </w:rPr>
              <w:t>232</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5,156</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5,156</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Valerie Mosley</w:t>
            </w:r>
            <w:r>
              <w:rPr>
                <w:rFonts w:ascii="Times New Roman" w:cs="Times New Roman" w:eastAsia="Times New Roman" w:hAnsi="Times New Roman"/>
                <w:sz w:val="25"/>
                <w:szCs w:val="25"/>
                <w:color w:val="auto"/>
                <w:vertAlign w:val="superscript"/>
              </w:rPr>
              <w:t>233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24,790</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30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Vellar Special Opportunities Fund, LLC –</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02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Series 29</w:t>
            </w:r>
            <w:r>
              <w:rPr>
                <w:rFonts w:ascii="Times New Roman" w:cs="Times New Roman" w:eastAsia="Times New Roman" w:hAnsi="Times New Roman"/>
                <w:sz w:val="26"/>
                <w:szCs w:val="26"/>
                <w:color w:val="auto"/>
                <w:vertAlign w:val="superscript"/>
              </w:rPr>
              <w:t>234</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1,057,916</w:t>
            </w:r>
          </w:p>
        </w:tc>
        <w:tc>
          <w:tcPr>
            <w:tcW w:w="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1,057,916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147,830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147,830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Walleye Investment Fund LLC</w:t>
            </w:r>
            <w:r>
              <w:rPr>
                <w:rFonts w:ascii="Times New Roman" w:cs="Times New Roman" w:eastAsia="Times New Roman" w:hAnsi="Times New Roman"/>
                <w:sz w:val="25"/>
                <w:szCs w:val="25"/>
                <w:color w:val="auto"/>
                <w:vertAlign w:val="superscript"/>
              </w:rPr>
              <w:t>235</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9,375</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9,375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Walleye Opportunities Master Fund Ltd.</w:t>
            </w:r>
            <w:r>
              <w:rPr>
                <w:rFonts w:ascii="Times New Roman" w:cs="Times New Roman" w:eastAsia="Times New Roman" w:hAnsi="Times New Roman"/>
                <w:sz w:val="25"/>
                <w:szCs w:val="25"/>
                <w:color w:val="auto"/>
                <w:vertAlign w:val="superscript"/>
              </w:rPr>
              <w:t>236</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18,750</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ZNH Holdings Group, LLC</w:t>
            </w:r>
            <w:r>
              <w:rPr>
                <w:rFonts w:ascii="Times New Roman" w:cs="Times New Roman" w:eastAsia="Times New Roman" w:hAnsi="Times New Roman"/>
                <w:sz w:val="25"/>
                <w:szCs w:val="25"/>
                <w:color w:val="auto"/>
                <w:vertAlign w:val="superscript"/>
              </w:rPr>
              <w:t>237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23,204</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48"/>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New Circle Principal Investments LLC</w:t>
            </w:r>
            <w:r>
              <w:rPr>
                <w:rFonts w:ascii="Times New Roman" w:cs="Times New Roman" w:eastAsia="Times New Roman" w:hAnsi="Times New Roman"/>
                <w:sz w:val="26"/>
                <w:szCs w:val="26"/>
                <w:color w:val="auto"/>
                <w:vertAlign w:val="superscript"/>
              </w:rPr>
              <w:t>238</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5,524,624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60960</wp:posOffset>
            </wp:positionV>
            <wp:extent cx="167703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77035" cy="15240"/>
                    </a:xfrm>
                    <a:prstGeom prst="rect">
                      <a:avLst/>
                    </a:prstGeom>
                    <a:noFill/>
                  </pic:spPr>
                </pic:pic>
              </a:graphicData>
            </a:graphic>
          </wp:anchor>
        </w:drawing>
      </w:r>
    </w:p>
    <w:p>
      <w:pPr>
        <w:spacing w:after="0" w:line="111" w:lineRule="exact"/>
        <w:rPr>
          <w:sz w:val="20"/>
          <w:szCs w:val="20"/>
          <w:color w:val="auto"/>
        </w:rPr>
      </w:pPr>
    </w:p>
    <w:p>
      <w:pPr>
        <w:jc w:val="both"/>
        <w:ind w:left="300" w:right="20" w:hanging="294"/>
        <w:spacing w:after="0" w:line="202" w:lineRule="auto"/>
        <w:tabs>
          <w:tab w:leader="none" w:pos="300" w:val="left"/>
        </w:tabs>
        <w:numPr>
          <w:ilvl w:val="0"/>
          <w:numId w:val="8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Triple Helix, LLC. Asma Ishaq is the sole member of Triple Helix, LLC and has voting and investment control of the shares held by Triple Helix, LLC. The address of the principal business office of Triple Helix, LLC, Asma Ishaq is CRLLP 20351 Irvine Ave, Suite C6, Newport Beach, CA 92660.</w:t>
      </w:r>
    </w:p>
    <w:p>
      <w:pPr>
        <w:spacing w:after="0" w:line="158" w:lineRule="exact"/>
        <w:rPr>
          <w:rFonts w:ascii="Times New Roman" w:cs="Times New Roman" w:eastAsia="Times New Roman" w:hAnsi="Times New Roman"/>
          <w:sz w:val="26"/>
          <w:szCs w:val="26"/>
          <w:color w:val="auto"/>
          <w:vertAlign w:val="superscript"/>
        </w:rPr>
      </w:pPr>
    </w:p>
    <w:p>
      <w:pPr>
        <w:ind w:left="300" w:right="20" w:hanging="294"/>
        <w:spacing w:after="0" w:line="190" w:lineRule="auto"/>
        <w:tabs>
          <w:tab w:leader="none" w:pos="300" w:val="left"/>
        </w:tabs>
        <w:numPr>
          <w:ilvl w:val="0"/>
          <w:numId w:val="8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Una Ryan. The address of the principal business office of Una Ryan is 7500 Old Georgetown Road, Suite 901, Bethesda, MD 20814.</w:t>
      </w:r>
    </w:p>
    <w:p>
      <w:pPr>
        <w:spacing w:after="0" w:line="61" w:lineRule="exact"/>
        <w:rPr>
          <w:rFonts w:ascii="Times New Roman" w:cs="Times New Roman" w:eastAsia="Times New Roman" w:hAnsi="Times New Roman"/>
          <w:sz w:val="26"/>
          <w:szCs w:val="26"/>
          <w:color w:val="auto"/>
          <w:vertAlign w:val="superscript"/>
        </w:rPr>
      </w:pPr>
    </w:p>
    <w:p>
      <w:pPr>
        <w:ind w:left="300" w:hanging="294"/>
        <w:spacing w:after="0"/>
        <w:tabs>
          <w:tab w:leader="none" w:pos="300" w:val="left"/>
        </w:tabs>
        <w:numPr>
          <w:ilvl w:val="0"/>
          <w:numId w:val="8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Valerie Mosley. The address of the principal business office of Valerie Mosley is PO Box 2430, Oak Bluffs, MA 02557.</w:t>
      </w:r>
    </w:p>
    <w:p>
      <w:pPr>
        <w:spacing w:after="0" w:line="157" w:lineRule="exact"/>
        <w:rPr>
          <w:rFonts w:ascii="Times New Roman" w:cs="Times New Roman" w:eastAsia="Times New Roman" w:hAnsi="Times New Roman"/>
          <w:sz w:val="26"/>
          <w:szCs w:val="26"/>
          <w:color w:val="auto"/>
          <w:vertAlign w:val="superscript"/>
        </w:rPr>
      </w:pPr>
    </w:p>
    <w:p>
      <w:pPr>
        <w:jc w:val="both"/>
        <w:ind w:left="300" w:right="40" w:hanging="294"/>
        <w:spacing w:after="0" w:line="202" w:lineRule="auto"/>
        <w:tabs>
          <w:tab w:leader="none" w:pos="300" w:val="left"/>
        </w:tabs>
        <w:numPr>
          <w:ilvl w:val="0"/>
          <w:numId w:val="8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Vellar Special Opportunities Fund, LLC – Series 29. Andrew Davilman in his role as Chief Operating Officer has dispositive investment power over the shares held by Vellar Special Opportunities Fund, LLC – Series 29. The address of the principal business office of Vellar Special Opportunities Fund, LLC – Series 29 is 3 Columbus Circle, Suite 2400, New York, NY 10019.</w:t>
      </w:r>
    </w:p>
    <w:p>
      <w:pPr>
        <w:spacing w:after="0" w:line="158" w:lineRule="exact"/>
        <w:rPr>
          <w:rFonts w:ascii="Times New Roman" w:cs="Times New Roman" w:eastAsia="Times New Roman" w:hAnsi="Times New Roman"/>
          <w:sz w:val="26"/>
          <w:szCs w:val="26"/>
          <w:color w:val="auto"/>
          <w:vertAlign w:val="superscript"/>
        </w:rPr>
      </w:pPr>
    </w:p>
    <w:p>
      <w:pPr>
        <w:jc w:val="both"/>
        <w:ind w:left="300" w:right="40" w:hanging="294"/>
        <w:spacing w:after="0" w:line="221" w:lineRule="auto"/>
        <w:tabs>
          <w:tab w:leader="none" w:pos="300" w:val="left"/>
        </w:tabs>
        <w:numPr>
          <w:ilvl w:val="0"/>
          <w:numId w:val="8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Walleye Investment Fund LLC. Walleye Investments Fund LLC [Walleye Opportunities Master Fund Ltd] (the “Walleye Entity”) is a private investment funds managed by Walleye Capital LLC. William England is the Chief Executive Office of Walleye Capital LLC. As a result, Walleye Capital LLC and Mr. England may be deemed to have shared voting and dispositive power with respect to the shared held by the Walleye Entity. The address of the principal business office of Walleye Investment Fund LLC is 401 Lake Street East,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6"/>
          <w:szCs w:val="16"/>
          <w:color w:val="auto"/>
        </w:rPr>
        <w:t xml:space="preserve"> Floor, Wayzata, MN 55391.</w:t>
      </w:r>
    </w:p>
    <w:p>
      <w:pPr>
        <w:spacing w:after="0" w:line="46" w:lineRule="exact"/>
        <w:rPr>
          <w:rFonts w:ascii="Times New Roman" w:cs="Times New Roman" w:eastAsia="Times New Roman" w:hAnsi="Times New Roman"/>
          <w:sz w:val="26"/>
          <w:szCs w:val="26"/>
          <w:color w:val="auto"/>
          <w:vertAlign w:val="superscript"/>
        </w:rPr>
      </w:pPr>
    </w:p>
    <w:p>
      <w:pPr>
        <w:jc w:val="both"/>
        <w:ind w:left="300" w:right="40" w:hanging="294"/>
        <w:spacing w:after="0" w:line="221" w:lineRule="auto"/>
        <w:tabs>
          <w:tab w:leader="none" w:pos="300" w:val="left"/>
        </w:tabs>
        <w:numPr>
          <w:ilvl w:val="0"/>
          <w:numId w:val="8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Walleye Opportunities Master Fund Ltd. Walleye Investments Fund LLC [Walleye Opportunities Master Fund Ltd] (the “Walleye Entity”) is a private investment funds managed by Walleye Capital LLC. William England is the Chief Executive Office of Walleye Capital LLC. As a result, Walleye Capital LLC and Mr. England may be deemed to have shared voting and dispositive power with respect to the shared held by the Walleye Entity. The address of the principal business office of Walleye Opportunities Master Fund Ltd. is 401 Lake Street East,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6"/>
          <w:szCs w:val="16"/>
          <w:color w:val="auto"/>
        </w:rPr>
        <w:t xml:space="preserve"> Floor, Wayzata, MN 55391.</w:t>
      </w:r>
    </w:p>
    <w:p>
      <w:pPr>
        <w:spacing w:after="0" w:line="47" w:lineRule="exact"/>
        <w:rPr>
          <w:sz w:val="20"/>
          <w:szCs w:val="20"/>
          <w:color w:val="auto"/>
        </w:rPr>
      </w:pPr>
    </w:p>
    <w:p>
      <w:pPr>
        <w:jc w:val="both"/>
        <w:ind w:left="340" w:right="20" w:hanging="298"/>
        <w:spacing w:after="0" w:line="202" w:lineRule="auto"/>
        <w:tabs>
          <w:tab w:leader="none" w:pos="340" w:val="left"/>
        </w:tabs>
        <w:numPr>
          <w:ilvl w:val="0"/>
          <w:numId w:val="8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shares directly held by ZNH Holdings Group, LLC. Stacey Abrams is the sole member of ZNH Holdings Group, LLC and has voting and investment control of the shares held by ZNH Holdings Group, LLC. The address of the principal business office of ZNH Holdings Group, LLC is 4900 Forestglade Ct., Stone Mountain, GA 30087.</w:t>
      </w:r>
    </w:p>
    <w:p>
      <w:pPr>
        <w:spacing w:after="0" w:line="158" w:lineRule="exact"/>
        <w:rPr>
          <w:rFonts w:ascii="Times New Roman" w:cs="Times New Roman" w:eastAsia="Times New Roman" w:hAnsi="Times New Roman"/>
          <w:sz w:val="26"/>
          <w:szCs w:val="26"/>
          <w:color w:val="auto"/>
          <w:vertAlign w:val="superscript"/>
        </w:rPr>
      </w:pPr>
    </w:p>
    <w:p>
      <w:pPr>
        <w:jc w:val="both"/>
        <w:ind w:left="340" w:hanging="298"/>
        <w:spacing w:after="0" w:line="239" w:lineRule="auto"/>
        <w:tabs>
          <w:tab w:leader="none" w:pos="340" w:val="left"/>
        </w:tabs>
        <w:numPr>
          <w:ilvl w:val="0"/>
          <w:numId w:val="8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(1)85,995 shares based on the commitment fee of $350,000 calculated at an estimated price of $4.07 per share; and (2) 5,438,629 shares that we may, in our sole discretion, elect to issue and sell to New Circle, from time to time after the date of this prospectus, as part of the Total Commitment pursuant to (and limited by the terms of) the ELOC Agreement. In accordance with Rule 13d-3(d) under the Exchange Act, we have excluded from the number of shares beneficially owned prior to the offering all of the shares that New Circle may be required to purchase under the ELOC Agreement, because the issuance of such shares is at our discretion and is subject to conditions contained in the ELOC Agreement, the satisfaction of which are entirely outside of New Circle’s control, including the registration statement that includes this prospectus becoming and remaining effective. Also, the ELOC Agreement prohibits us from issuing and selling any shares of our common stock to New Circle to the extent such shares, when aggregated with all other shares of our common stock then beneficially owned by New Circle, would cause New Circle’s beneficial ownership of our common stock to exceed the 4.99% Ownership Limitation. The ELOC Agreement also prohibits us from issuing or selling shares of our Common Stock under the ELOC Agreement in excess of the 19.99% Exchange Cap, unless we obtain stockholder approval to do so, or unless all applicable sales of shares of common stock under the ELOC Agreement equal or exceed the “Minimum Price” (as such term is defined in Nasdaq Rule 5635) or, as to any Purchase, the issuance of the common stock pursuant to an Purchase Notice would be excluded from the Exchange Cap under Nasdaq rules (or interpretive guidance provided by Nasdaq with respect thereto), in which case the Exchange Cap limitation would no longer apply under applicable Nasdaq rules.</w:t>
      </w:r>
    </w:p>
    <w:p>
      <w:pPr>
        <w:spacing w:after="0" w:line="3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600"/>
          </w:cols>
          <w:pgMar w:left="660" w:top="461" w:right="640" w:bottom="614"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SECURITIES</w:t>
      </w:r>
    </w:p>
    <w:p>
      <w:pPr>
        <w:spacing w:after="0" w:line="17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6"/>
          <w:szCs w:val="16"/>
          <w:i w:val="1"/>
          <w:iCs w:val="1"/>
          <w:color w:val="auto"/>
        </w:rPr>
        <w:t>The following summary of the material terms of the Company’s securities is not intended to be a complete summary of the rights and preferences of such securities. The full text of the Certificate of Incorporation, Bylaws and the Certificate of Designations are filed as exhibits to this registration statement. We urge you to read the Certificate of Incorporation, Bylaws and Certificate of Designations in their entirety for a complete description of the rights and preferences of the Company’s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7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Our Certificate of Incorporation authorizes the Company to issue 300,000,000 shares, consisting of (A) 10,000,000 shares of Preferred Stock, par value $0.0001 per share (“Preferred Stock”) and (B) 290,000,000 shares of Common Stock, par value $0.0001 per share.</w:t>
      </w:r>
    </w:p>
    <w:p>
      <w:pPr>
        <w:spacing w:after="0" w:line="143"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14"/>
          <w:szCs w:val="14"/>
          <w:color w:val="auto"/>
        </w:rPr>
        <w:t>The following description of our capital stock and provisions of the Certificate of Incorporation, Bylaws and Certificate of Designations are summaries and are qualified by reference to the Certificate of Incorporation, Bylaws and Certificate of Designations, substantially in the form filed as exhibits to this registration statement.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 rights</w:t>
      </w:r>
    </w:p>
    <w:p>
      <w:pPr>
        <w:spacing w:after="0" w:line="18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Subject to preferences that may be applicable to any then outstanding preferred stock, holders of shares of Common Stock are entitled to receive such dividends, if any, as may be declared from time-to-time by the Board out of legally available funds.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Voting rights</w:t>
      </w:r>
    </w:p>
    <w:p>
      <w:pPr>
        <w:spacing w:after="0" w:line="18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Except as otherwise required by law, each holder of Common Stock is entitled to one vote for each share on all matters properly submitted to a vote of the stockholders, including the election of directors. Holders of Common Stock do not have cumulative voting rights in the election of directors. Accordingly, holders of a majority of the voting shares are able to elect all of the directors.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Liquidation</w:t>
      </w:r>
    </w:p>
    <w:p>
      <w:pPr>
        <w:spacing w:after="0" w:line="18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Subject to applicable Law, the rights, if any, of the holders of any outstanding series of the preferred stock, in the event of any voluntary or involuntary liquidation, dissolution or winding up of the Company, after payment or provision for payment of the debts and other liabilities of the Company, the holders of shares of Common Stock will be entitled to receive all the remaining assets of the Company available for distribution to its stockholders, ratably in proportion to the number of shares of Common Stock held by them.</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Rights and preferences</w:t>
      </w:r>
    </w:p>
    <w:p>
      <w:pPr>
        <w:spacing w:after="0" w:line="18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Holders of Common Stock have no preemptive, conversion, subscription or other rights, and there are no redemption or sinking fund provisions applicable to Common Stock. The rights, preferences, and privileges of the holders of Common Stock are subject to and may be adversely affected by, the rights of the holders of shares of any series of preferred stock that the Company may designate in the future.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Lock-Up Restrictions</w:t>
      </w:r>
    </w:p>
    <w:p>
      <w:pPr>
        <w:spacing w:after="0" w:line="18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Pursuant to the Registration Rights and Lock-Up Agreement, the Holders (as defined therein) will be subject to a 180 day lock up period (subject to customary exceptions) in respect of their shares of Common Stock received in the Business Combination (subject to certain customary exceptions).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Board has the authority, without further action by the Company’s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of the Company or other corporate action.</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17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Each Warrant outstanding for the purchase of one share of Common Stock is exercisable for one share of Common Stock, with all other terms of such warrants remaining unchanged. The following is a description of the Warrants.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Warrants became exercisable on July 18, 2025, provided the Company has an effective registration statement under the Securities Act.</w:t>
      </w:r>
    </w:p>
    <w:p>
      <w:pPr>
        <w:spacing w:after="0" w:line="176"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Each Warrant entitles the registered holder to purchase one share of Common Stock at a price of $11.50 per share, subject to adjustment as discussed below, at any time commencing on July 18, 2025, provided the Company has an effective registration statement under the Securities Act covering the shares of Common Stock issuable upon exercise of the Warrants and a current prospectus relating to them is available (or the Company permits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Common Stock. This means only a whole warrant may be exercised at a given time by a warrant holder. The Warrants will expire at 5:00 p.m., New York City time, on June 18, 2030, or earlier upon redemption or liquidation.</w:t>
      </w:r>
    </w:p>
    <w:p>
      <w:pPr>
        <w:spacing w:after="0" w:line="158"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6"/>
          <w:szCs w:val="16"/>
          <w:color w:val="auto"/>
        </w:rPr>
        <w:t>The Company will not be obligated to deliver any Common Stock pursuant to the exercise of a warrant and will have no obligation to settle such warrant exercise unless a registration statement under the Securities Act with respect to the Common Stock underlying the warrants is then effective and a prospectus relating thereto is current, subject to the Company satisfying their obligations described below with respect to registration. No Warrant will be exercisable and the Company will not be obligated to issue a share of Common Stock upon exercise of a Warrant unless the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Holders of our Warrants cannot pay cash to exercise their warrants unless we have an effective and current registration statement covering the issuance of the shares underlying such warrants and a current prospectus relating thereto.</w:t>
      </w:r>
    </w:p>
    <w:p>
      <w:pPr>
        <w:sectPr>
          <w:pgSz w:w="11900" w:h="16840" w:orient="portrait"/>
          <w:cols w:equalWidth="0" w:num="1">
            <w:col w:w="10580"/>
          </w:cols>
          <w:pgMar w:left="660" w:top="735" w:right="660" w:bottom="23" w:gutter="0" w:footer="0" w:header="0"/>
        </w:sectPr>
      </w:pPr>
    </w:p>
    <w:bookmarkStart w:id="70" w:name="page71"/>
    <w:bookmarkEnd w:id="70"/>
    <w:p>
      <w:pPr>
        <w:jc w:val="both"/>
        <w:spacing w:after="0" w:line="237" w:lineRule="auto"/>
        <w:rPr>
          <w:sz w:val="20"/>
          <w:szCs w:val="20"/>
          <w:color w:val="auto"/>
        </w:rPr>
      </w:pPr>
      <w:r>
        <w:rPr>
          <w:rFonts w:ascii="Times New Roman" w:cs="Times New Roman" w:eastAsia="Times New Roman" w:hAnsi="Times New Roman"/>
          <w:sz w:val="16"/>
          <w:szCs w:val="16"/>
          <w:color w:val="auto"/>
        </w:rPr>
        <w:t>The Company has agreed that as soon as practicable, but in no event later than 15 business days after the closing of an initial business combination, the Company will use commercially reasonable efforts to file with the SEC a registration statement for the registration, under the Securities Act, of the Common Stock issuable upon exercise of the Warrants. The Company will use commercially reasonable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issuance of the shares issuable upon exercise of the Warrants is not effective within 60 business days from the Closing, warrant holders may, until such time as there is an effective registration statement and during any period when the Company will have failed to maintain an effective registration statement or a current prospectus, exercise Warrants on a cashless basis pursuant to an available exemption from registration under the Securities Act. Notwithstanding the above, if the shares of Common Stock are at the time of any exercise of Warrants not listed on a national securities exchange such that they satisfy the definition of a “covered security” under Section 18(b)(1) of the Securities Act, the Company may, at their option, require holders of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commercially reasonable efforts to register or qualify the shares under applicable blue sky laws to the extent an exemption is not available.</w:t>
      </w: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Redemption of Public Warrants for Cash when the price per share of Common Stock equals or exceeds $18.00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Once the Warrants become exercisable, the Company may redeem the outstanding Public Warrants:</w:t>
      </w:r>
    </w:p>
    <w:p>
      <w:pPr>
        <w:spacing w:after="0" w:line="176" w:lineRule="exact"/>
        <w:rPr>
          <w:sz w:val="20"/>
          <w:szCs w:val="20"/>
          <w:color w:val="auto"/>
        </w:rPr>
      </w:pPr>
    </w:p>
    <w:p>
      <w:pPr>
        <w:ind w:left="580" w:hanging="286"/>
        <w:spacing w:after="0"/>
        <w:tabs>
          <w:tab w:leader="none" w:pos="5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whole and not in part;</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 price of $0.01 per warrant;</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 minimum of 30 days’ prior written notice of redemption (the “30-day redemption period”) to each warrant holder; and</w:t>
      </w:r>
    </w:p>
    <w:p>
      <w:pPr>
        <w:spacing w:after="0" w:line="176" w:lineRule="exact"/>
        <w:rPr>
          <w:rFonts w:ascii="Times New Roman" w:cs="Times New Roman" w:eastAsia="Times New Roman" w:hAnsi="Times New Roman"/>
          <w:sz w:val="16"/>
          <w:szCs w:val="16"/>
          <w:color w:val="auto"/>
        </w:rPr>
      </w:pPr>
    </w:p>
    <w:p>
      <w:pPr>
        <w:jc w:val="both"/>
        <w:ind w:left="580" w:hanging="286"/>
        <w:spacing w:after="0" w:line="247" w:lineRule="auto"/>
        <w:tabs>
          <w:tab w:leader="none" w:pos="5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only if, the closing price of the Common Stock equals or exceeds $18.00 per share (as adjusted for adjustments to the number of shares issuable upon exercise or the exercise price of a warrant as described under the heading “— Anti-Dilution Adjustments”) for any 20 trading days within a 30-trading day period ending on the third trading day prior to the date on which the Company sends the notice of redemption to the warrant holders.</w:t>
      </w:r>
    </w:p>
    <w:p>
      <w:pPr>
        <w:spacing w:after="0" w:line="152"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The Company will not redeem the Public Warrants as described above unless an effective registration statement under the Securities Act covering the issuance of the shares of Common Stock issuable upon exercise of the Public Warrants is effective and a current prospectus relating to those shares of Common Stock is available throughout the 30 day redemption period, except if the Public Warrants may be exercised on a cashless basis and such cashless exercise is exempt from registration under the Securities Act. If and when the Public Warrants become redeemable by the Company, the Company may exercise their redemption right even if the Company is unable to register or qualify the underlying securities for sale under all applicable state securities laws.</w:t>
      </w:r>
    </w:p>
    <w:p>
      <w:pPr>
        <w:spacing w:after="0" w:line="15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The redemption criteria for the Public Warrants discussed above have been established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warrant prior to the scheduled redemption date. However, the price of the shares of Common Stock may fall below the $18.00 redemption trigger price (as adjusted for share sub- divisions, share capitalizations, reorganizations, recapitalizations and the like) as well as the $11.50 (for whole shares) Public Warrant exercise price after the redemption notice is issued.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Redemption Procedures and Cashless Exercise</w:t>
      </w:r>
    </w:p>
    <w:p>
      <w:pPr>
        <w:spacing w:after="0" w:line="1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If the Company calls the Public Warrants for redemption as described above when the shares of Common Stock are trading at or above $18.00 per share, the Company’s management will have the option to require all holders that wish to exercise their warrants to do so on a “cashless basis.” In making such determination, the Company’s management will consider, among other factors, the Company’s cash position, the number of Public Warrants that are outstanding and the dilutive effect on our stockholders of issuing the maximum number of shares of Common Stock issuable upon the exercise of outstanding Warrants. In such event, all holders of Public Warrants would pay the exercise price by surrendering their warrants for that number of shares of Common Stock equal to the lesser of (i) the quotient obtained by dividing (x) the product of the number of shares of Common Stock underlying such Public Warrants, multiplied by the excess of the “fair market value” (as defined below) of shares of Common Stock over the exercise prices of the Public Warrants by (y) the fair market value. If the Company’s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If the Company calls the Warrants for redemption and the Company’s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above.</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“fair market value” of the shares of Common Stock means the average last reported sale price of the shares of Common Stock for the 10 trading days ending on the third trading day prior to the date on which the notice of redemption is sent to the holders of warrants.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Holder Election to Limit Exercise</w:t>
      </w:r>
    </w:p>
    <w:p>
      <w:pPr>
        <w:spacing w:after="0" w:line="180" w:lineRule="exact"/>
        <w:rPr>
          <w:sz w:val="20"/>
          <w:szCs w:val="20"/>
          <w:color w:val="auto"/>
        </w:rPr>
      </w:pPr>
    </w:p>
    <w:p>
      <w:pPr>
        <w:jc w:val="both"/>
        <w:ind w:right="40"/>
        <w:spacing w:after="0" w:line="299" w:lineRule="auto"/>
        <w:rPr>
          <w:sz w:val="20"/>
          <w:szCs w:val="20"/>
          <w:color w:val="auto"/>
        </w:rPr>
      </w:pPr>
      <w:r>
        <w:rPr>
          <w:rFonts w:ascii="Times New Roman" w:cs="Times New Roman" w:eastAsia="Times New Roman" w:hAnsi="Times New Roman"/>
          <w:sz w:val="14"/>
          <w:szCs w:val="14"/>
          <w:color w:val="auto"/>
        </w:rPr>
        <w:t>A holder of a Warrant may notify the Company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Common Stock outstanding immediately after giving effect to such exercise.</w:t>
      </w: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Anti-Dilution Adjustments</w:t>
      </w:r>
    </w:p>
    <w:p>
      <w:pPr>
        <w:spacing w:after="0" w:line="1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If the number of outstanding shares of Common Stock is increased by a share capitalization payable in shares of Common Stock, or by a sub-division of shares of Common Stock or other similar event, then, on the effective date of such share capitalization, sub-division or similar event, the number of shares of Common Stock issuable on exercise of each warrant will be increased in proportion to such increase in the outstanding shares of Common Stock. A rights offering to holders of Common Stock entitling holders to purchase shares of Common Stock at a price less than the “historical fair market value” (as defined below) will be deemed a share capitalization of a number of shares of Common Stock equal to the product of (a) the number of shares of Common Stock actually sold in such rights offering (or issuable under any other equity securities sold in such rights offering that are convertible into or exercisable for shares of Common Stock) multiplied by (b) one minus the quotient of (i) the price per share of Common Stock paid in such rights offering divided by (ii) the historical fair market value. For these purposes (x) if the rights offering is for securities convertible into or exercisable for shares of Common Stock, in determining the price payable for Common Stock, there will be taken into</w:t>
      </w:r>
    </w:p>
    <w:p>
      <w:pPr>
        <w:sectPr>
          <w:pgSz w:w="11900" w:h="16840" w:orient="portrait"/>
          <w:cols w:equalWidth="0" w:num="1">
            <w:col w:w="10580"/>
          </w:cols>
          <w:pgMar w:left="660" w:top="737" w:right="660" w:bottom="165" w:gutter="0" w:footer="0" w:header="0"/>
        </w:sectPr>
      </w:pPr>
    </w:p>
    <w:bookmarkStart w:id="71" w:name="page72"/>
    <w:bookmarkEnd w:id="71"/>
    <w:p>
      <w:pPr>
        <w:jc w:val="both"/>
        <w:spacing w:after="0" w:line="247" w:lineRule="auto"/>
        <w:rPr>
          <w:sz w:val="20"/>
          <w:szCs w:val="20"/>
          <w:color w:val="auto"/>
        </w:rPr>
      </w:pPr>
      <w:r>
        <w:rPr>
          <w:rFonts w:ascii="Times New Roman" w:cs="Times New Roman" w:eastAsia="Times New Roman" w:hAnsi="Times New Roman"/>
          <w:sz w:val="16"/>
          <w:szCs w:val="16"/>
          <w:color w:val="auto"/>
        </w:rPr>
        <w:t>account any consideration received for such rights, as well as any additional amount payable upon exercise or conversion and (y) “historical fair market value” means the volume-weighted average price of shares of Common Stock as reported during the ten-trading day period ending on the trading day prior to the first date on which the Common Stock trade on the applicable exchange or in the applicable market, regular way, without the right to receive such rights.</w:t>
      </w:r>
    </w:p>
    <w:p>
      <w:pPr>
        <w:spacing w:after="0" w:line="152"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In addition, if the Company, at any time while the warrants are outstanding and unexpired, pays a dividend or makes a distribution in cash, securities or other assets to holders of Common Stock on account of such Common Stock (or other securities into which the warrants are convertible), other than (a) as described above, or (b) any cash dividends or cash distributions which, when combined on a per share basis with all other cash dividends and cash distributions paid on the Common Stock during the 365-day period ending on the date of declaration of such dividend or distribution (as adjusted to appropriately reflect any other adjustments and excluding cash dividends or cash distributions that resulted in an adjustment to the exercise price or to the number of Common Stock issuable on exercise of each warrant), do not exceed $0.50,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58"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If the number of outstanding shares of Common Stock is decreased by a consolidation, combination, reverse share sub-division or reclassification of Common Stock or other similar event, then, on the effective date of such consolidation, combination, reverse share sub -division, reclassification or similar event, the number of shares of Common Stock issuable on exercise of each warrant will be decreased in proportion to such decrease in outstanding shares of Common Stock.</w:t>
      </w:r>
    </w:p>
    <w:p>
      <w:pPr>
        <w:spacing w:after="0" w:line="152"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5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4"/>
          <w:szCs w:val="14"/>
          <w:color w:val="auto"/>
        </w:rPr>
        <w:t>In addition, if (x) the Company issues additional shares of Common Stock or equity- linked securities at an issue price or effective issue price of less than $9.20 per share of Common Stock (with such issue price or effective issue price to be determined in good faith by the Company Board) (the “Newly Issued Price”), and (y) the volume-weighted average trading price of our shares of Common Stock during the 20-trading day period starting on the trading day prior to the day on which the Company consummate our initial business combination (such price, the “Market Value”) of shares of Common Stock is below $9.20 per share, then the exercise price of the warrants will be adjusted (to the nearest cent) to be equal to 115% of the higher of the Market Value and the Newly Issued Price, and the $ 18.00 per share redemption trigger price described under “- Redemption” will be adjusted (to the nearest cent) to be equal to 180% of the higher of the Market Value and the Newly Issued Price.</w:t>
      </w:r>
    </w:p>
    <w:p>
      <w:pPr>
        <w:spacing w:after="0" w:line="3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In case of any reclassification or reorganization of the outstanding Common Stock (other than those described above or that solely affects the par value of such Common Stock), or in the case of any merger or consolidation of the Company with or into another corporation (other than a consolidation or merger in which the Company are the continuing corporation and that does not result in any reclassification or reorganization of the issued and outstanding Common Stock), or in the case of any sale or conveyance to another corporation or entity of the assets or other property of the Company as an entirety or substantially as an entirety in connection with which the Company are dissolved, the holders of the warrants will thereafter have the right to purchase and receive, upon the basis and upon the terms and conditions specified in the warrants and in lieu of the Common Stock immediately theretofore purchasable and receivable upon the exercise of the rights represented thereby, the kind and amount of shares of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stockholders as provided for in its amended and restated certificate of incorporation or as a result of the redemption of Common Stock by the Company if a proposed initial business combination is presented to the Company’ stockholders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shares of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Common Stock in such a transaction is payable in the form of Common Stock in the successor entity that is listed for trading on a national securities exchange or is quoted in an established over- 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40"/>
        <w:spacing w:after="0" w:line="241" w:lineRule="auto"/>
        <w:rPr>
          <w:sz w:val="20"/>
          <w:szCs w:val="20"/>
          <w:color w:val="auto"/>
        </w:rPr>
      </w:pPr>
      <w:r>
        <w:rPr>
          <w:rFonts w:ascii="Times New Roman" w:cs="Times New Roman" w:eastAsia="Times New Roman" w:hAnsi="Times New Roman"/>
          <w:sz w:val="16"/>
          <w:szCs w:val="16"/>
          <w:color w:val="auto"/>
        </w:rPr>
        <w:t>The warrants will be issued in registered form under a warrant agreement between Continental Stock Transfer &amp; Trust Company, as warrant agent, and the Company.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thereof. You should review a copy of the warrant agreement, which will be filed as an exhibit to the registration statement of which this proxy statement/prospectus is a part, for a complete description of the terms and conditions applicable to the warrants.</w:t>
      </w:r>
    </w:p>
    <w:p>
      <w:pPr>
        <w:spacing w:after="0" w:line="157" w:lineRule="exact"/>
        <w:rPr>
          <w:sz w:val="20"/>
          <w:szCs w:val="20"/>
          <w:color w:val="auto"/>
        </w:rPr>
      </w:pPr>
    </w:p>
    <w:p>
      <w:pPr>
        <w:jc w:val="both"/>
        <w:ind w:right="40"/>
        <w:spacing w:after="0" w:line="241" w:lineRule="auto"/>
        <w:rPr>
          <w:sz w:val="20"/>
          <w:szCs w:val="20"/>
          <w:color w:val="auto"/>
        </w:rPr>
      </w:pPr>
      <w:r>
        <w:rPr>
          <w:rFonts w:ascii="Times New Roman" w:cs="Times New Roman" w:eastAsia="Times New Roman" w:hAnsi="Times New Roman"/>
          <w:sz w:val="16"/>
          <w:szCs w:val="16"/>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Common Stock. After the issuance of Common Stock upon exercise of the warrants, each holder will be entitled to one vote for each share held of record on all matters to be voted on by stockholders.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Private Placement Warrants</w:t>
      </w:r>
    </w:p>
    <w:p>
      <w:pPr>
        <w:spacing w:after="0" w:line="18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Except as described below, the Private Warrants have terms and provisions that are identical to those of the Public Warrants. The Private Warrants (including the Common Stock issuable upon exercise of such Private Warrants) will not be transferable, assignable or salable until July 18, 2025 (except, among other limited exceptions to certain officers and directors and other persons or entities affiliated with the holder of such Private Warrants) and they will not be redeemable by the Company so long as they are held by the Sponsor, members of the Sponsor, or their permitted transferees. The Sponsor, members of the Sponsor, or their permitted transferees have the option to exercise the Private Warrants on a cashless basis. If the Private Warrants are held by holders other than the Sponsor, members of the Sponsor, the Wentworth Members or their permitted transferees, the Private Warrants will be redeemable by the Company in all redemption scenarios and exercisable by the holders on the same basis as the Public Warrants.</w:t>
      </w:r>
    </w:p>
    <w:p>
      <w:pPr>
        <w:spacing w:after="0" w:line="158"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4"/>
          <w:szCs w:val="14"/>
          <w:color w:val="auto"/>
        </w:rPr>
        <w:t>If holders of the Private Warrants elect to exercise its Private Warrants on a cashless basis, they would pay the exercise price by surrendering their warrants for that number of shares of Common Stock equal to the quotient obtained by dividing (x) the product of the number of shares of Common Stock underlying the warrants, multiplied by the excess of the “exercise fair market value” (defined below) over the exercise price of the warrants by (y) the exercise fair market value. The “exercise</w:t>
      </w:r>
    </w:p>
    <w:p>
      <w:pPr>
        <w:sectPr>
          <w:pgSz w:w="11900" w:h="16840" w:orient="portrait"/>
          <w:cols w:equalWidth="0" w:num="1">
            <w:col w:w="10600"/>
          </w:cols>
          <w:pgMar w:left="660" w:top="557" w:right="640" w:bottom="0" w:gutter="0" w:footer="0" w:header="0"/>
        </w:sectPr>
      </w:pPr>
    </w:p>
    <w:bookmarkStart w:id="72" w:name="page73"/>
    <w:bookmarkEnd w:id="72"/>
    <w:p>
      <w:pPr>
        <w:jc w:val="both"/>
        <w:spacing w:after="0" w:line="280" w:lineRule="auto"/>
        <w:rPr>
          <w:sz w:val="20"/>
          <w:szCs w:val="20"/>
          <w:color w:val="auto"/>
        </w:rPr>
      </w:pPr>
      <w:r>
        <w:rPr>
          <w:rFonts w:ascii="Times New Roman" w:cs="Times New Roman" w:eastAsia="Times New Roman" w:hAnsi="Times New Roman"/>
          <w:sz w:val="14"/>
          <w:szCs w:val="14"/>
          <w:color w:val="auto"/>
        </w:rPr>
        <w:t>fair market value” will mean the average reported closing price of the Common Stock for the 10 trading days ending on the third trading day prior to the date on which the notice of warrant exercise is sent to the warrant agent. The Private Warrants will be exercisable on a cashless basis so long as they are held by the Sponsor, members of the Sponsor, the Wentworth Members or their permitted transferees because they may be affiliated with the Company following the Business Combination. If they remain affiliated with the Company, their ability to sell the Company’ securities in the open market will be significantly limited. the Company has policies in place that prohibit insiders from selling the Company’ securities except during specific periods of time. Even during such periods of time when insiders will be permitted to sell the Company’ securities, an insider cannot trade in the Company’ securities if they are in possession of material non-public information.</w:t>
      </w: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Accordingly, unlike public stockholders who could exercise their warrants and sell the shares of Common Stock received upon such exercise freely in the open market in order to recoup the cost of such exercise, the insiders could be significantly restricted from selling such securities. As a result, the Company believes that allowing the holders to exercise such Private Warrants on a cashless basis is appropriate.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17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Declaration and payment of any dividend will be subject to the discretion of the Board. The time and amount of dividends will be dependent upon, among other things, the Company’s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may regard as relevant. Dividends may be payable in cash, stock or property of the Holdings.</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Holdings currently intends to retain all available funds and any future earnings to fund the development and growth of the business, and therefore does not anticipate declaring or paying any cash dividends on Common Stock in the foreseeable future.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of Directors</w:t>
      </w:r>
    </w:p>
    <w:p>
      <w:pPr>
        <w:spacing w:after="0" w:line="17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The Company Charter provides that the Board will consist of three classes of directors, Class I, Class II and Class II, with the members of the board of directors of the Company being elected to serve as Class I, Class II and Class III directors to serve staggered terms until the first, second and third annual meeting of stockholders of the Company, respectively, or until their respective successors are duly elected and qualified, or until their earlier resignation, removal, or death. At each succeeding annual meeting of stockholders, directors will be elected for a full term of three years to succeed the directors of the class whose terms expire at such annual meeting. Any director may be removed from office by the stockholders of the Company as provided in Section 141(k) of the DGCL only for cause.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Anti-Takeover Provisions</w:t>
      </w:r>
    </w:p>
    <w:p>
      <w:pPr>
        <w:spacing w:after="0" w:line="17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The Company Charter and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the Board, which we believe may result in an improvement of the terms of any such acquisition in favor of the stockholders. However, they also give the Board the power to discourage acquisitions that some stockholders may favor. Additionally, the creation of a classified board of directors may prevent attempts by our stockholders to replace or remove our current management.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Authorized but Unissued Shares</w:t>
      </w:r>
    </w:p>
    <w:p>
      <w:pPr>
        <w:spacing w:after="0" w:line="17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 authorized but unissued shares of Common Stock and preferred stock are available for future issuance without stockholder approval, subject to any limitations imposed by the listing standards of Nasdaq. These additional shares may be used for a variety of corporate purposes, including corporate finance transactions, acquisitions and employee benefit plans. The existence of authorized but unissued and unreserved Holdings Common Stock and preferred stock could make more difficult or discourage an attempt to obtain control of us by means of a proxy contest, tender offer, merger or otherwise.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Stockholder Action; Stockholders’ Meetings</w:t>
      </w:r>
    </w:p>
    <w:p>
      <w:pPr>
        <w:spacing w:after="0" w:line="18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The Company Charter provides that stockholders may not take action by written consent to remove a director. As a result, a holder controlling a majority of the Company’s capital stock would not be able to amend the bylaws or remove directors without holding a meeting of stockholders called for that purpose in accordance with the Company’s bylaws. Further, the Company Charter provides that only the chairperson of the Board, the Chief Executive Officer, or a majority of the Board, by resolution, may call a special Stockholders’ Meeting of the stockholders, thus prohibiting a stockholder from calling a special Stockholders’ Meeting. These provisions might delay the ability of the stockholders to force consideration of a proposal or for the stockholders controlling a majority of the Company’s capital stock to take any action, including the removal of directors.</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Advance Notice Requirements for Stockholder Proposals and Director Nominations</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In addition, the Bylaws establish an advance notice procedure for stockholder proposals to be brought before an annual meeting of stockholders. Generally, in order for any matter to be “properly brought” before an annual meeting, the matter must be (i) specified in a notice of meeting given by or at the direction of the Board, (ii) if not specified in a notice of meeting, otherwise brought before the meeting by or at the direction of the Board, or (iii) otherwise properly brought before the meeting by a stockholder present in person who (A) was a stockholder both at the time of giving the notice and on the record date for the determination of stockholders entitled to vote at such annual meeting, (B) is entitled to vote at the meeting, and (C) has complied with the advance notice procedures specified in the Bylaws or properly made such proposal in accordance with Rule 14a-8 under the Exchange Act and the rules and regulations thereunder, which proposal has been included in the proxy statement for the annual meeting. Further, for business to be properly brought before an annual meeting by a stockholder, the stockholder must provide Timely Notice (as defined herein) thereof in writing and in proper form to the secretary of the Company. To be timely, a stockholder’s notice must be received at, the Company’s principal executive offices not less than 90 days nor more than 120 days prior to the one-year anniversary of the preceding year’s annual meeting; provided, however, that if the date of the annual meeting is more than 30 days before or more than 30 days after such anniversary date, notice by the stockholder to be timely must be received, not earlier than the close of business 120 days before the meeting and not later than the later of (x) the close of business 90 days before the meeting or (y) the close of</w:t>
      </w:r>
    </w:p>
    <w:p>
      <w:pPr>
        <w:spacing w:after="0" w:line="165"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6"/>
          <w:szCs w:val="16"/>
          <w:color w:val="auto"/>
        </w:rPr>
        <w:t>business on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day following the day on which public disclosure of the date of such annual meeting was first made by the Company (such notice within such time periods, “</w:t>
      </w:r>
      <w:r>
        <w:rPr>
          <w:rFonts w:ascii="Times New Roman" w:cs="Times New Roman" w:eastAsia="Times New Roman" w:hAnsi="Times New Roman"/>
          <w:sz w:val="16"/>
          <w:szCs w:val="16"/>
          <w:b w:val="1"/>
          <w:bCs w:val="1"/>
          <w:i w:val="1"/>
          <w:iCs w:val="1"/>
          <w:color w:val="auto"/>
        </w:rPr>
        <w:t>Timely Notice</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Stockholders at an annual meeting or Stockholders’ Meeting may only consider proposals or nominations specified in the notice of meeting or brought before the meeting by or at the direction of the Board or by a qualified stockholder of record on the record date for the meeting, who is entitled to vote at the meeting and who has delivered written Timely Notice in proper form to the Company’s secretary of the stockholder’s intention to bring such business before the meeting. These provisions could have the effect of delaying stockholder actions that are favored by the holders of a majority of the outstanding voting securities until the next stockholder meeting.</w:t>
      </w:r>
    </w:p>
    <w:p>
      <w:pPr>
        <w:sectPr>
          <w:pgSz w:w="11900" w:h="16840" w:orient="portrait"/>
          <w:cols w:equalWidth="0" w:num="1">
            <w:col w:w="10580"/>
          </w:cols>
          <w:pgMar w:left="660" w:top="557" w:right="660" w:bottom="119"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i w:val="1"/>
          <w:iCs w:val="1"/>
          <w:color w:val="auto"/>
        </w:rPr>
        <w:t>Amendment of Charter or Bylaws</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Bylaws provide that the bylaws may be amended or repealed by a majority vote of the Board or by the holders of at least a majority of the voting power of all of the then-outstanding shares entitled to vote generally in the election of directors, voting as a single class. The Charter can be amended in accordance with the DGCL which requires approval by the Board and stockholders of the Holdings.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Limitations on Liability and Indemnification of Officers and Directors</w:t>
      </w:r>
    </w:p>
    <w:p>
      <w:pPr>
        <w:spacing w:after="0" w:line="18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The Charter and Bylaws will provide indemnification and advancement of expenses for the Company’s directors and officers to the fullest extent permitted by the DGCL, subject to certain limited exceptions. The Company has entered into, or will enter into, indemnification agreements with each of its directors and officers. Under the terms of such indemnification agreements, the Company will be required to indemnify each of the Company’s directors and officers, if the basis of the indemnitee’s involvement was by reason of the fact that the indemnitee is or was a director of officer of the Company or any of its subsidiaries or was serving at the request of the Company in an official capacity of another entity. In some cases, the provisions of those indemnification agreements may be broader than the specific indemnification provisions contained under Delaware law. In addition, as permitted by Delaware law, the Charter and the Bylaws will include provisions that eliminate the personal liability of directors for monetary damages resulting from breaches of certain fiduciary duties as a director.</w:t>
      </w:r>
    </w:p>
    <w:p>
      <w:pPr>
        <w:spacing w:after="0" w:line="15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effect of this provision is to restrict the Company’s rights and the rights of the Company’s stockholders in derivative suits to recover monetary damages against a director for breach of fiduciary duties as a director.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provisions may be held not to be enforceable for violations of the federal securities laws of the United States.</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Dissenters’ Rights of Appraisal and Payment</w:t>
      </w:r>
    </w:p>
    <w:p>
      <w:pPr>
        <w:spacing w:after="0" w:line="1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Under the DGCL, with certain exceptions, the Company’s stockholders will have appraisal rights in connection with a merger or consolidation of the Company. Pursuant to Section 262 of the DGCL, stockholders who properly demand and perfect appraisal rights in connection with such merger or consolidation will have the right to receive payment of the fair value of their shares as determined by the Delaware Court of Chancery.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Stockholders’ Derivative Actions</w:t>
      </w:r>
    </w:p>
    <w:p>
      <w:pPr>
        <w:spacing w:after="0" w:line="17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Under the DGCL, any stockholder may bring an action in the Company’s name to procure a judgment in its favor, also known as a derivative action, provided that the stockholder bringing the action is a holder of the Holdings’ shares at the time of the transaction to which the action relates.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Forum Selection</w:t>
      </w:r>
    </w:p>
    <w:p>
      <w:pPr>
        <w:spacing w:after="0" w:line="17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The Bylaws provide that unless the Company consents in writing to the selection of an alternative forum, the Court of Chancery of the State of Delaware will, to the fullest extent permitted by applicable law, be the sole and exclusive forum for: (i) any derivative action brought by a stockholder on behalf of the Company, (ii) any claim of breach of a fiduciary duty owed by any of the Company’s directors, officers, stockholders, employees or agents to the Company or the Company’ stockholders,</w:t>
      </w:r>
    </w:p>
    <w:p>
      <w:pPr>
        <w:spacing w:after="0" w:line="1" w:lineRule="exact"/>
        <w:rPr>
          <w:sz w:val="20"/>
          <w:szCs w:val="20"/>
          <w:color w:val="auto"/>
        </w:rPr>
      </w:pPr>
    </w:p>
    <w:p>
      <w:pPr>
        <w:jc w:val="both"/>
        <w:ind w:right="20" w:firstLine="6"/>
        <w:spacing w:after="0" w:line="237" w:lineRule="auto"/>
        <w:tabs>
          <w:tab w:leader="none" w:pos="291"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claim against the Company, its directors, officers or employees arising under its charter, bylaws or the DGCL, or (iv) any claim against the Company, its directors, officers or employees governed by the internal affairs doctrine. The Proposed Charter designates the federal district courts of the United States of America as the exclusive forum for the resolution of any complaint asserting a cause of action arising under the Securities Act of 1933, as amended.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Listing of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Common Stock and Warrants are listed on the Nasdaq under the symbols “DAIC” and “DAICW,”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transfer agent and registrar for the Company’s securities is Continental Stock Transfer &amp; Trust Company.</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PLAN OF DISTRIBUTION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registering the issuance by us of 14,999,983 shares of Common Stock issuable by us upon exercise of the Public Warrants.</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color w:val="auto"/>
        </w:rPr>
        <w:t>We are also registering the offer and sale from time to time by the Selling Securityholders or their permitted transferees 29,701,559 Total Resale Shares, including (i) 11,522,565 shares of Common Stock which shares were originally issued to certain SEE ID Equityholders in connection with the consummation of the Business Combination as merger consideration at an equity consideration value of $10.00 per share; (ii) up to 7,365,834 Founder Shares issued in connection with the consummation of the Business Combination, originally issued in a private placement to ShoulderUp Technology Sponsor LLC, a Delaware limited liability company (“Sponsor”); (iii) up to 1,310,000 Private Placement Shares originally issued in a private placement to the Sponsor as part of the Private Placement Units at a price of $10.00 per Private Placement Unit; (iv) up to 3,323,536 PIPE Shares originally issued in a private placement to certain investors pursuant to the PIPE Subscription Agreements at price of $4.00 per share; (v) up to 5,524,624 New Circle Shares issuable pursuant to the ELOC Agreement, comprised of (a) 85,995 Commitment Shares issuable to New Circle, based on the commitment fee of $350,000 to be calculated using the market value of the closing price of the Common Stock on the date this Registration Statement is declared effective by the SEC, and (b) 5,438,629 ELOC Shares that we may, in our sole discretion, elect to issue and sell to New Circle, from time to time after the date of this prospectus, as part of the Total Commitment pursuant to (and limited by the terms of) the ELOC Agreement; (vi) up to 655,000 shares of Common Stock that are issuable by us upon the exercise of the Private Placement Warrants (as defined below) following the public resale of the Private Placement Warrants by the Selling Securityholders; and (2) up to 655,000 Private Placement Warrants originally issued to the Sponsor as part of the Private Placement Units in a private placement at a price of $10.00 per Private Placement Unit, currently exercisable at a price of $11.50 per share. Additional information about any offering may be provided in a prospectus supplement that describes, among other things, the specific amounts and prices of the Common Stock and Warrants being offered and the terms of the offering.</w:t>
      </w:r>
    </w:p>
    <w:p>
      <w:pPr>
        <w:spacing w:after="0" w:line="1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Selling Securityholders may offer and sell, from time to time, all or any portion of their respective shares of Common Stock or Warrants covered by this prospectus. The Selling Securityholders will act independently of us in making decisions with respect to the timing, manner and size of each sale. Such sales may be made on one or more exchanges or in the over-the- 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ectPr>
          <w:pgSz w:w="11900" w:h="16840" w:orient="portrait"/>
          <w:cols w:equalWidth="0" w:num="1">
            <w:col w:w="10580"/>
          </w:cols>
          <w:pgMar w:left="660" w:top="733" w:right="660" w:bottom="185" w:gutter="0" w:footer="0" w:header="0"/>
        </w:sectPr>
      </w:pPr>
    </w:p>
    <w:bookmarkStart w:id="74" w:name="page75"/>
    <w:bookmarkEnd w:id="74"/>
    <w:p>
      <w:pPr>
        <w:ind w:left="580" w:hanging="286"/>
        <w:spacing w:after="0"/>
        <w:tabs>
          <w:tab w:leader="none" w:pos="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Nasdaq, in the over-the-counter market or on any other national securities exchange on which our securities are listed or traded;</w:t>
      </w:r>
    </w:p>
    <w:p>
      <w:pPr>
        <w:spacing w:after="0" w:line="188"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privately negotiated transactions;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underwritten transactions;</w:t>
      </w:r>
    </w:p>
    <w:p>
      <w:pPr>
        <w:spacing w:after="0" w:line="176"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 block trade in which a broker-dealer will attempt to sell the offered securities as agent but may purchase and resell a portion of the block as principal to facilitate the transaction;</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purchases by a broker-dealer as principal and resale by the broker-dealer for its account pursuant to this prospectus;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ordinary brokerage transactions and transactions in which the broker solicits purchasers;</w:t>
      </w:r>
    </w:p>
    <w:p>
      <w:pPr>
        <w:spacing w:after="0" w:line="176" w:lineRule="exact"/>
        <w:rPr>
          <w:rFonts w:ascii="Times New Roman" w:cs="Times New Roman" w:eastAsia="Times New Roman" w:hAnsi="Times New Roman"/>
          <w:sz w:val="16"/>
          <w:szCs w:val="16"/>
          <w:color w:val="auto"/>
        </w:rPr>
      </w:pPr>
    </w:p>
    <w:p>
      <w:pPr>
        <w:ind w:left="580" w:right="40" w:hanging="286"/>
        <w:spacing w:after="0" w:line="259" w:lineRule="auto"/>
        <w:tabs>
          <w:tab w:leader="none" w:pos="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the writing or settlement of options (including put or call options) or other hedging transactions, whether the options are listed on an options exchange or otherwise;</w:t>
      </w:r>
    </w:p>
    <w:p>
      <w:pPr>
        <w:spacing w:after="0" w:line="143"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the distribution of the securities by any Selling Securityholder to its partners, members or stockholders;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short sales entered into after the effective date of the registration statement of which this prospectus forms a part;</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pledge to secured debts and other obligations;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or through underwriters or agents;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market” or through market makers or into an existing market for the securities; and</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permitted pursuant to applicable law.</w:t>
      </w:r>
    </w:p>
    <w:p>
      <w:pPr>
        <w:spacing w:after="0" w:line="3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6"/>
          <w:szCs w:val="16"/>
          <w:color w:val="auto"/>
        </w:rPr>
        <w:t>The Selling Securityholders may sell the securities at prices then prevailing, related to the then prevailing market price or at negotiated prices. The offering price of the securities from time to time will be determined by the Selling Securityholders and, at the time of the determination, may be higher or lower than the market price of our securities on the Nasdaq or any other exchange or market. The Selling Securityholders may also sell our securities short and deliver the securities to close out their short positions or loan or pledge the securities to broker-dealers or other financial institutions that in turn may sell the securities. The shares may be sold directly or through broker-dealers or other financial institutions acting as principal or agent or pursuant to a distribution by one or more underwriters on a firm commitment or best-efforts basis. The Selling Securityholders may also enter into hedging transactions with broker-dealers or other financial institutions. In connection with such transactions, broker-dealers or other financial institutions may engage in short sales of our securities in the course of hedging the positions they assume with the Selling Securityholders. The Selling Securityholders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A Selling Securityholder that is an entity may elect to make an in-kind distribution of Common Stock or Warrants to its members, partners or shareholders pursuant to the registration statement of which this prospectus is a part by delivering a prospectus. In connection with an underwritten offering, underwriters or agents may receive compensation in the form of discounts, concessions or commissions from the Selling Securityholders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Securityholders and any underwriters, dealers or agents participating in a distribution of the securities may be deemed to be “underwriters” within the meaning of the Securities Act, and any profit on the sale of the securities by the Selling Securityholders and any commissions received by broker-dealers may be deemed to be underwriting commissions under the Securities Act.</w:t>
      </w:r>
    </w:p>
    <w:p>
      <w:pPr>
        <w:spacing w:after="0" w:line="165"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New Circle is an “underwriter” within the meaning of Section 2(a)(11) of the Securities Act, and any profits on the sales of shares of our Common Stock by New Circle and any discounts, commissions, or concessions received by New Circle are deemed to be underwriting discounts and commissions under the Securities Act. We know of no existing arrangements between New Circle or any other stockholder, broker, dealer, underwriter, or agent relating to the sale or distribution of the shares of our common stock offered by this prospectus.</w:t>
      </w:r>
    </w:p>
    <w:p>
      <w:pPr>
        <w:spacing w:after="0" w:line="15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New Circle has agreed that it and its affiliates will not engage in any short sales during the term of the ELOC and will not enter into any transaction that establishes a net short position with respect to the Common Stock. The ELOC stipulates that the New Circle may sell our Common Stock to be issued pursuant to a Purchase Notice, following receipt of the Purchase Notice, and may sell other Common Stock acquired pursuant to the ELOC that the Selling Stockholder has continuously held from a prior date of acquisition.</w:t>
      </w:r>
    </w:p>
    <w:p>
      <w:pPr>
        <w:spacing w:after="0" w:line="155"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The Selling Securityholders party to the Registration Rights and Lock-Up Agreement have agreed, and the other Selling Securityholders may agree, to indemnify the underwriters, their officers, directors and each person who controls such underwriters (within the meaning of the Securities Act), against certain liabilities related to the sale of the securities, including liabilities under the Securities Act.</w:t>
      </w:r>
    </w:p>
    <w:p>
      <w:pPr>
        <w:spacing w:after="0" w:line="3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5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Selling Securityholders, including New Circle, are subject to the applicable provisions of the Exchange Act, including Regulation M. This regulation, if applicable to sales hereunder, may limit the timing of purchases and sales of any of the securities offered in this prospectus by the Selling Securityholders. The anti-manipulation rules under the Exchange Act may apply to sales of the securities in the market and to the activities of the Selling Securityholders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61"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4"/>
          <w:szCs w:val="14"/>
          <w:color w:val="auto"/>
        </w:rPr>
        <w:t>In addition, a Selling Securityholder that is an entity may elect to make a pro rata in- 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ectPr>
          <w:pgSz w:w="11900" w:h="16840" w:orient="portrait"/>
          <w:cols w:equalWidth="0" w:num="1">
            <w:col w:w="10600"/>
          </w:cols>
          <w:pgMar w:left="660" w:top="557" w:right="640" w:bottom="0" w:gutter="0" w:footer="0" w:header="0"/>
        </w:sectPr>
      </w:pPr>
    </w:p>
    <w:bookmarkStart w:id="75" w:name="page76"/>
    <w:bookmarkEnd w:id="75"/>
    <w:p>
      <w:pPr>
        <w:jc w:val="both"/>
        <w:ind w:right="20"/>
        <w:spacing w:after="0" w:line="299" w:lineRule="auto"/>
        <w:rPr>
          <w:sz w:val="20"/>
          <w:szCs w:val="20"/>
          <w:color w:val="auto"/>
        </w:rPr>
      </w:pPr>
      <w:r>
        <w:rPr>
          <w:rFonts w:ascii="Times New Roman" w:cs="Times New Roman" w:eastAsia="Times New Roman" w:hAnsi="Times New Roman"/>
          <w:sz w:val="14"/>
          <w:szCs w:val="14"/>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19"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To the extent required, this prospectus may be amended and/or supplemented from time to time to describe a specific plan of distribution. Instead of selling the securities under this prospectus, the Selling Securityholders may sell the securities in compliance with the provisions of Rule 144 under the Securities Act, if available, or pursuant to other available exemptions from the registration requirements of the Securities Act.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Restrictions to Sell</w:t>
      </w:r>
    </w:p>
    <w:p>
      <w:pPr>
        <w:spacing w:after="0" w:line="17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Pursuant to the Registration Rights and Lock-Up Agreement, the Holders (as defined therein) are subject to a 180 day lock up period (subject to customary exceptions) in respect of their shares of Common Stock received in the Business Combination (subject to certain customary exceptions).</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 FEDERAL INCOME TAX CONSIDERATIONS</w:t>
      </w:r>
    </w:p>
    <w:p>
      <w:pPr>
        <w:spacing w:after="0" w:line="178"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following is a discussion of certain material U.S. federal income tax consequences of the acquisition, ownership and disposition of our Common Stock and Warrants, which we refer to collectively as our securities. This discussion applies only to securities that are held as capital assets for U.S. federal income tax purposes and is applicable only to holders who are receiving our securities in this offering.</w:t>
      </w:r>
    </w:p>
    <w:p>
      <w:pPr>
        <w:spacing w:after="0" w:line="152"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including but not limited to:</w:t>
      </w:r>
    </w:p>
    <w:p>
      <w:pPr>
        <w:spacing w:after="0" w:line="152" w:lineRule="exact"/>
        <w:rPr>
          <w:sz w:val="20"/>
          <w:szCs w:val="20"/>
          <w:color w:val="auto"/>
        </w:rPr>
      </w:pPr>
    </w:p>
    <w:p>
      <w:pPr>
        <w:ind w:left="580" w:hanging="286"/>
        <w:spacing w:after="0"/>
        <w:tabs>
          <w:tab w:leader="none" w:pos="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institutions or financial services entities;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broker-dealers;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governments or agencies or instrumentalities thereof;</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regulated investment companies;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investment trusts;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actually or constructively own five percent or more of our voting shares;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companies;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dealers or traders subject to a mark-to-market method of accounting with respect to the securities;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holding the securities as part of a “straddle,” hedge, integrated transaction or similar transaction;</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acquired the securities through the exercise or cancellation of employee stock options or otherwise as compensation for their services;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holders (as defined below) whose functional currency is not the U.S. dollar;</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expatriates or former long-term residents of the U.S.;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partnerships or other pass-through entities for U.S. federal income tax purposes and any beneficial owners of such entities; and</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entities.</w:t>
      </w:r>
    </w:p>
    <w:p>
      <w:pPr>
        <w:spacing w:after="0" w:line="176"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This discussion is based on the Code, and administrative pronouncements, judicial decisions and final, temporary and proposed U.S.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55"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4"/>
          <w:szCs w:val="14"/>
          <w:color w:val="auto"/>
        </w:rPr>
        <w:t>We have not sought, and will not seek, a ruling from the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3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This discussion does not consider the tax treatment of partnerships or other pass -through entities or persons who hold our securities through such entities. If a partnership (or other entity or arrangement classified as a partnership or other pass-through entity for U.S. federal income tax purposes) is the beneficial owner of our securities, the U.S.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we urge you to consult your own tax advisor.</w:t>
      </w:r>
    </w:p>
    <w:p>
      <w:pPr>
        <w:spacing w:after="0" w:line="155"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b w:val="1"/>
          <w:bCs w:val="1"/>
          <w:color w:val="auto"/>
        </w:rPr>
        <w:t>THIS DISCUSSION IS ONLY A SUMMARY OF CERTAIN U.S.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NON-U.S. TAX LAWS.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 Holders</w:t>
      </w:r>
    </w:p>
    <w:p>
      <w:pPr>
        <w:sectPr>
          <w:pgSz w:w="11900" w:h="16840" w:orient="portrait"/>
          <w:cols w:equalWidth="0" w:num="1">
            <w:col w:w="10600"/>
          </w:cols>
          <w:pgMar w:left="660" w:top="737" w:right="640" w:bottom="208" w:gutter="0" w:footer="0" w:header="0"/>
        </w:sectPr>
      </w:pPr>
    </w:p>
    <w:bookmarkStart w:id="76" w:name="page77"/>
    <w:bookmarkEnd w:id="76"/>
    <w:p>
      <w:pPr>
        <w:ind w:right="80"/>
        <w:spacing w:after="0" w:line="259" w:lineRule="auto"/>
        <w:rPr>
          <w:sz w:val="20"/>
          <w:szCs w:val="20"/>
          <w:color w:val="auto"/>
        </w:rPr>
      </w:pPr>
      <w:r>
        <w:rPr>
          <w:rFonts w:ascii="Times New Roman" w:cs="Times New Roman" w:eastAsia="Times New Roman" w:hAnsi="Times New Roman"/>
          <w:sz w:val="16"/>
          <w:szCs w:val="16"/>
          <w:color w:val="auto"/>
        </w:rPr>
        <w:t>This section applies to you if you are a “U.S. holder.” A U.S. holder is a beneficial owner of our shares of Common Stock or Warrants who or that is, for U.S. federal income tax purposes:</w:t>
      </w:r>
    </w:p>
    <w:p>
      <w:pPr>
        <w:spacing w:after="0" w:line="143" w:lineRule="exact"/>
        <w:rPr>
          <w:sz w:val="20"/>
          <w:szCs w:val="20"/>
          <w:color w:val="auto"/>
        </w:rPr>
      </w:pPr>
    </w:p>
    <w:p>
      <w:pPr>
        <w:ind w:left="580" w:hanging="286"/>
        <w:spacing w:after="0"/>
        <w:tabs>
          <w:tab w:leader="none" w:pos="5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resident of the United States;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taxable as a corporation) organized in or under the laws of the United States, any state thereof or the District of Columbia;</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includible in gross income for U.S. federal income tax purposes regardless of its source; or</w:t>
      </w:r>
    </w:p>
    <w:p>
      <w:pPr>
        <w:spacing w:after="0" w:line="176" w:lineRule="exact"/>
        <w:rPr>
          <w:rFonts w:ascii="Times New Roman" w:cs="Times New Roman" w:eastAsia="Times New Roman" w:hAnsi="Times New Roman"/>
          <w:sz w:val="16"/>
          <w:szCs w:val="16"/>
          <w:color w:val="auto"/>
        </w:rPr>
      </w:pPr>
    </w:p>
    <w:p>
      <w:pPr>
        <w:jc w:val="both"/>
        <w:ind w:left="580" w:hanging="286"/>
        <w:spacing w:after="0" w:line="247" w:lineRule="auto"/>
        <w:tabs>
          <w:tab w:leader="none" w:pos="5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U.S. Treasury regulations to be treated as a U.S. person.</w:t>
      </w:r>
    </w:p>
    <w:p>
      <w:pPr>
        <w:spacing w:after="0" w:line="150"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6"/>
          <w:szCs w:val="16"/>
          <w:i w:val="1"/>
          <w:iCs w:val="1"/>
          <w:color w:val="auto"/>
        </w:rPr>
        <w:t xml:space="preserve">Taxation of Distributions. </w:t>
      </w:r>
      <w:r>
        <w:rPr>
          <w:rFonts w:ascii="Times New Roman" w:cs="Times New Roman" w:eastAsia="Times New Roman" w:hAnsi="Times New Roman"/>
          <w:sz w:val="16"/>
          <w:szCs w:val="16"/>
          <w:color w:val="auto"/>
        </w:rPr>
        <w:t>If we pay distributions in cash or other property (other than certain distributions of our stock or rights to acquire our stock) to U.S. holders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 w:cs="Times New Roman" w:eastAsia="Times New Roman" w:hAnsi="Times New Roman"/>
          <w:sz w:val="16"/>
          <w:szCs w:val="16"/>
          <w:i w:val="1"/>
          <w:iCs w:val="1"/>
          <w:color w:val="auto"/>
        </w:rPr>
        <w:t>U.S. Holders-Gain or Loss on Sale,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Taxable Exchange or Other Taxable Disposition of Common Stock and Warrants</w:t>
      </w:r>
      <w:r>
        <w:rPr>
          <w:rFonts w:ascii="Times New Roman" w:cs="Times New Roman" w:eastAsia="Times New Roman" w:hAnsi="Times New Roman"/>
          <w:sz w:val="16"/>
          <w:szCs w:val="16"/>
          <w:color w:val="auto"/>
        </w:rPr>
        <w:t>” below.</w:t>
      </w:r>
    </w:p>
    <w:p>
      <w:pPr>
        <w:spacing w:after="0" w:line="15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 term capital 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59"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Gain or Loss on Sale, Taxable Exchange or Other Taxable Disposition of Common Stock and Warrants. </w:t>
      </w:r>
      <w:r>
        <w:rPr>
          <w:rFonts w:ascii="Times New Roman" w:cs="Times New Roman" w:eastAsia="Times New Roman" w:hAnsi="Times New Roman"/>
          <w:sz w:val="16"/>
          <w:szCs w:val="16"/>
          <w:color w:val="auto"/>
        </w:rPr>
        <w:t>A U.S. holder will generally recognize gain or loss on the sale,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taxable exchange or other taxable disposition of our Common Stock or Warrants which, in general, would include a redemption of Warrants that is treated as a sale as described below. Any such gain or loss will be capital gain or loss in an amount equal to the difference between the amount realized and the U.S. holder’s adjusted tax basis in the Common Stock or Warrants. Any such capital gain or loss generally will be long- term capital gain or loss if the U.S. holder’s holding period for the Common Stock or Warrants so disposed of exceeds one year. Long -term capital gains recognized by non-corporate U.S. holders may be eligible to be taxed at reduced rates. If the holding period requirements are not satisfied, any gain on a sale or taxable disposition of the shares or warrants would be subject to short-term capital gain treatment and would be taxed at regular ordinary income tax rates. The deductibility of capital losses is subject to limitations.</w:t>
      </w:r>
    </w:p>
    <w:p>
      <w:pPr>
        <w:spacing w:after="0" w:line="3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or Warrants so disposed of. A U.S. holder’s adjusted tax basis in its Common Stock or Warrants generally will equal the U.S. holder’s acquisition cost for the Common Stock or Warrants less, in the case of a share of Common Stock, any prior distributions treated as a return of capital.</w:t>
      </w:r>
    </w:p>
    <w:p>
      <w:pPr>
        <w:spacing w:after="0" w:line="153"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6"/>
          <w:szCs w:val="16"/>
          <w:i w:val="1"/>
          <w:iCs w:val="1"/>
          <w:color w:val="auto"/>
        </w:rPr>
        <w:t xml:space="preserve">Exercise, Lapse or Redemption of a Warrant. </w:t>
      </w:r>
      <w:r>
        <w:rPr>
          <w:rFonts w:ascii="Times New Roman" w:cs="Times New Roman" w:eastAsia="Times New Roman" w:hAnsi="Times New Roman"/>
          <w:sz w:val="16"/>
          <w:szCs w:val="16"/>
          <w:color w:val="auto"/>
        </w:rPr>
        <w:t>Except as discussed below with respect to the cashless exercise of a warrant, a U.S. holder generally will not recognize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taxable gain or loss on the acquisition of our Common Stock upon exercise of a Warrant for cash. The U.S. holder’s tax basis in the share of our Common Stock received upon exercise of the Warrants generally will be an amount equal to the sum of the U.S. holder’s initial investment in the Warrants and the exercise price. It is unclear whether the U.S. holder’s holding period for the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Warrants.</w:t>
      </w:r>
    </w:p>
    <w:p>
      <w:pPr>
        <w:spacing w:after="0" w:line="158"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6"/>
          <w:szCs w:val="16"/>
          <w:color w:val="auto"/>
        </w:rPr>
        <w:t>The tax consequences of a cashless exercise of a Warrant are not clear under current tax law. A cashless exercise may be tax-free, either because the exercise is not a gain realization event or because the exercise is treated as a recapitalization for U.S. federal income tax purposes. In either tax-free situation, a U.S. holder’s basis in the Common Stock received would equal the holder’s basis in the Warrant. If the cashless exercise were treated as not being a gain realization event, a U.S. holder’s holding period in the Common Stock would either include the period during which the U.S. holder held the Warrant or be treated as commencing on the date following the date of exercise (or possibly the date of exercise) of the Warrant. If the cashless exercise were treated as a recapitalization, the holding period of the Common Stock would include the holding period of the Warrant.</w:t>
      </w:r>
    </w:p>
    <w:p>
      <w:pPr>
        <w:spacing w:after="0" w:line="161"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It is also possible that a cashless exercise could be treated in part as a taxable exchange in which gain or loss would be recognized. In such event, a U.S. holder would recognize gain or loss with respect to the portion of the exercised Warrants treated as surrendered to pay the exercise price of the Warrants (the “surrendered warrants”). The U.S. holder would recognize capital gain or loss in an amount equal to the difference between the fair market value of the surrendered warrants and the U.S. holder’s tax basis in such Warrants. In this case, a U.S. holder’s tax basis in the Common Stock received would equal the sum of the U.S. holder’s initial tax basis in the Warrants exercised (except for any such tax basis allocable to the surrendered warrants) and the exercise price of the exercised Warrants. A U.S. holder’s holding period for the Common Stock would commence on the date following the date of exercise (or possibly the date of exercise) of the Warrant.</w:t>
      </w:r>
    </w:p>
    <w:p>
      <w:pPr>
        <w:spacing w:after="0" w:line="161"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Due to the absence of authority on the U.S. federal income tax treatment of a cashless exercise, including when a U.S. holder’s holding period would commence with respect to the Common Stock received, there can be no assurance which of the alternative tax consequences and holding periods described above would be adopted by the IRS or a court of law. Accordingly, U.S. holders should consult their tax advisors regarding the tax consequences of a cashless exercise.</w:t>
      </w:r>
    </w:p>
    <w:p>
      <w:pPr>
        <w:spacing w:after="0" w:line="150"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If we redeem Warrants for cash pursuant to the redemption provisions described in the section of this prospectus entitled “</w:t>
      </w:r>
      <w:r>
        <w:rPr>
          <w:rFonts w:ascii="Times New Roman" w:cs="Times New Roman" w:eastAsia="Times New Roman" w:hAnsi="Times New Roman"/>
          <w:sz w:val="16"/>
          <w:szCs w:val="16"/>
          <w:i w:val="1"/>
          <w:iCs w:val="1"/>
          <w:color w:val="auto"/>
        </w:rPr>
        <w:t>Description of Securities- Warrants</w:t>
      </w:r>
      <w:r>
        <w:rPr>
          <w:rFonts w:ascii="Times New Roman" w:cs="Times New Roman" w:eastAsia="Times New Roman" w:hAnsi="Times New Roman"/>
          <w:sz w:val="16"/>
          <w:szCs w:val="16"/>
          <w:color w:val="auto"/>
        </w:rPr>
        <w:t>” or if we purchase Warrants in an open market transaction, such redemption or purchase generally will be treated as a taxable disposition to the U.S. holder, taxed as described above under “-</w:t>
      </w:r>
      <w:r>
        <w:rPr>
          <w:rFonts w:ascii="Times New Roman" w:cs="Times New Roman" w:eastAsia="Times New Roman" w:hAnsi="Times New Roman"/>
          <w:sz w:val="16"/>
          <w:szCs w:val="16"/>
          <w:i w:val="1"/>
          <w:iCs w:val="1"/>
          <w:color w:val="auto"/>
        </w:rPr>
        <w:t>Gain or Loss on Sale, Taxable Exchange or Other Taxable Disposition of Common Stock and Warrants</w:t>
      </w:r>
      <w:r>
        <w:rPr>
          <w:rFonts w:ascii="Times New Roman" w:cs="Times New Roman" w:eastAsia="Times New Roman" w:hAnsi="Times New Roman"/>
          <w:sz w:val="16"/>
          <w:szCs w:val="16"/>
          <w:color w:val="auto"/>
        </w:rPr>
        <w:t>.”</w:t>
      </w:r>
    </w:p>
    <w:p>
      <w:pPr>
        <w:spacing w:after="0" w:line="15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Possible Constructive Distributions. </w:t>
      </w:r>
      <w:r>
        <w:rPr>
          <w:rFonts w:ascii="Times New Roman" w:cs="Times New Roman" w:eastAsia="Times New Roman" w:hAnsi="Times New Roman"/>
          <w:sz w:val="16"/>
          <w:szCs w:val="16"/>
          <w:color w:val="auto"/>
        </w:rPr>
        <w:t>The terms of each Warrant provide for an adjustment to the number of shares of Common Stock for which the Warrant may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exercised or to the exercise price of the Warrant in certain events, as discussed in the section of this prospectus entitled “</w:t>
      </w:r>
      <w:r>
        <w:rPr>
          <w:rFonts w:ascii="Times New Roman" w:cs="Times New Roman" w:eastAsia="Times New Roman" w:hAnsi="Times New Roman"/>
          <w:sz w:val="16"/>
          <w:szCs w:val="16"/>
          <w:i w:val="1"/>
          <w:iCs w:val="1"/>
          <w:color w:val="auto"/>
        </w:rPr>
        <w:t>Description of Securities- Warrants</w:t>
      </w:r>
      <w:r>
        <w:rPr>
          <w:rFonts w:ascii="Times New Roman" w:cs="Times New Roman" w:eastAsia="Times New Roman" w:hAnsi="Times New Roman"/>
          <w:sz w:val="16"/>
          <w:szCs w:val="16"/>
          <w:color w:val="auto"/>
        </w:rPr>
        <w:t>.” An adjustment which has the effect of preventing dilution generally is not taxable. The U.S. holders of the Warrants would, however, be treated as receiving a constructive distribution from us if, for example, the adjustment to the number of such shares or to such exercise price increases the warrantholders’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holders of such shares as a distribution. Such constructive distribution would be subject to tax as described under “-</w:t>
      </w:r>
      <w:r>
        <w:rPr>
          <w:rFonts w:ascii="Times New Roman" w:cs="Times New Roman" w:eastAsia="Times New Roman" w:hAnsi="Times New Roman"/>
          <w:sz w:val="16"/>
          <w:szCs w:val="16"/>
          <w:i w:val="1"/>
          <w:iCs w:val="1"/>
          <w:color w:val="auto"/>
        </w:rPr>
        <w:t>Taxation of Distributions</w:t>
      </w:r>
      <w:r>
        <w:rPr>
          <w:rFonts w:ascii="Times New Roman" w:cs="Times New Roman" w:eastAsia="Times New Roman" w:hAnsi="Times New Roman"/>
          <w:sz w:val="16"/>
          <w:szCs w:val="16"/>
          <w:color w:val="auto"/>
        </w:rPr>
        <w:t>” in the same manner as if the U.S. holders of the Warrants received a cash distribution from us equal to the fair market value of such increased interest.</w:t>
      </w:r>
    </w:p>
    <w:p>
      <w:pPr>
        <w:spacing w:after="0" w:line="158" w:lineRule="exact"/>
        <w:rPr>
          <w:sz w:val="20"/>
          <w:szCs w:val="20"/>
          <w:color w:val="auto"/>
        </w:rPr>
      </w:pPr>
    </w:p>
    <w:p>
      <w:pPr>
        <w:jc w:val="both"/>
        <w:ind w:right="40"/>
        <w:spacing w:after="0" w:line="334" w:lineRule="auto"/>
        <w:rPr>
          <w:sz w:val="20"/>
          <w:szCs w:val="20"/>
          <w:color w:val="auto"/>
        </w:rPr>
      </w:pPr>
      <w:r>
        <w:rPr>
          <w:rFonts w:ascii="Times New Roman" w:cs="Times New Roman" w:eastAsia="Times New Roman" w:hAnsi="Times New Roman"/>
          <w:sz w:val="14"/>
          <w:szCs w:val="14"/>
          <w:i w:val="1"/>
          <w:iCs w:val="1"/>
          <w:color w:val="auto"/>
        </w:rPr>
        <w:t xml:space="preserve">Information Reporting and Backup Withholding. </w:t>
      </w:r>
      <w:r>
        <w:rPr>
          <w:rFonts w:ascii="Times New Roman" w:cs="Times New Roman" w:eastAsia="Times New Roman" w:hAnsi="Times New Roman"/>
          <w:sz w:val="14"/>
          <w:szCs w:val="14"/>
          <w:color w:val="auto"/>
        </w:rPr>
        <w:t>In general, information reporting requirements may apply to dividends paid to a U.S. holder and to the proceeds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sale or other disposition of our shares of Common Stock and Warrants, unless the U.S. holder is an exempt recipient. Backup withholding may apply to such payments if</w:t>
      </w:r>
    </w:p>
    <w:p>
      <w:pPr>
        <w:sectPr>
          <w:pgSz w:w="11900" w:h="16840" w:orient="portrait"/>
          <w:cols w:equalWidth="0" w:num="1">
            <w:col w:w="10600"/>
          </w:cols>
          <w:pgMar w:left="660" w:top="557" w:right="640" w:bottom="0" w:gutter="0" w:footer="0" w:header="0"/>
        </w:sectPr>
      </w:pPr>
    </w:p>
    <w:bookmarkStart w:id="77" w:name="page78"/>
    <w:bookmarkEnd w:id="77"/>
    <w:p>
      <w:pPr>
        <w:ind w:right="20"/>
        <w:spacing w:after="0" w:line="259" w:lineRule="auto"/>
        <w:rPr>
          <w:sz w:val="20"/>
          <w:szCs w:val="20"/>
          <w:color w:val="auto"/>
        </w:rPr>
      </w:pPr>
      <w:r>
        <w:rPr>
          <w:rFonts w:ascii="Times New Roman" w:cs="Times New Roman" w:eastAsia="Times New Roman" w:hAnsi="Times New Roman"/>
          <w:sz w:val="16"/>
          <w:szCs w:val="16"/>
          <w:color w:val="auto"/>
        </w:rPr>
        <w:t>the U.S. holder fails to provide a taxpayer identification number, a certification of exempt status or has been notified by the IRS that it is subject to backup withholding (and such notification has not been withdrawn).</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Any amounts withheld under the backup withholding rules generally should be allowed as a refund or a credit against a U.S. holder’s U.S. federal income tax liability provided the required information is timely furnished to the IRS.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Non-U.S. Holders</w:t>
      </w:r>
    </w:p>
    <w:p>
      <w:pPr>
        <w:spacing w:after="0" w:line="17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This section applies to you if you are a “Non-U.S. holder.” As used herein, the term “Non-U.S. holder” means a beneficial owner of our Common Stock or Warrants who or that is for U.S. federal income tax purposes:</w:t>
      </w:r>
    </w:p>
    <w:p>
      <w:pPr>
        <w:spacing w:after="0" w:line="143" w:lineRule="exact"/>
        <w:rPr>
          <w:sz w:val="20"/>
          <w:szCs w:val="20"/>
          <w:color w:val="auto"/>
        </w:rPr>
      </w:pPr>
    </w:p>
    <w:p>
      <w:pPr>
        <w:ind w:left="580" w:hanging="286"/>
        <w:spacing w:after="0"/>
        <w:tabs>
          <w:tab w:leader="none" w:pos="5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non-resident alien individual (other than certain former citizens and residents of the U.S. subject to U.S. tax as expatriates);</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foreign corporation; or</w:t>
      </w:r>
    </w:p>
    <w:p>
      <w:pPr>
        <w:spacing w:after="0" w:line="17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or trust that is not a U.S. holder;</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but generally does not include an individual who is present in the U.S.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Taxation of Distributions. </w:t>
      </w:r>
      <w:r>
        <w:rPr>
          <w:rFonts w:ascii="Times New Roman" w:cs="Times New Roman" w:eastAsia="Times New Roman" w:hAnsi="Times New Roman"/>
          <w:sz w:val="16"/>
          <w:szCs w:val="16"/>
          <w:color w:val="auto"/>
        </w:rPr>
        <w:t>In general, any distributions we make to a Non-U.S. holder of shares of our Common Stock, to the extent paid out of our current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(and are not attributable to a U.S. permanent establishment under an applicable treaty), we will be required to withhold tax from the gross amount of the dividend at a rate of 30%, unless such Non- 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6"/>
          <w:szCs w:val="16"/>
          <w:i w:val="1"/>
          <w:iCs w:val="1"/>
          <w:color w:val="auto"/>
        </w:rPr>
        <w:t>Non-U.S. Holders-Gain on Sale, Taxable Exchange or Other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Taxable Disposition of Common Stock and Warrants</w:t>
      </w:r>
      <w:r>
        <w:rPr>
          <w:rFonts w:ascii="Times New Roman" w:cs="Times New Roman" w:eastAsia="Times New Roman" w:hAnsi="Times New Roman"/>
          <w:sz w:val="16"/>
          <w:szCs w:val="16"/>
          <w:color w:val="auto"/>
        </w:rPr>
        <w:t>” below.</w:t>
      </w:r>
    </w:p>
    <w:p>
      <w:pPr>
        <w:spacing w:after="0" w:line="160"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The withholding tax does not apply to dividends paid to a Non -U.S. holder who provides a Form W-8ECI, certifying that the dividends are effectively connected with the Non-U.S. holder’s conduct of a trade or business within the United States (or if a tax treaty applies, are attributable to a U.S. permanent establishment or fixed base maintained by the Non-U.S. holder) . Instead, the effectively connected dividends will be subject to regular U.S. income tax as if the Non -U.S. holder were a U.S. holder, subject to an applicable income tax treaty providing otherwise. A non-U.S. corporation receiving effectively connected dividends may also be subject to an additional “branch profits tax” imposed at a rate of 30% (or a lower treaty rate).</w:t>
      </w:r>
    </w:p>
    <w:p>
      <w:pPr>
        <w:spacing w:after="0" w:line="15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Exercise, Lapse or Redemption of a Warrant. </w:t>
      </w:r>
      <w:r>
        <w:rPr>
          <w:rFonts w:ascii="Times New Roman" w:cs="Times New Roman" w:eastAsia="Times New Roman" w:hAnsi="Times New Roman"/>
          <w:sz w:val="16"/>
          <w:szCs w:val="16"/>
          <w:color w:val="auto"/>
        </w:rPr>
        <w:t>The U.S. federal income tax treatment of a Non-U.S. holder’s exercise of a warrant, or the lapse of a warrant held by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Non-U.S. holder, generally will correspond to the U.S. federal income tax treatment of the exercise or lapse of a warrant by a U.S. holder, as described under “ </w:t>
      </w:r>
      <w:r>
        <w:rPr>
          <w:rFonts w:ascii="Times New Roman" w:cs="Times New Roman" w:eastAsia="Times New Roman" w:hAnsi="Times New Roman"/>
          <w:sz w:val="16"/>
          <w:szCs w:val="16"/>
          <w:i w:val="1"/>
          <w:iCs w:val="1"/>
          <w:color w:val="auto"/>
        </w:rPr>
        <w:t>U.S.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Holders-Exercise, Lapse or Redemption of a Warrant</w:t>
      </w:r>
      <w:r>
        <w:rPr>
          <w:rFonts w:ascii="Times New Roman" w:cs="Times New Roman" w:eastAsia="Times New Roman" w:hAnsi="Times New Roman"/>
          <w:sz w:val="16"/>
          <w:szCs w:val="16"/>
          <w:color w:val="auto"/>
        </w:rPr>
        <w:t>” above, although to the extent a cashless exercise results in a taxable exchange, the consequences would be similar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those described below in “</w:t>
      </w:r>
      <w:r>
        <w:rPr>
          <w:rFonts w:ascii="Times New Roman" w:cs="Times New Roman" w:eastAsia="Times New Roman" w:hAnsi="Times New Roman"/>
          <w:sz w:val="16"/>
          <w:szCs w:val="16"/>
          <w:i w:val="1"/>
          <w:iCs w:val="1"/>
          <w:color w:val="auto"/>
        </w:rPr>
        <w:t>Non-U.S. Holders-Gain on Sale, Taxable Exchange or Other Taxable Disposition of Common Stock and Warrants</w:t>
      </w:r>
      <w:r>
        <w:rPr>
          <w:rFonts w:ascii="Times New Roman" w:cs="Times New Roman" w:eastAsia="Times New Roman" w:hAnsi="Times New Roman"/>
          <w:sz w:val="16"/>
          <w:szCs w:val="16"/>
          <w:color w:val="auto"/>
        </w:rPr>
        <w:t>.” The U.S. federal income tax treatment for a Non -U.S. holder of a redemption of Warrants for cash described in the section of this prospectus entitled “</w:t>
      </w:r>
      <w:r>
        <w:rPr>
          <w:rFonts w:ascii="Times New Roman" w:cs="Times New Roman" w:eastAsia="Times New Roman" w:hAnsi="Times New Roman"/>
          <w:sz w:val="16"/>
          <w:szCs w:val="16"/>
          <w:i w:val="1"/>
          <w:iCs w:val="1"/>
          <w:color w:val="auto"/>
        </w:rPr>
        <w:t>Description of Securities-Warrants</w:t>
      </w:r>
      <w:r>
        <w:rPr>
          <w:rFonts w:ascii="Times New Roman" w:cs="Times New Roman" w:eastAsia="Times New Roman" w:hAnsi="Times New Roman"/>
          <w:sz w:val="16"/>
          <w:szCs w:val="16"/>
          <w:color w:val="auto"/>
        </w:rPr>
        <w:t>” (or if we purchase Warrants in an open market transaction) would be similar to that described below in “</w:t>
      </w:r>
      <w:r>
        <w:rPr>
          <w:rFonts w:ascii="Times New Roman" w:cs="Times New Roman" w:eastAsia="Times New Roman" w:hAnsi="Times New Roman"/>
          <w:sz w:val="16"/>
          <w:szCs w:val="16"/>
          <w:i w:val="1"/>
          <w:iCs w:val="1"/>
          <w:color w:val="auto"/>
        </w:rPr>
        <w:t>Non-U.S. Holders-Gain on Sale, Taxable Exchange or Other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Taxable Disposition of Common Stock and Warrants</w:t>
      </w:r>
      <w:r>
        <w:rPr>
          <w:rFonts w:ascii="Times New Roman" w:cs="Times New Roman" w:eastAsia="Times New Roman" w:hAnsi="Times New Roman"/>
          <w:sz w:val="16"/>
          <w:szCs w:val="16"/>
          <w:color w:val="auto"/>
        </w:rPr>
        <w:t>.”</w:t>
      </w: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Gain on Sale, Taxable Exchange or Other Taxable Disposition of Common Stock and Warrants. </w:t>
      </w:r>
      <w:r>
        <w:rPr>
          <w:rFonts w:ascii="Times New Roman" w:cs="Times New Roman" w:eastAsia="Times New Roman" w:hAnsi="Times New Roman"/>
          <w:sz w:val="16"/>
          <w:szCs w:val="16"/>
          <w:color w:val="auto"/>
        </w:rPr>
        <w:t>A Non-U.S. holder generally will not be subject to U.S. federal income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withholding tax in respect of gain recognized on a sale, taxable exchange or other taxable disposition of our Common Stock or Warrants (including a redemption of our Warrants), unless:</w:t>
      </w:r>
    </w:p>
    <w:p>
      <w:pPr>
        <w:spacing w:after="0" w:line="152" w:lineRule="exact"/>
        <w:rPr>
          <w:sz w:val="20"/>
          <w:szCs w:val="20"/>
          <w:color w:val="auto"/>
        </w:rPr>
      </w:pPr>
    </w:p>
    <w:p>
      <w:pPr>
        <w:ind w:left="580" w:right="20" w:hanging="286"/>
        <w:spacing w:after="0" w:line="259" w:lineRule="auto"/>
        <w:tabs>
          <w:tab w:leader="none" w:pos="5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143" w:lineRule="exact"/>
        <w:rPr>
          <w:rFonts w:ascii="Times New Roman" w:cs="Times New Roman" w:eastAsia="Times New Roman" w:hAnsi="Times New Roman"/>
          <w:sz w:val="16"/>
          <w:szCs w:val="16"/>
          <w:color w:val="auto"/>
        </w:rPr>
      </w:pPr>
    </w:p>
    <w:p>
      <w:pPr>
        <w:jc w:val="both"/>
        <w:ind w:left="580" w:hanging="286"/>
        <w:spacing w:after="0" w:line="241" w:lineRule="auto"/>
        <w:tabs>
          <w:tab w:leader="none" w:pos="5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we are not, and do not anticipate becoming, a U.S. real property holding corporation; however, there can be no assurance that we will not become a U.S.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real property holding corporation in the future.</w:t>
      </w:r>
    </w:p>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Unless an applicable treaty provides otherwise, gain described in the first bullet point above will be subject to tax at generally applicable U.S. federal income tax rates as if the Non -U.S. holder were a U.S. holder. Any gains described in the first bullet point above of a Non-U.S. holder that is a foreign corporation may also be subject to an additional “branch profits tax” at a 30% rate (or lower treaty rate).</w:t>
      </w:r>
    </w:p>
    <w:p>
      <w:pPr>
        <w:spacing w:after="0" w:line="15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If the second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distribution.</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4"/>
          <w:szCs w:val="14"/>
          <w:i w:val="1"/>
          <w:iCs w:val="1"/>
          <w:color w:val="auto"/>
        </w:rPr>
        <w:t xml:space="preserve">Possible Constructive Distributions. </w:t>
      </w:r>
      <w:r>
        <w:rPr>
          <w:rFonts w:ascii="Times New Roman" w:cs="Times New Roman" w:eastAsia="Times New Roman" w:hAnsi="Times New Roman"/>
          <w:sz w:val="14"/>
          <w:szCs w:val="14"/>
          <w:color w:val="auto"/>
        </w:rPr>
        <w:t>The terms of each Warrant provide for an adjustment to the number of shares of Common Stock for which the Warrant may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exercised or to the exercise price of the Warrant in certain events, as discussed in the section of this prospectus entitled “</w:t>
      </w:r>
      <w:r>
        <w:rPr>
          <w:rFonts w:ascii="Times New Roman" w:cs="Times New Roman" w:eastAsia="Times New Roman" w:hAnsi="Times New Roman"/>
          <w:sz w:val="14"/>
          <w:szCs w:val="14"/>
          <w:i w:val="1"/>
          <w:iCs w:val="1"/>
          <w:color w:val="auto"/>
        </w:rPr>
        <w:t>Description of Securities-Warrants</w:t>
      </w:r>
      <w:r>
        <w:rPr>
          <w:rFonts w:ascii="Times New Roman" w:cs="Times New Roman" w:eastAsia="Times New Roman" w:hAnsi="Times New Roman"/>
          <w:sz w:val="14"/>
          <w:szCs w:val="14"/>
          <w:color w:val="auto"/>
        </w:rPr>
        <w:t>.” An adjustment which has the effect of preventing dilution is generally not taxable. The Non-U.S. holders of Warrants would, however, be treated as receiving a constructive distribution from us if, for example, the adjustment increases the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a stock dividend to the holders of our Common Stock, in each case which is taxable to such holders as a distribution. Any constructive distribution received by a Non-U.S. holder would be subject to U.S. federal income tax</w:t>
      </w:r>
    </w:p>
    <w:p>
      <w:pPr>
        <w:sectPr>
          <w:pgSz w:w="11900" w:h="16840" w:orient="portrait"/>
          <w:cols w:equalWidth="0" w:num="1">
            <w:col w:w="10580"/>
          </w:cols>
          <w:pgMar w:left="660" w:top="557" w:right="660" w:bottom="0" w:gutter="0" w:footer="0" w:header="0"/>
        </w:sectPr>
      </w:pPr>
    </w:p>
    <w:bookmarkStart w:id="78" w:name="page79"/>
    <w:bookmarkEnd w:id="78"/>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(including any applicable withholding) in the same manner as if such Non-U.S. holder received a cash distribution from us equal to the fair market value of such increased interest without any corresponding receipt of cash.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w:t>
      </w:r>
    </w:p>
    <w:p>
      <w:pPr>
        <w:spacing w:after="0" w:line="153"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Information Reporting and Backup Withholding. </w:t>
      </w:r>
      <w:r>
        <w:rPr>
          <w:rFonts w:ascii="Times New Roman" w:cs="Times New Roman" w:eastAsia="Times New Roman" w:hAnsi="Times New Roman"/>
          <w:sz w:val="16"/>
          <w:szCs w:val="16"/>
          <w:color w:val="auto"/>
        </w:rPr>
        <w:t>Information returns will be filed with the IRS in connection with payments of dividends and the proceeds from a sale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disposition of our shares of Common Stock and Warrants. A Non-U.S. holder may have to comply with certification procedures to establish that it is not a United States person (by providing certification of its foreign status, under penalties of perjury, on a duly executed applicable IRS Form W-8 or by otherwise establishing an exemption)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5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FATCA Withholding Taxes. </w:t>
      </w:r>
      <w:r>
        <w:rPr>
          <w:rFonts w:ascii="Times New Roman" w:cs="Times New Roman" w:eastAsia="Times New Roman" w:hAnsi="Times New Roman"/>
          <w:sz w:val="16"/>
          <w:szCs w:val="16"/>
          <w:color w:val="auto"/>
        </w:rPr>
        <w:t>Provisions commonly referred to as “FATCA” impose withholding of 30% on payments of dividends (including constructive dividends)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subject to the discussion of certain proposed U.S. Treasury regulations below, on the gross proceeds from a sale or other disposition of our Common Stock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advisors regarding the effects of FATCA on their investment in our securities. The IRS released proposed U.S. Treasury regulations that, if finalized in their present form, would eliminate the U.S. federal withholding tax of 30% applicable to the gross proceeds of a sale or other disposition of our Common Stock. In its preamble to such proposed U.S. Treasury regulations, the IRS stated that taxpayers may generally rely on the proposed U.S. Treasury regulations until final U.S. Treasury regulations are issued.</w:t>
      </w: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178"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The consolidated financial statements of SEE ID as of and for the year ended December 31, 2024, included in this prospectus of CID HoldCo, Inc., which is referred to and made a part of this Prospectus and Registration Statement, have been audited by Berkowitz Pollack Brant Advisors + CPAs, an independent registered public accounting firm, as set forth in their report appearing elsewhere herein, and are included in reliance upon such report given on the authority of such firm as experts in accounting and auditing.</w:t>
      </w:r>
    </w:p>
    <w:p>
      <w:pPr>
        <w:spacing w:after="0" w:line="155" w:lineRule="exact"/>
        <w:rPr>
          <w:sz w:val="20"/>
          <w:szCs w:val="20"/>
          <w:color w:val="auto"/>
        </w:rPr>
      </w:pPr>
    </w:p>
    <w:p>
      <w:pPr>
        <w:jc w:val="both"/>
        <w:ind w:right="40"/>
        <w:spacing w:after="0" w:line="299" w:lineRule="auto"/>
        <w:rPr>
          <w:sz w:val="20"/>
          <w:szCs w:val="20"/>
          <w:color w:val="auto"/>
        </w:rPr>
      </w:pPr>
      <w:r>
        <w:rPr>
          <w:rFonts w:ascii="Times New Roman" w:cs="Times New Roman" w:eastAsia="Times New Roman" w:hAnsi="Times New Roman"/>
          <w:sz w:val="14"/>
          <w:szCs w:val="14"/>
          <w:color w:val="auto"/>
        </w:rPr>
        <w:t>The consolidated financial statements of SEE ID as of and for the year ended December 31, 2023, included in this prospectus of CID HoldCo, Inc., which is referred to and made a part of this Prospectus and Registration Statement, have been audited by Wolf &amp; Company, P.C., an independent registered public accounting firm, as set forth in their report appearing elsewhere herein, and are included in reliance upon such report given on the authority of such firm as experts in accounting and auditing.</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DLA Piper LLP will pass upon the validity of the Common Stock and Warrants covered by this prospectus.</w:t>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WHERE YOU CAN FIND ADDITIONAL INFORMATION</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We have filed with the SEC a registration statement on Form S- 1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58"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We file annual, quarterly and current reports, proxy statements and other information with the SEC. Our SEC filings are available to the public over the internet at the SEC’s website at www.sec.gov and on our website, free of charge, at www.atipt.com. The information found on, or that can be accessed from or that is hyperlinked to, our website is not part of this prospectus. You may inspect a copy of the registration statement through the SEC’s website, as provided herein.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CHANGES IN INDEPENDENT REGISTERED PUBLIC ACCOUNTING FIRM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June 18, 2025, the Audit Committee of the Board approved Berkowitz Pollack Brant Advisors + CPAs (“BPB”) as its independent registered public accounting firm.</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BPB previously served as the independent registered public accounting firm of SEE ID prior to the Business Combination.</w:t>
      </w:r>
    </w:p>
    <w:p>
      <w:pPr>
        <w:spacing w:after="0" w:line="3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FINANCIAL STATEMENTS AND SUPPLEMENTARY DATA</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CID HoldCo, Inc. (formerly known as SEE ID, Inc. dba Dot Ai)</w:t>
            </w:r>
          </w:p>
        </w:tc>
        <w:tc>
          <w:tcPr>
            <w:tcW w:w="1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3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740" w:type="dxa"/>
            <w:vAlign w:val="bottom"/>
            <w:gridSpan w:val="4"/>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Unaudited Financial Statements</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840" w:type="dxa"/>
            <w:vAlign w:val="bottom"/>
            <w:tcBorders>
              <w:bottom w:val="single" w:sz="8" w:color="0000EE"/>
            </w:tcBorders>
            <w:gridSpan w:val="2"/>
          </w:tcPr>
          <w:p>
            <w:pPr>
              <w:spacing w:after="0" w:line="156" w:lineRule="exact"/>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Condensed Consolidated balance sheets at June 30, 2025 (unaudited) and December 31, 2024</w:t>
              </w:r>
            </w:hyperlink>
          </w:p>
        </w:tc>
        <w:tc>
          <w:tcPr>
            <w:tcW w:w="2900" w:type="dxa"/>
            <w:vAlign w:val="bottom"/>
            <w:gridSpan w:val="2"/>
          </w:tcPr>
          <w:p>
            <w:pPr>
              <w:spacing w:after="0"/>
              <w:rPr>
                <w:sz w:val="13"/>
                <w:szCs w:val="13"/>
                <w:color w:val="auto"/>
              </w:rPr>
            </w:pPr>
          </w:p>
        </w:tc>
        <w:tc>
          <w:tcPr>
            <w:tcW w:w="1800" w:type="dxa"/>
            <w:vAlign w:val="bottom"/>
          </w:tcPr>
          <w:p>
            <w:pPr>
              <w:ind w:left="1160"/>
              <w:spacing w:after="0" w:line="156" w:lineRule="exact"/>
              <w:rPr>
                <w:sz w:val="20"/>
                <w:szCs w:val="20"/>
                <w:color w:val="auto"/>
              </w:rPr>
            </w:pPr>
            <w:r>
              <w:rPr>
                <w:rFonts w:ascii="Times New Roman" w:cs="Times New Roman" w:eastAsia="Times New Roman" w:hAnsi="Times New Roman"/>
                <w:sz w:val="16"/>
                <w:szCs w:val="16"/>
                <w:color w:val="auto"/>
              </w:rPr>
              <w:t>F-2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0" w:type="dxa"/>
            <w:vAlign w:val="bottom"/>
            <w:tcBorders>
              <w:bottom w:val="single" w:sz="8" w:color="0000EE"/>
            </w:tcBorders>
            <w:gridSpan w:val="3"/>
            <w:shd w:val="clear" w:color="auto" w:fill="CCEEFF"/>
          </w:tcPr>
          <w:p>
            <w:pPr>
              <w:spacing w:after="0" w:line="156" w:lineRule="exact"/>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Condensed Consolidated statements of operations for the three and six-months ended June 30, 2025 and 2024 (unaudited)</w:t>
              </w:r>
            </w:hyperlink>
          </w:p>
        </w:tc>
        <w:tc>
          <w:tcPr>
            <w:tcW w:w="1140" w:type="dxa"/>
            <w:vAlign w:val="bottom"/>
            <w:tcBorders>
              <w:bottom w:val="single" w:sz="8" w:color="CCEEFF"/>
            </w:tcBorders>
            <w:shd w:val="clear" w:color="auto" w:fill="CCEEFF"/>
          </w:tcPr>
          <w:p>
            <w:pPr>
              <w:spacing w:after="0"/>
              <w:rPr>
                <w:sz w:val="13"/>
                <w:szCs w:val="13"/>
                <w:color w:val="auto"/>
              </w:rPr>
            </w:pPr>
          </w:p>
        </w:tc>
        <w:tc>
          <w:tcPr>
            <w:tcW w:w="1800" w:type="dxa"/>
            <w:vAlign w:val="bottom"/>
            <w:tcBorders>
              <w:bottom w:val="single" w:sz="8" w:color="CCEEFF"/>
            </w:tcBorders>
            <w:shd w:val="clear" w:color="auto" w:fill="CCEEFF"/>
          </w:tcPr>
          <w:p>
            <w:pPr>
              <w:ind w:left="1160"/>
              <w:spacing w:after="0" w:line="156" w:lineRule="exact"/>
              <w:rPr>
                <w:sz w:val="20"/>
                <w:szCs w:val="20"/>
                <w:color w:val="auto"/>
              </w:rPr>
            </w:pPr>
            <w:r>
              <w:rPr>
                <w:rFonts w:ascii="Times New Roman" w:cs="Times New Roman" w:eastAsia="Times New Roman" w:hAnsi="Times New Roman"/>
                <w:sz w:val="16"/>
                <w:szCs w:val="16"/>
                <w:color w:val="auto"/>
              </w:rPr>
              <w:t>F-3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740" w:type="dxa"/>
            <w:vAlign w:val="bottom"/>
            <w:tcBorders>
              <w:bottom w:val="single" w:sz="8" w:color="0000EE"/>
            </w:tcBorders>
            <w:gridSpan w:val="4"/>
          </w:tcPr>
          <w:p>
            <w:pPr>
              <w:spacing w:after="0" w:line="156" w:lineRule="exact"/>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Condensed Consolidated statements of stockholders’ equity (deficit) for the three and six-months ended June 30, 2025 and 2024 (unaudited)</w:t>
              </w:r>
            </w:hyperlink>
          </w:p>
        </w:tc>
        <w:tc>
          <w:tcPr>
            <w:tcW w:w="1800" w:type="dxa"/>
            <w:vAlign w:val="bottom"/>
          </w:tcPr>
          <w:p>
            <w:pPr>
              <w:ind w:left="1160"/>
              <w:spacing w:after="0" w:line="156" w:lineRule="exact"/>
              <w:rPr>
                <w:sz w:val="20"/>
                <w:szCs w:val="20"/>
                <w:color w:val="auto"/>
              </w:rPr>
            </w:pPr>
            <w:r>
              <w:rPr>
                <w:rFonts w:ascii="Times New Roman" w:cs="Times New Roman" w:eastAsia="Times New Roman" w:hAnsi="Times New Roman"/>
                <w:sz w:val="16"/>
                <w:szCs w:val="16"/>
                <w:color w:val="auto"/>
              </w:rPr>
              <w:t>F-4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740" w:type="dxa"/>
            <w:vAlign w:val="bottom"/>
            <w:gridSpan w:val="4"/>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Condensed Consolidated statements of cash flows for the three and six-months ended June 30, 2025 and 2024 (unaudited)</w:t>
              </w:r>
            </w:hyperlink>
          </w:p>
        </w:tc>
        <w:tc>
          <w:tcPr>
            <w:tcW w:w="1800" w:type="dxa"/>
            <w:vAlign w:val="bottom"/>
            <w:shd w:val="clear" w:color="auto" w:fill="CCEEFF"/>
          </w:tcPr>
          <w:p>
            <w:pPr>
              <w:ind w:left="1160"/>
              <w:spacing w:after="0" w:line="156" w:lineRule="exact"/>
              <w:rPr>
                <w:sz w:val="20"/>
                <w:szCs w:val="20"/>
                <w:color w:val="auto"/>
              </w:rPr>
            </w:pPr>
            <w:r>
              <w:rPr>
                <w:rFonts w:ascii="Times New Roman" w:cs="Times New Roman" w:eastAsia="Times New Roman" w:hAnsi="Times New Roman"/>
                <w:sz w:val="16"/>
                <w:szCs w:val="16"/>
                <w:color w:val="auto"/>
              </w:rPr>
              <w:t>F-5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0" w:type="dxa"/>
            <w:vAlign w:val="bottom"/>
            <w:tcBorders>
              <w:top w:val="single" w:sz="8" w:color="0000EE"/>
            </w:tcBorders>
            <w:gridSpan w:val="3"/>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Notes to condensed consolidated financial statements</w:t>
              </w:r>
            </w:hyperlink>
          </w:p>
        </w:tc>
        <w:tc>
          <w:tcPr>
            <w:tcW w:w="1140" w:type="dxa"/>
            <w:vAlign w:val="bottom"/>
            <w:tcBorders>
              <w:top w:val="single" w:sz="8" w:color="CCEEFF"/>
            </w:tcBorders>
          </w:tcPr>
          <w:p>
            <w:pPr>
              <w:spacing w:after="0"/>
              <w:rPr>
                <w:sz w:val="13"/>
                <w:szCs w:val="13"/>
                <w:color w:val="auto"/>
              </w:rPr>
            </w:pPr>
          </w:p>
        </w:tc>
        <w:tc>
          <w:tcPr>
            <w:tcW w:w="1800" w:type="dxa"/>
            <w:vAlign w:val="bottom"/>
            <w:tcBorders>
              <w:top w:val="single" w:sz="8" w:color="CCEEFF"/>
            </w:tcBorders>
          </w:tcPr>
          <w:p>
            <w:pPr>
              <w:ind w:left="1160"/>
              <w:spacing w:after="0" w:line="156" w:lineRule="exact"/>
              <w:rPr>
                <w:sz w:val="20"/>
                <w:szCs w:val="20"/>
                <w:color w:val="auto"/>
              </w:rPr>
            </w:pPr>
            <w:r>
              <w:rPr>
                <w:rFonts w:ascii="Times New Roman" w:cs="Times New Roman" w:eastAsia="Times New Roman" w:hAnsi="Times New Roman"/>
                <w:sz w:val="16"/>
                <w:szCs w:val="16"/>
                <w:color w:val="auto"/>
              </w:rPr>
              <w:t>F-6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20" w:type="dxa"/>
            <w:vAlign w:val="bottom"/>
            <w:tcBorders>
              <w:top w:val="single" w:sz="8" w:color="0000EE"/>
            </w:tcBorders>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1143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ectPr>
          <w:pgSz w:w="11900" w:h="16840" w:orient="portrait"/>
          <w:cols w:equalWidth="0" w:num="1">
            <w:col w:w="10600"/>
          </w:cols>
          <w:pgMar w:left="660" w:top="557" w:right="640" w:bottom="193"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4"/>
        </w:trPr>
        <w:tc>
          <w:tcPr>
            <w:tcW w:w="8060" w:type="dxa"/>
            <w:vAlign w:val="bottom"/>
            <w:gridSpan w:val="8"/>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Report of Independent Registered Public Accountant (PCAOB ID: 52</w:t>
              </w:r>
            </w:hyperlink>
            <w:r>
              <w:rPr>
                <w:rFonts w:ascii="Times New Roman" w:cs="Times New Roman" w:eastAsia="Times New Roman" w:hAnsi="Times New Roman"/>
                <w:sz w:val="16"/>
                <w:szCs w:val="16"/>
                <w:color w:val="0000EE"/>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341"/>
              <w:spacing w:after="0"/>
              <w:rPr>
                <w:sz w:val="20"/>
                <w:szCs w:val="20"/>
                <w:color w:val="auto"/>
              </w:rPr>
            </w:pPr>
            <w:r>
              <w:rPr>
                <w:rFonts w:ascii="Times New Roman" w:cs="Times New Roman" w:eastAsia="Times New Roman" w:hAnsi="Times New Roman"/>
                <w:sz w:val="16"/>
                <w:szCs w:val="16"/>
                <w:color w:val="auto"/>
              </w:rPr>
              <w:t>F-26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760" w:type="dxa"/>
            <w:vAlign w:val="bottom"/>
            <w:shd w:val="clear" w:color="auto" w:fill="0000EE"/>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3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8040" w:type="dxa"/>
            <w:vAlign w:val="bottom"/>
            <w:gridSpan w:val="7"/>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Report of Independent Registered Public Accountant (PCAOB ID: 392)</w:t>
              </w:r>
            </w:hyperlink>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1"/>
              <w:spacing w:after="0" w:line="156" w:lineRule="exact"/>
              <w:rPr>
                <w:sz w:val="20"/>
                <w:szCs w:val="20"/>
                <w:color w:val="auto"/>
              </w:rPr>
            </w:pPr>
            <w:r>
              <w:rPr>
                <w:rFonts w:ascii="Times New Roman" w:cs="Times New Roman" w:eastAsia="Times New Roman" w:hAnsi="Times New Roman"/>
                <w:sz w:val="16"/>
                <w:szCs w:val="16"/>
                <w:color w:val="auto"/>
              </w:rPr>
              <w:t>F-27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60" w:type="dxa"/>
            <w:vAlign w:val="bottom"/>
            <w:tcBorders>
              <w:top w:val="single" w:sz="8" w:color="0000EE"/>
              <w:bottom w:val="single" w:sz="8" w:color="0000EE"/>
            </w:tcBorders>
          </w:tcPr>
          <w:p>
            <w:pPr>
              <w:spacing w:after="0" w:line="156" w:lineRule="exact"/>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Consolidated balance sheets</w:t>
              </w:r>
            </w:hyperlink>
          </w:p>
        </w:tc>
        <w:tc>
          <w:tcPr>
            <w:tcW w:w="2700" w:type="dxa"/>
            <w:vAlign w:val="bottom"/>
            <w:tcBorders>
              <w:top w:val="single" w:sz="8" w:color="0000EE"/>
            </w:tcBorders>
            <w:gridSpan w:val="5"/>
          </w:tcPr>
          <w:p>
            <w:pPr>
              <w:spacing w:after="0"/>
              <w:rPr>
                <w:sz w:val="13"/>
                <w:szCs w:val="13"/>
                <w:color w:val="auto"/>
              </w:rPr>
            </w:pPr>
          </w:p>
        </w:tc>
        <w:tc>
          <w:tcPr>
            <w:tcW w:w="35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9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40" w:type="dxa"/>
            <w:vAlign w:val="bottom"/>
            <w:tcBorders>
              <w:top w:val="single" w:sz="8" w:color="CCEEFF"/>
            </w:tcBorders>
            <w:gridSpan w:val="2"/>
          </w:tcPr>
          <w:p>
            <w:pPr>
              <w:jc w:val="right"/>
              <w:ind w:right="341"/>
              <w:spacing w:after="0" w:line="156" w:lineRule="exact"/>
              <w:rPr>
                <w:sz w:val="20"/>
                <w:szCs w:val="20"/>
                <w:color w:val="auto"/>
              </w:rPr>
            </w:pPr>
            <w:r>
              <w:rPr>
                <w:rFonts w:ascii="Times New Roman" w:cs="Times New Roman" w:eastAsia="Times New Roman" w:hAnsi="Times New Roman"/>
                <w:sz w:val="16"/>
                <w:szCs w:val="16"/>
                <w:color w:val="auto"/>
              </w:rPr>
              <w:t>F-28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40" w:type="dxa"/>
            <w:vAlign w:val="bottom"/>
            <w:gridSpan w:val="7"/>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statements of operations</w:t>
              </w:r>
            </w:hyperlink>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1"/>
              <w:spacing w:after="0" w:line="156" w:lineRule="exact"/>
              <w:rPr>
                <w:sz w:val="20"/>
                <w:szCs w:val="20"/>
                <w:color w:val="auto"/>
              </w:rPr>
            </w:pPr>
            <w:r>
              <w:rPr>
                <w:rFonts w:ascii="Times New Roman" w:cs="Times New Roman" w:eastAsia="Times New Roman" w:hAnsi="Times New Roman"/>
                <w:sz w:val="16"/>
                <w:szCs w:val="16"/>
                <w:color w:val="auto"/>
              </w:rPr>
              <w:t>F-30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760" w:type="dxa"/>
            <w:vAlign w:val="bottom"/>
            <w:shd w:val="clear" w:color="auto" w:fill="0000EE"/>
          </w:tcPr>
          <w:p>
            <w:pPr>
              <w:spacing w:after="0"/>
              <w:rPr>
                <w:sz w:val="2"/>
                <w:szCs w:val="2"/>
                <w:color w:val="auto"/>
              </w:rPr>
            </w:pPr>
          </w:p>
        </w:tc>
        <w:tc>
          <w:tcPr>
            <w:tcW w:w="620" w:type="dxa"/>
            <w:vAlign w:val="bottom"/>
            <w:tcBorders>
              <w:right w:val="single" w:sz="8" w:color="CCEEFF"/>
            </w:tcBorders>
            <w:shd w:val="clear" w:color="auto" w:fill="0000EE"/>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8040" w:type="dxa"/>
            <w:vAlign w:val="bottom"/>
            <w:gridSpan w:val="7"/>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statements of stockholders’ deficit</w:t>
              </w:r>
            </w:hyperlink>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341"/>
              <w:spacing w:after="0" w:line="156" w:lineRule="exact"/>
              <w:rPr>
                <w:sz w:val="20"/>
                <w:szCs w:val="20"/>
                <w:color w:val="auto"/>
              </w:rPr>
            </w:pPr>
            <w:r>
              <w:rPr>
                <w:rFonts w:ascii="Times New Roman" w:cs="Times New Roman" w:eastAsia="Times New Roman" w:hAnsi="Times New Roman"/>
                <w:sz w:val="16"/>
                <w:szCs w:val="16"/>
                <w:color w:val="auto"/>
              </w:rPr>
              <w:t>F-31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80" w:type="dxa"/>
            <w:vAlign w:val="bottom"/>
            <w:tcBorders>
              <w:top w:val="single" w:sz="8" w:color="0000EE"/>
              <w:bottom w:val="single" w:sz="8" w:color="0000EE"/>
              <w:right w:val="single" w:sz="8" w:color="CCEEFF"/>
            </w:tcBorders>
            <w:gridSpan w:val="2"/>
            <w:shd w:val="clear" w:color="auto" w:fill="CCEEFF"/>
          </w:tcPr>
          <w:p>
            <w:pPr>
              <w:spacing w:after="0" w:line="156" w:lineRule="exact"/>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Consolidated statements of cash flows</w:t>
              </w:r>
            </w:hyperlink>
          </w:p>
        </w:tc>
        <w:tc>
          <w:tcPr>
            <w:tcW w:w="600" w:type="dxa"/>
            <w:vAlign w:val="bottom"/>
            <w:tcBorders>
              <w:top w:val="single" w:sz="8" w:color="0000EE"/>
              <w:bottom w:val="single" w:sz="8" w:color="CCEEFF"/>
            </w:tcBorders>
            <w:gridSpan w:val="2"/>
            <w:shd w:val="clear" w:color="auto" w:fill="CCEEFF"/>
          </w:tcPr>
          <w:p>
            <w:pPr>
              <w:spacing w:after="0"/>
              <w:rPr>
                <w:sz w:val="13"/>
                <w:szCs w:val="13"/>
                <w:color w:val="auto"/>
              </w:rPr>
            </w:pPr>
          </w:p>
        </w:tc>
        <w:tc>
          <w:tcPr>
            <w:tcW w:w="5060" w:type="dxa"/>
            <w:vAlign w:val="bottom"/>
            <w:tcBorders>
              <w:bottom w:val="single" w:sz="8" w:color="CCEEFF"/>
            </w:tcBorders>
            <w:gridSpan w:val="3"/>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jc w:val="right"/>
              <w:ind w:right="341"/>
              <w:spacing w:after="0" w:line="156" w:lineRule="exact"/>
              <w:rPr>
                <w:sz w:val="20"/>
                <w:szCs w:val="20"/>
                <w:color w:val="auto"/>
              </w:rPr>
            </w:pPr>
            <w:r>
              <w:rPr>
                <w:rFonts w:ascii="Times New Roman" w:cs="Times New Roman" w:eastAsia="Times New Roman" w:hAnsi="Times New Roman"/>
                <w:sz w:val="16"/>
                <w:szCs w:val="16"/>
                <w:color w:val="auto"/>
              </w:rPr>
              <w:t>F-32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40" w:type="dxa"/>
            <w:vAlign w:val="bottom"/>
            <w:gridSpan w:val="7"/>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Notes to consolidated financial statements</w:t>
              </w:r>
            </w:hyperlink>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341"/>
              <w:spacing w:after="0" w:line="156" w:lineRule="exact"/>
              <w:rPr>
                <w:sz w:val="20"/>
                <w:szCs w:val="20"/>
                <w:color w:val="auto"/>
              </w:rPr>
            </w:pPr>
            <w:r>
              <w:rPr>
                <w:rFonts w:ascii="Times New Roman" w:cs="Times New Roman" w:eastAsia="Times New Roman" w:hAnsi="Times New Roman"/>
                <w:sz w:val="16"/>
                <w:szCs w:val="16"/>
                <w:color w:val="auto"/>
              </w:rPr>
              <w:t>F-33</w:t>
            </w: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176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center"/>
              <w:ind w:right="1902"/>
              <w:spacing w:after="0"/>
              <w:rPr>
                <w:sz w:val="20"/>
                <w:szCs w:val="20"/>
                <w:color w:val="auto"/>
              </w:rPr>
            </w:pPr>
            <w:r>
              <w:rPr>
                <w:rFonts w:ascii="Times New Roman" w:cs="Times New Roman" w:eastAsia="Times New Roman" w:hAnsi="Times New Roman"/>
                <w:sz w:val="16"/>
                <w:szCs w:val="16"/>
                <w:color w:val="auto"/>
                <w:w w:val="89"/>
              </w:rPr>
              <w:t>F-1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61"/>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tcPr>
          <w:p>
            <w:pPr>
              <w:jc w:val="center"/>
              <w:ind w:right="1882"/>
              <w:spacing w:after="0"/>
              <w:rPr>
                <w:sz w:val="20"/>
                <w:szCs w:val="20"/>
                <w:color w:val="auto"/>
              </w:rPr>
            </w:pPr>
            <w:r>
              <w:rPr>
                <w:rFonts w:ascii="Times New Roman" w:cs="Times New Roman" w:eastAsia="Times New Roman" w:hAnsi="Times New Roman"/>
                <w:sz w:val="16"/>
                <w:szCs w:val="16"/>
                <w:b w:val="1"/>
                <w:bCs w:val="1"/>
                <w:color w:val="auto"/>
                <w:w w:val="97"/>
              </w:rPr>
              <w:t>CID HOLDCO,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60" w:type="dxa"/>
            <w:vAlign w:val="bottom"/>
            <w:gridSpan w:val="3"/>
          </w:tcPr>
          <w:p>
            <w:pPr>
              <w:jc w:val="center"/>
              <w:ind w:right="402"/>
              <w:spacing w:after="0"/>
              <w:rPr>
                <w:sz w:val="20"/>
                <w:szCs w:val="20"/>
                <w:color w:val="auto"/>
              </w:rPr>
            </w:pPr>
            <w:r>
              <w:rPr>
                <w:rFonts w:ascii="Times New Roman" w:cs="Times New Roman" w:eastAsia="Times New Roman" w:hAnsi="Times New Roman"/>
                <w:sz w:val="16"/>
                <w:szCs w:val="16"/>
                <w:b w:val="1"/>
                <w:bCs w:val="1"/>
                <w:color w:val="auto"/>
                <w:w w:val="97"/>
              </w:rPr>
              <w:t>CONDENSED CONSOLIDATED BALANCE SHEETS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 w:type="dxa"/>
            <w:vAlign w:val="bottom"/>
          </w:tcPr>
          <w:p>
            <w:pPr>
              <w:spacing w:after="0"/>
              <w:rPr>
                <w:sz w:val="24"/>
                <w:szCs w:val="24"/>
                <w:color w:val="auto"/>
              </w:rPr>
            </w:pPr>
          </w:p>
        </w:tc>
        <w:tc>
          <w:tcPr>
            <w:tcW w:w="1140" w:type="dxa"/>
            <w:vAlign w:val="bottom"/>
            <w:gridSpan w:val="3"/>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6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6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0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7"/>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Cash</w:t>
            </w:r>
          </w:p>
        </w:tc>
        <w:tc>
          <w:tcPr>
            <w:tcW w:w="18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6,492,646</w:t>
            </w:r>
          </w:p>
        </w:tc>
        <w:tc>
          <w:tcPr>
            <w:tcW w:w="1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721,032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7"/>
          </w:tcPr>
          <w:p>
            <w:pPr>
              <w:ind w:left="140"/>
              <w:spacing w:after="0" w:line="180" w:lineRule="exact"/>
              <w:rPr>
                <w:sz w:val="20"/>
                <w:szCs w:val="20"/>
                <w:color w:val="auto"/>
              </w:rPr>
            </w:pPr>
            <w:r>
              <w:rPr>
                <w:rFonts w:ascii="Times New Roman" w:cs="Times New Roman" w:eastAsia="Times New Roman" w:hAnsi="Times New Roman"/>
                <w:sz w:val="16"/>
                <w:szCs w:val="16"/>
                <w:color w:val="auto"/>
              </w:rPr>
              <w:t>Accounts receivable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15,935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50,264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7"/>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Inventory</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362,434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65,248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gridSpan w:val="7"/>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573,385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167,551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40" w:type="dxa"/>
            <w:vAlign w:val="bottom"/>
            <w:tcBorders>
              <w:top w:val="single" w:sz="8" w:color="CCEEFF"/>
              <w:bottom w:val="single" w:sz="8" w:color="CCEEFF"/>
            </w:tcBorders>
            <w:gridSpan w:val="7"/>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7,444,400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1,004,095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40" w:type="dxa"/>
            <w:vAlign w:val="bottom"/>
            <w:gridSpan w:val="7"/>
          </w:tcPr>
          <w:p>
            <w:pPr>
              <w:spacing w:after="0" w:line="165" w:lineRule="exact"/>
              <w:rPr>
                <w:sz w:val="20"/>
                <w:szCs w:val="20"/>
                <w:color w:val="auto"/>
              </w:rPr>
            </w:pPr>
            <w:r>
              <w:rPr>
                <w:rFonts w:ascii="Times New Roman" w:cs="Times New Roman" w:eastAsia="Times New Roman" w:hAnsi="Times New Roman"/>
                <w:sz w:val="16"/>
                <w:szCs w:val="16"/>
                <w:color w:val="auto"/>
              </w:rPr>
              <w:t>Noncurrent assets: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7"/>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113,385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11,286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7"/>
          </w:tcPr>
          <w:p>
            <w:pPr>
              <w:ind w:left="140"/>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assets (ROU)</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769,087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307,892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7"/>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Capitalized software development costs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2,397,994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1,761,396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tcBorders>
              <w:bottom w:val="single" w:sz="8" w:color="CCEEFF"/>
            </w:tcBorders>
            <w:gridSpan w:val="7"/>
          </w:tcPr>
          <w:p>
            <w:pPr>
              <w:ind w:left="140"/>
              <w:spacing w:after="0"/>
              <w:rPr>
                <w:sz w:val="20"/>
                <w:szCs w:val="20"/>
                <w:color w:val="auto"/>
              </w:rPr>
            </w:pPr>
            <w:r>
              <w:rPr>
                <w:rFonts w:ascii="Times New Roman" w:cs="Times New Roman" w:eastAsia="Times New Roman" w:hAnsi="Times New Roman"/>
                <w:sz w:val="16"/>
                <w:szCs w:val="16"/>
                <w:color w:val="auto"/>
              </w:rPr>
              <w:t>Long-term assets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28,713</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12,103</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40" w:type="dxa"/>
            <w:vAlign w:val="bottom"/>
            <w:tcBorders>
              <w:bottom w:val="single" w:sz="8" w:color="CCEEFF"/>
            </w:tcBorders>
            <w:gridSpan w:val="7"/>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color w:val="auto"/>
              </w:rPr>
              <w:t>Total long-term assets</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3,309,179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2,092,677</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10,753,579</w:t>
            </w:r>
          </w:p>
        </w:tc>
        <w:tc>
          <w:tcPr>
            <w:tcW w:w="120" w:type="dxa"/>
            <w:vAlign w:val="bottom"/>
          </w:tcPr>
          <w:p>
            <w:pPr>
              <w:spacing w:after="0"/>
              <w:rPr>
                <w:sz w:val="20"/>
                <w:szCs w:val="20"/>
                <w:color w:val="auto"/>
              </w:rPr>
            </w:pPr>
          </w:p>
        </w:tc>
        <w:tc>
          <w:tcPr>
            <w:tcW w:w="2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3,096,772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40" w:type="dxa"/>
            <w:vAlign w:val="bottom"/>
            <w:tcBorders>
              <w:top w:val="single" w:sz="8" w:color="CCEEFF"/>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LIABILITIES AND SHAREHOLDERS’ EQUITY (DEFICIT)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7"/>
          </w:tcPr>
          <w:p>
            <w:pPr>
              <w:spacing w:after="0" w:line="180" w:lineRule="exact"/>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7"/>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229,413</w:t>
            </w:r>
          </w:p>
        </w:tc>
        <w:tc>
          <w:tcPr>
            <w:tcW w:w="280" w:type="dxa"/>
            <w:vAlign w:val="bottom"/>
            <w:gridSpan w:val="2"/>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770,276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7"/>
          </w:tcPr>
          <w:p>
            <w:pPr>
              <w:ind w:left="140"/>
              <w:spacing w:after="0" w:line="180" w:lineRule="exact"/>
              <w:rPr>
                <w:sz w:val="20"/>
                <w:szCs w:val="20"/>
                <w:color w:val="auto"/>
              </w:rPr>
            </w:pPr>
            <w:r>
              <w:rPr>
                <w:rFonts w:ascii="Times New Roman" w:cs="Times New Roman" w:eastAsia="Times New Roman" w:hAnsi="Times New Roman"/>
                <w:sz w:val="16"/>
                <w:szCs w:val="16"/>
                <w:color w:val="auto"/>
              </w:rPr>
              <w:t>Accrued expenses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1,031,080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24,219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7"/>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Accrued compensation</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96,097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246,720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7"/>
          </w:tcPr>
          <w:p>
            <w:pPr>
              <w:ind w:left="140"/>
              <w:spacing w:after="0" w:line="180" w:lineRule="exact"/>
              <w:rPr>
                <w:sz w:val="20"/>
                <w:szCs w:val="20"/>
                <w:color w:val="auto"/>
              </w:rPr>
            </w:pPr>
            <w:r>
              <w:rPr>
                <w:rFonts w:ascii="Times New Roman" w:cs="Times New Roman" w:eastAsia="Times New Roman" w:hAnsi="Times New Roman"/>
                <w:sz w:val="16"/>
                <w:szCs w:val="16"/>
                <w:color w:val="auto"/>
              </w:rPr>
              <w:t>Accrued taxes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3,911,691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7"/>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Deferred revenue, current portion</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1,589,988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1,142,643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gridSpan w:val="7"/>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132,091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40" w:type="dxa"/>
            <w:vAlign w:val="bottom"/>
            <w:tcBorders>
              <w:top w:val="single" w:sz="8" w:color="CCEEFF"/>
              <w:bottom w:val="single" w:sz="8" w:color="CCEEFF"/>
            </w:tcBorders>
            <w:gridSpan w:val="7"/>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6,990,360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2,220,083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40" w:type="dxa"/>
            <w:vAlign w:val="bottom"/>
            <w:gridSpan w:val="7"/>
          </w:tcPr>
          <w:p>
            <w:pPr>
              <w:spacing w:after="0" w:line="165" w:lineRule="exact"/>
              <w:rPr>
                <w:sz w:val="20"/>
                <w:szCs w:val="20"/>
                <w:color w:val="auto"/>
              </w:rPr>
            </w:pPr>
            <w:r>
              <w:rPr>
                <w:rFonts w:ascii="Times New Roman" w:cs="Times New Roman" w:eastAsia="Times New Roman" w:hAnsi="Times New Roman"/>
                <w:sz w:val="16"/>
                <w:szCs w:val="16"/>
                <w:color w:val="auto"/>
              </w:rPr>
              <w:t>Long-term liabilities: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7"/>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SAFE notes, net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23,334,626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7"/>
          </w:tcPr>
          <w:p>
            <w:pPr>
              <w:ind w:left="140"/>
              <w:spacing w:after="0" w:line="180" w:lineRule="exact"/>
              <w:rPr>
                <w:sz w:val="20"/>
                <w:szCs w:val="20"/>
                <w:color w:val="auto"/>
              </w:rPr>
            </w:pPr>
            <w:r>
              <w:rPr>
                <w:rFonts w:ascii="Times New Roman" w:cs="Times New Roman" w:eastAsia="Times New Roman" w:hAnsi="Times New Roman"/>
                <w:sz w:val="16"/>
                <w:szCs w:val="16"/>
                <w:color w:val="auto"/>
              </w:rPr>
              <w:t>Deferred revenue, net of current portion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1,374,250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1,570,572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gridSpan w:val="7"/>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649,718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265,413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40" w:type="dxa"/>
            <w:vAlign w:val="bottom"/>
            <w:tcBorders>
              <w:top w:val="single" w:sz="8" w:color="CCEEFF"/>
              <w:bottom w:val="single" w:sz="8" w:color="CCEEFF"/>
            </w:tcBorders>
            <w:gridSpan w:val="7"/>
          </w:tcPr>
          <w:p>
            <w:pPr>
              <w:ind w:left="300"/>
              <w:spacing w:after="0" w:line="165" w:lineRule="exact"/>
              <w:rPr>
                <w:sz w:val="20"/>
                <w:szCs w:val="20"/>
                <w:color w:val="auto"/>
              </w:rPr>
            </w:pPr>
            <w:r>
              <w:rPr>
                <w:rFonts w:ascii="Times New Roman" w:cs="Times New Roman" w:eastAsia="Times New Roman" w:hAnsi="Times New Roman"/>
                <w:sz w:val="16"/>
                <w:szCs w:val="16"/>
                <w:color w:val="auto"/>
              </w:rPr>
              <w:t>Total long-term liabilities</w:t>
            </w:r>
          </w:p>
        </w:tc>
        <w:tc>
          <w:tcPr>
            <w:tcW w:w="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2,023,968</w:t>
            </w:r>
          </w:p>
        </w:tc>
        <w:tc>
          <w:tcPr>
            <w:tcW w:w="1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25,170,611</w:t>
            </w:r>
          </w:p>
        </w:tc>
        <w:tc>
          <w:tcPr>
            <w:tcW w:w="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40" w:type="dxa"/>
            <w:vAlign w:val="bottom"/>
            <w:tcBorders>
              <w:bottom w:val="single" w:sz="8" w:color="CCEEFF"/>
            </w:tcBorders>
            <w:gridSpan w:val="7"/>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9,014,328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27,390,694</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40" w:type="dxa"/>
            <w:vAlign w:val="bottom"/>
            <w:gridSpan w:val="7"/>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Shareholders’ equity (deficit)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40" w:type="dxa"/>
            <w:vAlign w:val="bottom"/>
            <w:gridSpan w:val="7"/>
            <w:shd w:val="clear" w:color="auto" w:fill="CCEEFF"/>
          </w:tcPr>
          <w:p>
            <w:pPr>
              <w:ind w:left="140"/>
              <w:spacing w:after="0" w:line="167" w:lineRule="exact"/>
              <w:rPr>
                <w:sz w:val="20"/>
                <w:szCs w:val="20"/>
                <w:color w:val="auto"/>
              </w:rPr>
            </w:pPr>
            <w:r>
              <w:rPr>
                <w:rFonts w:ascii="Times New Roman" w:cs="Times New Roman" w:eastAsia="Times New Roman" w:hAnsi="Times New Roman"/>
                <w:sz w:val="16"/>
                <w:szCs w:val="16"/>
                <w:color w:val="auto"/>
                <w:w w:val="98"/>
              </w:rPr>
              <w:t>Common stock, $0.0001 par value; 300,000,000 shares authorized; 27,636,939 and 12,210,718 shares issued and outstanding</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40" w:type="dxa"/>
            <w:vAlign w:val="bottom"/>
            <w:gridSpan w:val="7"/>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as of June 30, 2025 and December 31, 2024, respectively</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2,764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1,221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7"/>
          </w:tcPr>
          <w:p>
            <w:pPr>
              <w:ind w:left="140"/>
              <w:spacing w:after="0" w:line="180" w:lineRule="exact"/>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56,613,511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438,120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40" w:type="dxa"/>
            <w:vAlign w:val="bottom"/>
            <w:gridSpan w:val="7"/>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(54,877,024)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(24,733,263)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40" w:type="dxa"/>
            <w:vAlign w:val="bottom"/>
            <w:tcBorders>
              <w:top w:val="single" w:sz="8" w:color="CCEEFF"/>
              <w:bottom w:val="single" w:sz="8" w:color="CCEEFF"/>
            </w:tcBorders>
            <w:gridSpan w:val="7"/>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Total shareholders’ equity (deficit)</w:t>
            </w:r>
          </w:p>
        </w:tc>
        <w:tc>
          <w:tcPr>
            <w:tcW w:w="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1,739,251</w:t>
            </w:r>
          </w:p>
        </w:tc>
        <w:tc>
          <w:tcPr>
            <w:tcW w:w="1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(24,293,922</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 (deficit)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10,753,579</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CID HOLDCO,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00" w:type="dxa"/>
            <w:vAlign w:val="bottom"/>
          </w:tcPr>
          <w:p>
            <w:pPr>
              <w:spacing w:after="0"/>
              <w:rPr>
                <w:sz w:val="16"/>
                <w:szCs w:val="16"/>
                <w:color w:val="auto"/>
              </w:rPr>
            </w:pPr>
          </w:p>
        </w:tc>
        <w:tc>
          <w:tcPr>
            <w:tcW w:w="218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For the six months ended</w:t>
            </w:r>
          </w:p>
        </w:tc>
        <w:tc>
          <w:tcPr>
            <w:tcW w:w="0" w:type="dxa"/>
            <w:vAlign w:val="bottom"/>
          </w:tcPr>
          <w:p>
            <w:pPr>
              <w:spacing w:after="0"/>
              <w:rPr>
                <w:sz w:val="1"/>
                <w:szCs w:val="1"/>
                <w:color w:val="auto"/>
              </w:rPr>
            </w:pPr>
          </w:p>
        </w:tc>
      </w:tr>
      <w:tr>
        <w:trPr>
          <w:trHeight w:val="199"/>
        </w:trPr>
        <w:tc>
          <w:tcPr>
            <w:tcW w:w="5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jc w:val="center"/>
              <w:ind w:left="582"/>
              <w:spacing w:after="0"/>
              <w:rPr>
                <w:sz w:val="20"/>
                <w:szCs w:val="20"/>
                <w:color w:val="auto"/>
              </w:rPr>
            </w:pPr>
            <w:r>
              <w:rPr>
                <w:rFonts w:ascii="Times New Roman" w:cs="Times New Roman" w:eastAsia="Times New Roman" w:hAnsi="Times New Roman"/>
                <w:sz w:val="16"/>
                <w:szCs w:val="16"/>
                <w:b w:val="1"/>
                <w:bCs w:val="1"/>
                <w:color w:val="auto"/>
                <w:w w:val="94"/>
              </w:rPr>
              <w:t>June 30,</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62"/>
              <w:spacing w:after="0" w:line="165" w:lineRule="exact"/>
              <w:rPr>
                <w:sz w:val="20"/>
                <w:szCs w:val="20"/>
                <w:color w:val="auto"/>
              </w:rPr>
            </w:pPr>
            <w:r>
              <w:rPr>
                <w:rFonts w:ascii="Times New Roman" w:cs="Times New Roman" w:eastAsia="Times New Roman" w:hAnsi="Times New Roman"/>
                <w:sz w:val="16"/>
                <w:szCs w:val="16"/>
                <w:b w:val="1"/>
                <w:bCs w:val="1"/>
                <w:color w:val="auto"/>
              </w:rPr>
              <w:t>2024 (As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ind w:right="122"/>
              <w:spacing w:after="0" w:line="165" w:lineRule="exact"/>
              <w:rPr>
                <w:sz w:val="20"/>
                <w:szCs w:val="20"/>
                <w:color w:val="auto"/>
              </w:rPr>
            </w:pPr>
            <w:r>
              <w:rPr>
                <w:rFonts w:ascii="Times New Roman" w:cs="Times New Roman" w:eastAsia="Times New Roman" w:hAnsi="Times New Roman"/>
                <w:sz w:val="16"/>
                <w:szCs w:val="16"/>
                <w:b w:val="1"/>
                <w:bCs w:val="1"/>
                <w:color w:val="auto"/>
                <w:w w:val="98"/>
              </w:rPr>
              <w:t>2024 (As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w w:val="98"/>
              </w:rPr>
              <w:t>Restated)</w:t>
            </w:r>
          </w:p>
        </w:tc>
        <w:tc>
          <w:tcPr>
            <w:tcW w:w="200" w:type="dxa"/>
            <w:vAlign w:val="bottom"/>
          </w:tcPr>
          <w:p>
            <w:pPr>
              <w:spacing w:after="0"/>
              <w:rPr>
                <w:sz w:val="17"/>
                <w:szCs w:val="17"/>
                <w:color w:val="auto"/>
              </w:rPr>
            </w:pPr>
          </w:p>
        </w:tc>
        <w:tc>
          <w:tcPr>
            <w:tcW w:w="86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5"/>
              </w:rPr>
              <w:t>Restated)</w:t>
            </w:r>
          </w:p>
        </w:tc>
        <w:tc>
          <w:tcPr>
            <w:tcW w:w="0" w:type="dxa"/>
            <w:vAlign w:val="bottom"/>
          </w:tcPr>
          <w:p>
            <w:pPr>
              <w:spacing w:after="0"/>
              <w:rPr>
                <w:sz w:val="1"/>
                <w:szCs w:val="1"/>
                <w:color w:val="auto"/>
              </w:rPr>
            </w:pPr>
          </w:p>
        </w:tc>
      </w:tr>
      <w:tr>
        <w:trPr>
          <w:trHeight w:val="180"/>
        </w:trPr>
        <w:tc>
          <w:tcPr>
            <w:tcW w:w="562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Revenue</w:t>
            </w: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126,833</w:t>
            </w: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23,442</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479,331</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101,995</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67,194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6,442</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84,272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2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59,639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17,000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395,059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91,986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62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62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824,204</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246,216</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1,441,935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557,575</w:t>
            </w:r>
          </w:p>
        </w:tc>
        <w:tc>
          <w:tcPr>
            <w:tcW w:w="0" w:type="dxa"/>
            <w:vAlign w:val="bottom"/>
          </w:tcPr>
          <w:p>
            <w:pPr>
              <w:spacing w:after="0"/>
              <w:rPr>
                <w:sz w:val="1"/>
                <w:szCs w:val="1"/>
                <w:color w:val="auto"/>
              </w:rPr>
            </w:pPr>
          </w:p>
        </w:tc>
      </w:tr>
      <w:tr>
        <w:trPr>
          <w:trHeight w:val="203"/>
        </w:trPr>
        <w:tc>
          <w:tcPr>
            <w:tcW w:w="56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181,641</w:t>
            </w:r>
          </w:p>
        </w:tc>
        <w:tc>
          <w:tcPr>
            <w:tcW w:w="1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152,467</w:t>
            </w:r>
          </w:p>
        </w:tc>
        <w:tc>
          <w:tcPr>
            <w:tcW w:w="2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575,505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273,313</w:t>
            </w:r>
          </w:p>
        </w:tc>
        <w:tc>
          <w:tcPr>
            <w:tcW w:w="0" w:type="dxa"/>
            <w:vAlign w:val="bottom"/>
          </w:tcPr>
          <w:p>
            <w:pPr>
              <w:spacing w:after="0"/>
              <w:rPr>
                <w:sz w:val="1"/>
                <w:szCs w:val="1"/>
                <w:color w:val="auto"/>
              </w:rPr>
            </w:pPr>
          </w:p>
        </w:tc>
      </w:tr>
      <w:tr>
        <w:trPr>
          <w:trHeight w:val="97"/>
        </w:trPr>
        <w:tc>
          <w:tcPr>
            <w:tcW w:w="5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562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Sales and marketing</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770,247</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730,620</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1,452,996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1,124,586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Acquisition and integration</w:t>
            </w:r>
          </w:p>
        </w:tc>
        <w:tc>
          <w:tcPr>
            <w:tcW w:w="160" w:type="dxa"/>
            <w:vAlign w:val="bottom"/>
          </w:tcPr>
          <w:p>
            <w:pPr>
              <w:spacing w:after="0"/>
              <w:rPr>
                <w:sz w:val="15"/>
                <w:szCs w:val="15"/>
                <w:color w:val="auto"/>
              </w:rPr>
            </w:pPr>
          </w:p>
        </w:tc>
        <w:tc>
          <w:tcPr>
            <w:tcW w:w="11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534,290</w:t>
            </w:r>
          </w:p>
        </w:tc>
        <w:tc>
          <w:tcPr>
            <w:tcW w:w="180" w:type="dxa"/>
            <w:vAlign w:val="bottom"/>
          </w:tcPr>
          <w:p>
            <w:pPr>
              <w:spacing w:after="0"/>
              <w:rPr>
                <w:sz w:val="15"/>
                <w:szCs w:val="15"/>
                <w:color w:val="auto"/>
              </w:rPr>
            </w:pPr>
          </w:p>
        </w:tc>
        <w:tc>
          <w:tcPr>
            <w:tcW w:w="11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323,562</w:t>
            </w:r>
          </w:p>
        </w:tc>
        <w:tc>
          <w:tcPr>
            <w:tcW w:w="200" w:type="dxa"/>
            <w:vAlign w:val="bottom"/>
          </w:tcPr>
          <w:p>
            <w:pPr>
              <w:spacing w:after="0"/>
              <w:rPr>
                <w:sz w:val="15"/>
                <w:szCs w:val="15"/>
                <w:color w:val="auto"/>
              </w:rPr>
            </w:pPr>
          </w:p>
        </w:tc>
        <w:tc>
          <w:tcPr>
            <w:tcW w:w="9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911,627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865,802</w:t>
            </w:r>
          </w:p>
        </w:tc>
        <w:tc>
          <w:tcPr>
            <w:tcW w:w="0" w:type="dxa"/>
            <w:vAlign w:val="bottom"/>
          </w:tcPr>
          <w:p>
            <w:pPr>
              <w:spacing w:after="0"/>
              <w:rPr>
                <w:sz w:val="1"/>
                <w:szCs w:val="1"/>
                <w:color w:val="auto"/>
              </w:rPr>
            </w:pPr>
          </w:p>
        </w:tc>
      </w:tr>
      <w:tr>
        <w:trPr>
          <w:trHeight w:val="192"/>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5,101</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5,101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5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40" w:orient="portrait"/>
          <w:cols w:equalWidth="0" w:num="1">
            <w:col w:w="10560"/>
          </w:cols>
          <w:pgMar w:left="660" w:top="542" w:right="680" w:bottom="137"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6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2,315,483</w:t>
            </w:r>
          </w:p>
        </w:tc>
        <w:tc>
          <w:tcPr>
            <w:tcW w:w="2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1,452,865</w:t>
            </w: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4,387,164</w:t>
            </w: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2,821,276</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0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(2,255,844</w:t>
            </w:r>
          </w:p>
        </w:tc>
        <w:tc>
          <w:tcPr>
            <w:tcW w:w="220" w:type="dxa"/>
            <w:vAlign w:val="bottom"/>
            <w:tcBorders>
              <w:bottom w:val="single" w:sz="8" w:color="CCEEFF"/>
            </w:tcBorders>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(1,435,865</w:t>
            </w:r>
          </w:p>
        </w:tc>
        <w:tc>
          <w:tcPr>
            <w:tcW w:w="220" w:type="dxa"/>
            <w:vAlign w:val="bottom"/>
            <w:tcBorders>
              <w:bottom w:val="single" w:sz="8" w:color="CCEEFF"/>
            </w:tcBorders>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(3,992,105</w:t>
            </w:r>
          </w:p>
        </w:tc>
        <w:tc>
          <w:tcPr>
            <w:tcW w:w="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(2,729,290</w:t>
            </w:r>
          </w:p>
        </w:tc>
        <w:tc>
          <w:tcPr>
            <w:tcW w:w="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00" w:type="dxa"/>
            <w:vAlign w:val="bottom"/>
          </w:tcPr>
          <w:p>
            <w:pPr>
              <w:ind w:left="140"/>
              <w:spacing w:after="0" w:line="165" w:lineRule="exact"/>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(168,763)</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(328,763)</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Change in fair value of SAFE notes</w:t>
            </w:r>
          </w:p>
        </w:tc>
        <w:tc>
          <w:tcPr>
            <w:tcW w:w="180" w:type="dxa"/>
            <w:vAlign w:val="bottom"/>
          </w:tcPr>
          <w:p>
            <w:pPr>
              <w:spacing w:after="0"/>
              <w:rPr>
                <w:sz w:val="15"/>
                <w:szCs w:val="15"/>
                <w:color w:val="auto"/>
              </w:rPr>
            </w:pPr>
          </w:p>
        </w:tc>
        <w:tc>
          <w:tcPr>
            <w:tcW w:w="110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(17,980,118)</w:t>
            </w:r>
          </w:p>
        </w:tc>
        <w:tc>
          <w:tcPr>
            <w:tcW w:w="220" w:type="dxa"/>
            <w:vAlign w:val="bottom"/>
          </w:tcPr>
          <w:p>
            <w:pPr>
              <w:spacing w:after="0"/>
              <w:rPr>
                <w:sz w:val="15"/>
                <w:szCs w:val="15"/>
                <w:color w:val="auto"/>
              </w:rPr>
            </w:pPr>
          </w:p>
        </w:tc>
        <w:tc>
          <w:tcPr>
            <w:tcW w:w="106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(660,755)</w:t>
            </w:r>
          </w:p>
        </w:tc>
        <w:tc>
          <w:tcPr>
            <w:tcW w:w="180" w:type="dxa"/>
            <w:vAlign w:val="bottom"/>
          </w:tcPr>
          <w:p>
            <w:pPr>
              <w:spacing w:after="0"/>
              <w:rPr>
                <w:sz w:val="15"/>
                <w:szCs w:val="15"/>
                <w:color w:val="auto"/>
              </w:rPr>
            </w:pPr>
          </w:p>
        </w:tc>
        <w:tc>
          <w:tcPr>
            <w:tcW w:w="100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(17,368,415)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(13,462,710)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Transaction costs</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(2,726,183)</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(2,726,183)</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from extinguishment of debt</w:t>
            </w:r>
          </w:p>
        </w:tc>
        <w:tc>
          <w:tcPr>
            <w:tcW w:w="180" w:type="dxa"/>
            <w:vAlign w:val="bottom"/>
          </w:tcPr>
          <w:p>
            <w:pPr>
              <w:spacing w:after="0"/>
              <w:rPr>
                <w:sz w:val="17"/>
                <w:szCs w:val="17"/>
                <w:color w:val="auto"/>
              </w:rPr>
            </w:pPr>
          </w:p>
        </w:tc>
        <w:tc>
          <w:tcPr>
            <w:tcW w:w="110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(5,728,295)</w:t>
            </w:r>
          </w:p>
        </w:tc>
        <w:tc>
          <w:tcPr>
            <w:tcW w:w="220" w:type="dxa"/>
            <w:vAlign w:val="bottom"/>
          </w:tcPr>
          <w:p>
            <w:pPr>
              <w:spacing w:after="0"/>
              <w:rPr>
                <w:sz w:val="17"/>
                <w:szCs w:val="17"/>
                <w:color w:val="auto"/>
              </w:rPr>
            </w:pPr>
          </w:p>
        </w:tc>
        <w:tc>
          <w:tcPr>
            <w:tcW w:w="106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(5,728,295)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00" w:type="dxa"/>
            <w:vAlign w:val="bottom"/>
            <w:tcBorders>
              <w:top w:val="single" w:sz="8" w:color="CCEEFF"/>
              <w:bottom w:val="single" w:sz="8" w:color="CCEEFF"/>
            </w:tcBorders>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Total other expenses, net</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(26,603,359</w:t>
            </w:r>
          </w:p>
        </w:tc>
        <w:tc>
          <w:tcPr>
            <w:tcW w:w="220" w:type="dxa"/>
            <w:vAlign w:val="bottom"/>
            <w:tcBorders>
              <w:top w:val="single" w:sz="8" w:color="CCEEFF"/>
              <w:bottom w:val="single" w:sz="8" w:color="CCEEFF"/>
            </w:tcBorders>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(660,755</w:t>
            </w:r>
          </w:p>
        </w:tc>
        <w:tc>
          <w:tcPr>
            <w:tcW w:w="220" w:type="dxa"/>
            <w:vAlign w:val="bottom"/>
            <w:tcBorders>
              <w:top w:val="single" w:sz="8" w:color="CCEEFF"/>
              <w:bottom w:val="single" w:sz="8" w:color="CCEEFF"/>
            </w:tcBorders>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(26,151,656</w:t>
            </w:r>
          </w:p>
        </w:tc>
        <w:tc>
          <w:tcPr>
            <w:tcW w:w="12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(13,462,710</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tcBorders>
              <w:bottom w:val="single" w:sz="8" w:color="CCEEFF"/>
            </w:tcBorders>
          </w:tcPr>
          <w:p>
            <w:pPr>
              <w:spacing w:after="0" w:line="165" w:lineRule="exact"/>
              <w:rPr>
                <w:sz w:val="20"/>
                <w:szCs w:val="20"/>
                <w:color w:val="auto"/>
              </w:rPr>
            </w:pPr>
            <w:r>
              <w:rPr>
                <w:rFonts w:ascii="Times New Roman" w:cs="Times New Roman" w:eastAsia="Times New Roman" w:hAnsi="Times New Roman"/>
                <w:sz w:val="16"/>
                <w:szCs w:val="16"/>
                <w:color w:val="auto"/>
              </w:rPr>
              <w:t>Loss before income taxes</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(28,859,203</w:t>
            </w:r>
          </w:p>
        </w:tc>
        <w:tc>
          <w:tcPr>
            <w:tcW w:w="220" w:type="dxa"/>
            <w:vAlign w:val="bottom"/>
            <w:tcBorders>
              <w:bottom w:val="single" w:sz="8" w:color="CCEEFF"/>
            </w:tcBorders>
          </w:tcPr>
          <w:p>
            <w:pPr>
              <w:jc w:val="right"/>
              <w:ind w:right="82"/>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(2,096,620</w:t>
            </w:r>
          </w:p>
        </w:tc>
        <w:tc>
          <w:tcPr>
            <w:tcW w:w="220" w:type="dxa"/>
            <w:vAlign w:val="bottom"/>
            <w:tcBorders>
              <w:bottom w:val="single" w:sz="8" w:color="CCEEFF"/>
            </w:tcBorders>
          </w:tcPr>
          <w:p>
            <w:pPr>
              <w:jc w:val="right"/>
              <w:ind w:right="82"/>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(30,143,761</w:t>
            </w:r>
          </w:p>
        </w:tc>
        <w:tc>
          <w:tcPr>
            <w:tcW w:w="12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(16,192,000</w:t>
            </w:r>
          </w:p>
        </w:tc>
        <w:tc>
          <w:tcPr>
            <w:tcW w:w="8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00" w:type="dxa"/>
            <w:vAlign w:val="bottom"/>
            <w:tcBorders>
              <w:bottom w:val="single" w:sz="8" w:color="CCEEFF"/>
            </w:tcBorders>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(28,859,203</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(2,096,620</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(30,143,761</w:t>
            </w:r>
          </w:p>
        </w:tc>
        <w:tc>
          <w:tcPr>
            <w:tcW w:w="1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(16,192,000</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6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loss per share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Basic and diluted</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(2.00)</w:t>
            </w:r>
          </w:p>
        </w:tc>
        <w:tc>
          <w:tcPr>
            <w:tcW w:w="220" w:type="dxa"/>
            <w:vAlign w:val="bottom"/>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(0.17)</w:t>
            </w:r>
          </w:p>
        </w:tc>
        <w:tc>
          <w:tcPr>
            <w:tcW w:w="18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(2.26)</w:t>
            </w:r>
          </w:p>
        </w:tc>
        <w:tc>
          <w:tcPr>
            <w:tcW w:w="26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Weighted average number of shares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Basic and diluted</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14,414,464</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12,111,507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13,318,679</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12,036,939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CID HOLDCO,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SHAREHOLDERS’ EQUITY (DEFICIT)</w:t>
      </w:r>
    </w:p>
    <w:tbl>
      <w:tblPr>
        <w:tblLayout w:type="fixed"/>
        <w:tblInd w:w="0" w:type="dxa"/>
        <w:tblCellMar>
          <w:top w:w="0" w:type="dxa"/>
          <w:left w:w="0" w:type="dxa"/>
          <w:bottom w:w="0" w:type="dxa"/>
          <w:right w:w="0" w:type="dxa"/>
        </w:tblCellMar>
      </w:tblPr>
      <w:tr>
        <w:trPr>
          <w:trHeight w:val="205"/>
        </w:trPr>
        <w:tc>
          <w:tcPr>
            <w:tcW w:w="4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5"/>
        </w:trPr>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180"/>
        </w:trPr>
        <w:tc>
          <w:tcPr>
            <w:tcW w:w="4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4"/>
          </w:tcPr>
          <w:p>
            <w:pPr>
              <w:jc w:val="center"/>
              <w:ind w:right="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Shareholders’</w:t>
            </w:r>
          </w:p>
        </w:tc>
      </w:tr>
      <w:tr>
        <w:trPr>
          <w:trHeight w:val="211"/>
        </w:trPr>
        <w:tc>
          <w:tcPr>
            <w:tcW w:w="4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Legacy Common Stock</w:t>
            </w:r>
          </w:p>
        </w:tc>
        <w:tc>
          <w:tcPr>
            <w:tcW w:w="176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 w:type="dxa"/>
            <w:vAlign w:val="bottom"/>
          </w:tcPr>
          <w:p>
            <w:pPr>
              <w:spacing w:after="0"/>
              <w:rPr>
                <w:sz w:val="18"/>
                <w:szCs w:val="18"/>
                <w:color w:val="auto"/>
              </w:rPr>
            </w:pP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196"/>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94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Pr>
          <w:p>
            <w:pPr>
              <w:spacing w:after="0"/>
              <w:rPr>
                <w:sz w:val="17"/>
                <w:szCs w:val="17"/>
                <w:color w:val="auto"/>
              </w:rPr>
            </w:pPr>
          </w:p>
        </w:tc>
        <w:tc>
          <w:tcPr>
            <w:tcW w:w="980" w:type="dxa"/>
            <w:vAlign w:val="bottom"/>
            <w:tcBorders>
              <w:top w:val="single" w:sz="8" w:color="auto"/>
            </w:tcBorders>
            <w:gridSpan w:val="3"/>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0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40" w:type="dxa"/>
            <w:vAlign w:val="bottom"/>
          </w:tcPr>
          <w:p>
            <w:pPr>
              <w:spacing w:after="0"/>
              <w:rPr>
                <w:sz w:val="17"/>
                <w:szCs w:val="17"/>
                <w:color w:val="auto"/>
              </w:rPr>
            </w:pPr>
          </w:p>
        </w:tc>
        <w:tc>
          <w:tcPr>
            <w:tcW w:w="96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7"/>
                <w:szCs w:val="17"/>
                <w:color w:val="auto"/>
              </w:rPr>
            </w:pP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(Deficit)</w:t>
            </w:r>
          </w:p>
        </w:tc>
      </w:tr>
      <w:tr>
        <w:trPr>
          <w:trHeight w:val="180"/>
        </w:trPr>
        <w:tc>
          <w:tcPr>
            <w:tcW w:w="400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Balances as of March 31, 2025</w:t>
            </w:r>
          </w:p>
        </w:tc>
        <w:tc>
          <w:tcPr>
            <w:tcW w:w="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108,975,000</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108,975</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   340,371</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0"/>
              </w:rPr>
              <w:t>$ (26,017,821)</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3"/>
              </w:rPr>
              <w:t>$  (25,568,475)</w:t>
            </w: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Retroactive application of recapitalization</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(108,975,000)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(108,975)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12,210,718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1,221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107,754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184"/>
        </w:trPr>
        <w:tc>
          <w:tcPr>
            <w:tcW w:w="4040" w:type="dxa"/>
            <w:vAlign w:val="bottom"/>
            <w:tcBorders>
              <w:top w:val="single" w:sz="8" w:color="CCEEFF"/>
              <w:bottom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Balances as of March 31, 2025, adjusted</w:t>
            </w:r>
          </w:p>
        </w:tc>
        <w:tc>
          <w:tcPr>
            <w:tcW w:w="8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12,210,718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1,221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448,125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(26,017,821</w:t>
            </w:r>
          </w:p>
        </w:tc>
        <w:tc>
          <w:tcPr>
            <w:tcW w:w="80" w:type="dxa"/>
            <w:vAlign w:val="bottom"/>
            <w:tcBorders>
              <w:top w:val="single" w:sz="8" w:color="CCEEFF"/>
              <w:bottom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(25,568,475</w:t>
            </w:r>
          </w:p>
        </w:tc>
        <w:tc>
          <w:tcPr>
            <w:tcW w:w="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6"/>
                <w:szCs w:val="16"/>
                <w:color w:val="auto"/>
              </w:rPr>
            </w:pPr>
          </w:p>
        </w:tc>
      </w:tr>
    </w:tbl>
    <w:p>
      <w:pPr>
        <w:spacing w:after="0" w:line="1" w:lineRule="exact"/>
        <w:rPr>
          <w:sz w:val="20"/>
          <w:szCs w:val="20"/>
          <w:color w:val="auto"/>
        </w:rPr>
      </w:pPr>
    </w:p>
    <w:p>
      <w:pPr>
        <w:sectPr>
          <w:pgSz w:w="11900" w:h="16840" w:orient="portrait"/>
          <w:cols w:equalWidth="0" w:num="1">
            <w:col w:w="10580"/>
          </w:cols>
          <w:pgMar w:left="660" w:top="550" w:right="660" w:bottom="229" w:gutter="0" w:footer="0" w:header="0"/>
        </w:sectPr>
      </w:pPr>
    </w:p>
    <w:p>
      <w:pPr>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1" w:lineRule="exact"/>
        <w:rPr>
          <w:sz w:val="20"/>
          <w:szCs w:val="20"/>
          <w:color w:val="auto"/>
        </w:rPr>
      </w:pPr>
    </w:p>
    <w:p>
      <w:pPr>
        <w:ind w:right="740"/>
        <w:spacing w:after="0" w:line="238" w:lineRule="auto"/>
        <w:rPr>
          <w:sz w:val="20"/>
          <w:szCs w:val="20"/>
          <w:color w:val="auto"/>
        </w:rPr>
      </w:pPr>
      <w:r>
        <w:rPr>
          <w:rFonts w:ascii="Times New Roman" w:cs="Times New Roman" w:eastAsia="Times New Roman" w:hAnsi="Times New Roman"/>
          <w:sz w:val="16"/>
          <w:szCs w:val="16"/>
          <w:color w:val="auto"/>
        </w:rPr>
        <w:t>Reverse recapitalization transactions, net 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 (As Restated)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0" w:type="dxa"/>
            <w:vAlign w:val="bottom"/>
          </w:tcPr>
          <w:p>
            <w:pPr>
              <w:jc w:val="center"/>
              <w:ind w:left="742"/>
              <w:spacing w:after="0" w:line="167"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gridSpan w:val="2"/>
          </w:tcPr>
          <w:p>
            <w:pPr>
              <w:jc w:val="right"/>
              <w:ind w:right="80"/>
              <w:spacing w:after="0" w:line="167"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60" w:type="dxa"/>
            <w:vAlign w:val="bottom"/>
            <w:gridSpan w:val="2"/>
          </w:tcPr>
          <w:p>
            <w:pPr>
              <w:jc w:val="right"/>
              <w:ind w:right="80"/>
              <w:spacing w:after="0" w:line="167"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80"/>
              <w:spacing w:after="0" w:line="167"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6"/>
                <w:szCs w:val="16"/>
                <w:color w:val="auto"/>
              </w:rPr>
              <w:t>9,737</w:t>
            </w:r>
          </w:p>
        </w:tc>
        <w:tc>
          <w:tcPr>
            <w:tcW w:w="1020" w:type="dxa"/>
            <w:vAlign w:val="bottom"/>
            <w:gridSpan w:val="3"/>
          </w:tcPr>
          <w:p>
            <w:pPr>
              <w:jc w:val="right"/>
              <w:ind w:right="2"/>
              <w:spacing w:after="0" w:line="167"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6"/>
                <w:szCs w:val="16"/>
                <w:color w:val="auto"/>
              </w:rPr>
              <w:t>9,737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 w:type="dxa"/>
            <w:vAlign w:val="bottom"/>
          </w:tcPr>
          <w:p>
            <w:pPr>
              <w:jc w:val="center"/>
              <w:ind w:lef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15,426,221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1,543</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56,155,649</w:t>
            </w:r>
          </w:p>
        </w:tc>
        <w:tc>
          <w:tcPr>
            <w:tcW w:w="60" w:type="dxa"/>
            <w:vAlign w:val="bottom"/>
          </w:tcPr>
          <w:p>
            <w:pPr>
              <w:spacing w:after="0"/>
              <w:rPr>
                <w:sz w:val="15"/>
                <w:szCs w:val="15"/>
                <w:color w:val="auto"/>
              </w:rPr>
            </w:pPr>
          </w:p>
        </w:tc>
        <w:tc>
          <w:tcPr>
            <w:tcW w:w="1020" w:type="dxa"/>
            <w:vAlign w:val="bottom"/>
            <w:gridSpan w:val="3"/>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56,157,192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80" w:type="dxa"/>
            <w:vAlign w:val="bottom"/>
          </w:tcPr>
          <w:p>
            <w:pPr>
              <w:jc w:val="center"/>
              <w:ind w:left="7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(28,859,203)</w:t>
            </w:r>
          </w:p>
        </w:tc>
        <w:tc>
          <w:tcPr>
            <w:tcW w:w="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(28,859,203)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80" w:type="dxa"/>
            <w:vAlign w:val="bottom"/>
          </w:tcPr>
          <w:p>
            <w:pPr>
              <w:jc w:val="center"/>
              <w:ind w:left="74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56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27,636,939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2,764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$ 56,613,511</w:t>
            </w:r>
          </w:p>
        </w:tc>
        <w:tc>
          <w:tcPr>
            <w:tcW w:w="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(54,877,024</w:t>
            </w:r>
          </w:p>
        </w:tc>
        <w:tc>
          <w:tcPr>
            <w:tcW w:w="1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Additional</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gridSpan w:val="4"/>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Shareholders’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Legacy Common Stock</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160" w:type="dxa"/>
            <w:vAlign w:val="bottom"/>
            <w:gridSpan w:val="4"/>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92"/>
        </w:trPr>
        <w:tc>
          <w:tcPr>
            <w:tcW w:w="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40" w:type="dxa"/>
            <w:vAlign w:val="bottom"/>
          </w:tcPr>
          <w:p>
            <w:pPr>
              <w:spacing w:after="0"/>
              <w:rPr>
                <w:sz w:val="16"/>
                <w:szCs w:val="16"/>
                <w:color w:val="auto"/>
              </w:rPr>
            </w:pPr>
          </w:p>
        </w:tc>
        <w:tc>
          <w:tcPr>
            <w:tcW w:w="1120" w:type="dxa"/>
            <w:vAlign w:val="bottom"/>
            <w:gridSpan w:val="3"/>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-1020445</wp:posOffset>
            </wp:positionV>
            <wp:extent cx="6707505" cy="1143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-776605</wp:posOffset>
            </wp:positionV>
            <wp:extent cx="6707505" cy="152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07505" cy="152400"/>
                    </a:xfrm>
                    <a:prstGeom prst="rect">
                      <a:avLst/>
                    </a:prstGeom>
                    <a:noFill/>
                  </pic:spPr>
                </pic:pic>
              </a:graphicData>
            </a:graphic>
          </wp:anchor>
        </w:drawing>
      </w:r>
    </w:p>
    <w:p>
      <w:pPr>
        <w:spacing w:after="0" w:line="20" w:lineRule="exact"/>
        <w:rPr>
          <w:sz w:val="20"/>
          <w:szCs w:val="20"/>
          <w:color w:val="auto"/>
        </w:rPr>
      </w:pPr>
    </w:p>
    <w:p>
      <w:pPr>
        <w:sectPr>
          <w:pgSz w:w="11900" w:h="16840" w:orient="portrait"/>
          <w:cols w:equalWidth="0" w:num="2">
            <w:col w:w="3300" w:space="720"/>
            <w:col w:w="6560"/>
          </w:cols>
          <w:pgMar w:left="660" w:top="550" w:right="660" w:bottom="229"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04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4"/>
        </w:trPr>
        <w:tc>
          <w:tcPr>
            <w:tcW w:w="4040" w:type="dxa"/>
            <w:vAlign w:val="bottom"/>
            <w:tcBorders>
              <w:right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Balances as of March 31, 2024</w:t>
            </w:r>
          </w:p>
        </w:tc>
        <w:tc>
          <w:tcPr>
            <w:tcW w:w="960" w:type="dxa"/>
            <w:vAlign w:val="bottom"/>
            <w:tcBorders>
              <w:right w:val="single" w:sz="8" w:color="CCEEFF"/>
            </w:tcBorders>
            <w:shd w:val="clear" w:color="auto" w:fill="CCEEFF"/>
          </w:tcPr>
          <w:p>
            <w:pPr>
              <w:jc w:val="right"/>
              <w:ind w:right="22"/>
              <w:spacing w:after="0" w:line="165" w:lineRule="exact"/>
              <w:rPr>
                <w:sz w:val="20"/>
                <w:szCs w:val="20"/>
                <w:color w:val="auto"/>
              </w:rPr>
            </w:pPr>
            <w:r>
              <w:rPr>
                <w:rFonts w:ascii="Times New Roman" w:cs="Times New Roman" w:eastAsia="Times New Roman" w:hAnsi="Times New Roman"/>
                <w:sz w:val="16"/>
                <w:szCs w:val="16"/>
                <w:color w:val="auto"/>
              </w:rPr>
              <w:t>108,975,000</w:t>
            </w:r>
          </w:p>
        </w:tc>
        <w:tc>
          <w:tcPr>
            <w:tcW w:w="12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right w:val="single" w:sz="8" w:color="CCEEFF"/>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108,975</w:t>
            </w:r>
          </w:p>
        </w:tc>
        <w:tc>
          <w:tcPr>
            <w:tcW w:w="100" w:type="dxa"/>
            <w:vAlign w:val="bottom"/>
            <w:tcBorders>
              <w:righ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right w:val="single" w:sz="8" w:color="CCEEFF"/>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right w:val="single" w:sz="8" w:color="CCEEFF"/>
            </w:tcBorders>
            <w:shd w:val="clear" w:color="auto" w:fill="CCEEFF"/>
          </w:tcPr>
          <w:p>
            <w:pPr>
              <w:jc w:val="right"/>
              <w:ind w:right="22"/>
              <w:spacing w:after="0" w:line="165" w:lineRule="exact"/>
              <w:rPr>
                <w:sz w:val="20"/>
                <w:szCs w:val="20"/>
                <w:color w:val="auto"/>
              </w:rPr>
            </w:pPr>
            <w:r>
              <w:rPr>
                <w:rFonts w:ascii="Times New Roman" w:cs="Times New Roman" w:eastAsia="Times New Roman" w:hAnsi="Times New Roman"/>
                <w:sz w:val="16"/>
                <w:szCs w:val="16"/>
                <w:color w:val="auto"/>
              </w:rPr>
              <w:t>285,108</w:t>
            </w:r>
          </w:p>
        </w:tc>
        <w:tc>
          <w:tcPr>
            <w:tcW w:w="980" w:type="dxa"/>
            <w:vAlign w:val="bottom"/>
            <w:tcBorders>
              <w:right w:val="single" w:sz="8" w:color="CCEEFF"/>
            </w:tcBorders>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97"/>
              </w:rPr>
              <w:t>$ (17,291,213)</w:t>
            </w:r>
          </w:p>
        </w:tc>
        <w:tc>
          <w:tcPr>
            <w:tcW w:w="14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99"/>
              </w:rPr>
              <w:t>(16,897,130)</w:t>
            </w:r>
          </w:p>
        </w:tc>
        <w:tc>
          <w:tcPr>
            <w:tcW w:w="20" w:type="dxa"/>
            <w:vAlign w:val="bottom"/>
          </w:tcPr>
          <w:p>
            <w:pPr>
              <w:spacing w:after="0"/>
              <w:rPr>
                <w:sz w:val="14"/>
                <w:szCs w:val="14"/>
                <w:color w:val="auto"/>
              </w:rPr>
            </w:pPr>
          </w:p>
        </w:tc>
      </w:tr>
      <w:tr>
        <w:trPr>
          <w:trHeight w:val="196"/>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Retroactive application of recapitalization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(108,975,000)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(108,975)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12,210,718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107,754</w:t>
            </w:r>
          </w:p>
        </w:tc>
        <w:tc>
          <w:tcPr>
            <w:tcW w:w="9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0"/>
        </w:trPr>
        <w:tc>
          <w:tcPr>
            <w:tcW w:w="4040" w:type="dxa"/>
            <w:vAlign w:val="bottom"/>
            <w:tcBorders>
              <w:top w:val="single" w:sz="8" w:color="CCEEFF"/>
              <w:bottom w:val="single" w:sz="8" w:color="CCEEFF"/>
              <w:right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Balances as of March 31, 2024, adjusted</w:t>
            </w:r>
          </w:p>
        </w:tc>
        <w:tc>
          <w:tcPr>
            <w:tcW w:w="960" w:type="dxa"/>
            <w:vAlign w:val="bottom"/>
            <w:tcBorders>
              <w:top w:val="single" w:sz="8" w:color="auto"/>
              <w:bottom w:val="single" w:sz="8" w:color="auto"/>
              <w:right w:val="single" w:sz="8" w:color="CCEEFF"/>
            </w:tcBorders>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12,210,718</w:t>
            </w:r>
          </w:p>
        </w:tc>
        <w:tc>
          <w:tcPr>
            <w:tcW w:w="1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1,221</w:t>
            </w:r>
          </w:p>
        </w:tc>
        <w:tc>
          <w:tcPr>
            <w:tcW w:w="1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right w:val="single" w:sz="8" w:color="CCEEFF"/>
            </w:tcBorders>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392,862</w:t>
            </w:r>
          </w:p>
        </w:tc>
        <w:tc>
          <w:tcPr>
            <w:tcW w:w="8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(17,291,213</w:t>
            </w:r>
          </w:p>
        </w:tc>
        <w:tc>
          <w:tcPr>
            <w:tcW w:w="100" w:type="dxa"/>
            <w:vAlign w:val="bottom"/>
            <w:tcBorders>
              <w:top w:val="single" w:sz="8" w:color="CCEEFF"/>
              <w:bottom w:val="single" w:sz="8" w:color="CCEEFF"/>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(16,897,130</w:t>
            </w:r>
          </w:p>
        </w:tc>
        <w:tc>
          <w:tcPr>
            <w:tcW w:w="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7"/>
                <w:szCs w:val="17"/>
                <w:color w:val="auto"/>
              </w:rPr>
            </w:pPr>
          </w:p>
        </w:tc>
      </w:tr>
      <w:tr>
        <w:trPr>
          <w:trHeight w:val="164"/>
        </w:trPr>
        <w:tc>
          <w:tcPr>
            <w:tcW w:w="40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tcPr>
          <w:p>
            <w:pPr>
              <w:jc w:val="right"/>
              <w:ind w:right="22"/>
              <w:spacing w:after="0" w:line="16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2"/>
              <w:spacing w:after="0" w:line="165" w:lineRule="exact"/>
              <w:rPr>
                <w:sz w:val="20"/>
                <w:szCs w:val="20"/>
                <w:color w:val="auto"/>
              </w:rPr>
            </w:pPr>
            <w:r>
              <w:rPr>
                <w:rFonts w:ascii="Times New Roman" w:cs="Times New Roman" w:eastAsia="Times New Roman" w:hAnsi="Times New Roman"/>
                <w:sz w:val="16"/>
                <w:szCs w:val="16"/>
                <w:color w:val="auto"/>
              </w:rPr>
              <w:t>20,720</w:t>
            </w:r>
          </w:p>
        </w:tc>
        <w:tc>
          <w:tcPr>
            <w:tcW w:w="8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20,720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2"/>
        </w:trPr>
        <w:tc>
          <w:tcPr>
            <w:tcW w:w="4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(2,096,620)</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(2,096,620)</w:t>
            </w:r>
          </w:p>
        </w:tc>
        <w:tc>
          <w:tcPr>
            <w:tcW w:w="20" w:type="dxa"/>
            <w:vAlign w:val="bottom"/>
          </w:tcPr>
          <w:p>
            <w:pPr>
              <w:spacing w:after="0"/>
              <w:rPr>
                <w:sz w:val="16"/>
                <w:szCs w:val="16"/>
                <w:color w:val="auto"/>
              </w:rPr>
            </w:pPr>
          </w:p>
        </w:tc>
      </w:tr>
      <w:tr>
        <w:trPr>
          <w:trHeight w:val="20"/>
        </w:trPr>
        <w:tc>
          <w:tcPr>
            <w:tcW w:w="4040" w:type="dxa"/>
            <w:vAlign w:val="bottom"/>
            <w:tcBorders>
              <w:right w:val="single" w:sz="8" w:color="auto"/>
            </w:tcBorders>
            <w:shd w:val="clear" w:color="auto" w:fill="CCEEFF"/>
          </w:tcPr>
          <w:p>
            <w:pPr>
              <w:spacing w:after="0" w:line="20" w:lineRule="exact"/>
              <w:rPr>
                <w:sz w:val="1"/>
                <w:szCs w:val="1"/>
                <w:color w:val="auto"/>
              </w:rPr>
            </w:pPr>
          </w:p>
        </w:tc>
        <w:tc>
          <w:tcPr>
            <w:tcW w:w="96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70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70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8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Balances as of June 30, 2024</w:t>
            </w: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12,210,718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413,582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(19,387,833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(18,973,030</w:t>
            </w:r>
          </w:p>
        </w:tc>
        <w:tc>
          <w:tcPr>
            <w:tcW w:w="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0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41"/>
        </w:trPr>
        <w:tc>
          <w:tcPr>
            <w:tcW w:w="4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180"/>
        </w:trPr>
        <w:tc>
          <w:tcPr>
            <w:tcW w:w="4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b w:val="1"/>
                <w:bCs w:val="1"/>
                <w:color w:val="auto"/>
                <w:w w:val="98"/>
              </w:rPr>
              <w:t>Additional</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4"/>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Shareholders’</w:t>
            </w:r>
          </w:p>
        </w:tc>
      </w:tr>
      <w:tr>
        <w:trPr>
          <w:trHeight w:val="211"/>
        </w:trPr>
        <w:tc>
          <w:tcPr>
            <w:tcW w:w="4040" w:type="dxa"/>
            <w:vAlign w:val="bottom"/>
          </w:tcPr>
          <w:p>
            <w:pPr>
              <w:spacing w:after="0"/>
              <w:rPr>
                <w:sz w:val="18"/>
                <w:szCs w:val="18"/>
                <w:color w:val="auto"/>
              </w:rPr>
            </w:pPr>
          </w:p>
        </w:tc>
        <w:tc>
          <w:tcPr>
            <w:tcW w:w="188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Legacy Common Stock</w:t>
            </w:r>
          </w:p>
        </w:tc>
        <w:tc>
          <w:tcPr>
            <w:tcW w:w="178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80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4"/>
              </w:rPr>
              <w:t>Accumulated</w:t>
            </w:r>
          </w:p>
        </w:tc>
        <w:tc>
          <w:tcPr>
            <w:tcW w:w="14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196"/>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960" w:type="dxa"/>
            <w:vAlign w:val="bottom"/>
            <w:tcBorders>
              <w:top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Pr>
          <w:p>
            <w:pPr>
              <w:spacing w:after="0"/>
              <w:rPr>
                <w:sz w:val="17"/>
                <w:szCs w:val="17"/>
                <w:color w:val="auto"/>
              </w:rPr>
            </w:pPr>
          </w:p>
        </w:tc>
        <w:tc>
          <w:tcPr>
            <w:tcW w:w="8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8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(Deficit)</w:t>
            </w:r>
          </w:p>
        </w:tc>
      </w:tr>
      <w:tr>
        <w:trPr>
          <w:trHeight w:val="180"/>
        </w:trPr>
        <w:tc>
          <w:tcPr>
            <w:tcW w:w="4040" w:type="dxa"/>
            <w:vAlign w:val="bottom"/>
            <w:tcBorders>
              <w:top w:val="single" w:sz="8" w:color="auto"/>
              <w:right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Balances as of December 31, 2024</w:t>
            </w:r>
          </w:p>
        </w:tc>
        <w:tc>
          <w:tcPr>
            <w:tcW w:w="960" w:type="dxa"/>
            <w:vAlign w:val="bottom"/>
            <w:tcBorders>
              <w:top w:val="single" w:sz="8" w:color="auto"/>
              <w:right w:val="single" w:sz="8" w:color="CCEEFF"/>
            </w:tcBorders>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108,975,000</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108,975</w:t>
            </w: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780" w:type="dxa"/>
            <w:vAlign w:val="bottom"/>
            <w:tcBorders>
              <w:top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right w:val="single" w:sz="8" w:color="CCEEFF"/>
            </w:tcBorders>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330,366</w:t>
            </w:r>
          </w:p>
        </w:tc>
        <w:tc>
          <w:tcPr>
            <w:tcW w:w="8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0"/>
              </w:rPr>
              <w:t>$ (24,733,263)</w:t>
            </w: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4"/>
              </w:rPr>
              <w:t>(24,293,922)</w:t>
            </w: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Retroactive application of recapitalization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(108,975,000)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(108,975)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12,210,718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1,221</w:t>
            </w:r>
          </w:p>
        </w:tc>
        <w:tc>
          <w:tcPr>
            <w:tcW w:w="10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107,754</w:t>
            </w:r>
          </w:p>
        </w:tc>
        <w:tc>
          <w:tcPr>
            <w:tcW w:w="9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184"/>
        </w:trPr>
        <w:tc>
          <w:tcPr>
            <w:tcW w:w="4040" w:type="dxa"/>
            <w:vAlign w:val="bottom"/>
            <w:tcBorders>
              <w:top w:val="single" w:sz="8" w:color="CCEEFF"/>
              <w:bottom w:val="single" w:sz="8" w:color="CCEEFF"/>
              <w:right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Balances as of December 31, 2024, adjusted</w:t>
            </w:r>
          </w:p>
        </w:tc>
        <w:tc>
          <w:tcPr>
            <w:tcW w:w="960" w:type="dxa"/>
            <w:vAlign w:val="bottom"/>
            <w:tcBorders>
              <w:top w:val="single" w:sz="8" w:color="auto"/>
              <w:bottom w:val="single" w:sz="8" w:color="auto"/>
              <w:right w:val="single" w:sz="8" w:color="CCEEFF"/>
            </w:tcBorders>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12,210,718</w:t>
            </w:r>
          </w:p>
        </w:tc>
        <w:tc>
          <w:tcPr>
            <w:tcW w:w="1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1,221</w:t>
            </w:r>
          </w:p>
        </w:tc>
        <w:tc>
          <w:tcPr>
            <w:tcW w:w="1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right w:val="single" w:sz="8" w:color="CCEEFF"/>
            </w:tcBorders>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438,120</w:t>
            </w:r>
          </w:p>
        </w:tc>
        <w:tc>
          <w:tcPr>
            <w:tcW w:w="8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(24,733,263</w:t>
            </w:r>
          </w:p>
        </w:tc>
        <w:tc>
          <w:tcPr>
            <w:tcW w:w="100" w:type="dxa"/>
            <w:vAlign w:val="bottom"/>
            <w:tcBorders>
              <w:top w:val="single" w:sz="8" w:color="CCEEFF"/>
              <w:bottom w:val="single" w:sz="8" w:color="CCEEFF"/>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(24,293,922</w:t>
            </w:r>
          </w:p>
        </w:tc>
        <w:tc>
          <w:tcPr>
            <w:tcW w:w="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6"/>
                <w:szCs w:val="16"/>
                <w:color w:val="auto"/>
              </w:rPr>
            </w:pPr>
          </w:p>
        </w:tc>
      </w:tr>
    </w:tbl>
    <w:p>
      <w:pPr>
        <w:spacing w:after="0" w:line="1" w:lineRule="exact"/>
        <w:rPr>
          <w:sz w:val="20"/>
          <w:szCs w:val="20"/>
          <w:color w:val="auto"/>
        </w:rPr>
      </w:pPr>
    </w:p>
    <w:p>
      <w:pPr>
        <w:sectPr>
          <w:pgSz w:w="11900" w:h="16840" w:orient="portrait"/>
          <w:cols w:equalWidth="0" w:num="1">
            <w:col w:w="10580"/>
          </w:cols>
          <w:pgMar w:left="660" w:top="550" w:right="660" w:bottom="229"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1" w:lineRule="exact"/>
        <w:rPr>
          <w:sz w:val="20"/>
          <w:szCs w:val="20"/>
          <w:color w:val="auto"/>
        </w:rPr>
      </w:pPr>
    </w:p>
    <w:p>
      <w:pPr>
        <w:ind w:right="740"/>
        <w:spacing w:after="0" w:line="238" w:lineRule="auto"/>
        <w:rPr>
          <w:sz w:val="20"/>
          <w:szCs w:val="20"/>
          <w:color w:val="auto"/>
        </w:rPr>
      </w:pPr>
      <w:r>
        <w:rPr>
          <w:rFonts w:ascii="Times New Roman" w:cs="Times New Roman" w:eastAsia="Times New Roman" w:hAnsi="Times New Roman"/>
          <w:sz w:val="16"/>
          <w:szCs w:val="16"/>
          <w:color w:val="auto"/>
        </w:rPr>
        <w:t>Reverse recapitalization transactions, net 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 (As Restated)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0" w:type="dxa"/>
            <w:vAlign w:val="bottom"/>
          </w:tcPr>
          <w:p>
            <w:pPr>
              <w:jc w:val="center"/>
              <w:ind w:left="742"/>
              <w:spacing w:after="0" w:line="167"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gridSpan w:val="2"/>
          </w:tcPr>
          <w:p>
            <w:pPr>
              <w:jc w:val="right"/>
              <w:ind w:right="80"/>
              <w:spacing w:after="0" w:line="167"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60" w:type="dxa"/>
            <w:vAlign w:val="bottom"/>
            <w:gridSpan w:val="2"/>
          </w:tcPr>
          <w:p>
            <w:pPr>
              <w:jc w:val="right"/>
              <w:ind w:right="80"/>
              <w:spacing w:after="0" w:line="167"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80"/>
              <w:spacing w:after="0" w:line="167"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19,742</w:t>
            </w:r>
          </w:p>
        </w:tc>
        <w:tc>
          <w:tcPr>
            <w:tcW w:w="60" w:type="dxa"/>
            <w:vAlign w:val="bottom"/>
          </w:tcPr>
          <w:p>
            <w:pPr>
              <w:spacing w:after="0"/>
              <w:rPr>
                <w:sz w:val="14"/>
                <w:szCs w:val="14"/>
                <w:color w:val="auto"/>
              </w:rPr>
            </w:pPr>
          </w:p>
        </w:tc>
        <w:tc>
          <w:tcPr>
            <w:tcW w:w="1020" w:type="dxa"/>
            <w:vAlign w:val="bottom"/>
            <w:gridSpan w:val="3"/>
          </w:tcPr>
          <w:p>
            <w:pPr>
              <w:jc w:val="right"/>
              <w:ind w:right="2"/>
              <w:spacing w:after="0" w:line="167"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19,742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 w:type="dxa"/>
            <w:vAlign w:val="bottom"/>
          </w:tcPr>
          <w:p>
            <w:pPr>
              <w:jc w:val="center"/>
              <w:ind w:lef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15,426,221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1,543</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56,155,649</w:t>
            </w:r>
          </w:p>
        </w:tc>
        <w:tc>
          <w:tcPr>
            <w:tcW w:w="60" w:type="dxa"/>
            <w:vAlign w:val="bottom"/>
          </w:tcPr>
          <w:p>
            <w:pPr>
              <w:spacing w:after="0"/>
              <w:rPr>
                <w:sz w:val="15"/>
                <w:szCs w:val="15"/>
                <w:color w:val="auto"/>
              </w:rPr>
            </w:pPr>
          </w:p>
        </w:tc>
        <w:tc>
          <w:tcPr>
            <w:tcW w:w="1020" w:type="dxa"/>
            <w:vAlign w:val="bottom"/>
            <w:gridSpan w:val="3"/>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56,157,192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80" w:type="dxa"/>
            <w:vAlign w:val="bottom"/>
          </w:tcPr>
          <w:p>
            <w:pPr>
              <w:jc w:val="center"/>
              <w:ind w:left="7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(30,143,761)</w:t>
            </w:r>
          </w:p>
        </w:tc>
        <w:tc>
          <w:tcPr>
            <w:tcW w:w="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(30,143,761)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80" w:type="dxa"/>
            <w:vAlign w:val="bottom"/>
          </w:tcPr>
          <w:p>
            <w:pPr>
              <w:jc w:val="center"/>
              <w:ind w:left="74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56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27,636,939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2,764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$ 56,613,511</w:t>
            </w:r>
          </w:p>
        </w:tc>
        <w:tc>
          <w:tcPr>
            <w:tcW w:w="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(54,877,024</w:t>
            </w:r>
          </w:p>
        </w:tc>
        <w:tc>
          <w:tcPr>
            <w:tcW w:w="1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5"/>
              </w:rPr>
              <w:t>Additional</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gridSpan w:val="4"/>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Shareholders’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Legacy Common Stock</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Paid-In</w:t>
            </w:r>
          </w:p>
        </w:tc>
        <w:tc>
          <w:tcPr>
            <w:tcW w:w="1160" w:type="dxa"/>
            <w:vAlign w:val="bottom"/>
            <w:gridSpan w:val="4"/>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92"/>
        </w:trPr>
        <w:tc>
          <w:tcPr>
            <w:tcW w:w="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6"/>
                <w:szCs w:val="16"/>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40" w:type="dxa"/>
            <w:vAlign w:val="bottom"/>
          </w:tcPr>
          <w:p>
            <w:pPr>
              <w:spacing w:after="0"/>
              <w:rPr>
                <w:sz w:val="16"/>
                <w:szCs w:val="16"/>
                <w:color w:val="auto"/>
              </w:rPr>
            </w:pPr>
          </w:p>
        </w:tc>
        <w:tc>
          <w:tcPr>
            <w:tcW w:w="1120" w:type="dxa"/>
            <w:vAlign w:val="bottom"/>
            <w:gridSpan w:val="3"/>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-1020445</wp:posOffset>
            </wp:positionV>
            <wp:extent cx="6707505" cy="1143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-776605</wp:posOffset>
            </wp:positionV>
            <wp:extent cx="6707505" cy="152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07505" cy="152400"/>
                    </a:xfrm>
                    <a:prstGeom prst="rect">
                      <a:avLst/>
                    </a:prstGeom>
                    <a:noFill/>
                  </pic:spPr>
                </pic:pic>
              </a:graphicData>
            </a:graphic>
          </wp:anchor>
        </w:drawing>
      </w:r>
    </w:p>
    <w:p>
      <w:pPr>
        <w:spacing w:after="0" w:line="20" w:lineRule="exact"/>
        <w:rPr>
          <w:sz w:val="20"/>
          <w:szCs w:val="20"/>
          <w:color w:val="auto"/>
        </w:rPr>
      </w:pPr>
    </w:p>
    <w:p>
      <w:pPr>
        <w:sectPr>
          <w:pgSz w:w="11900" w:h="16840" w:orient="portrait"/>
          <w:cols w:equalWidth="0" w:num="2">
            <w:col w:w="3300" w:space="720"/>
            <w:col w:w="6560"/>
          </w:cols>
          <w:pgMar w:left="660" w:top="550" w:right="660" w:bottom="229"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020" w:type="dxa"/>
            <w:vAlign w:val="bottom"/>
            <w:tcBorders>
              <w:right w:val="single" w:sz="8" w:color="CCEEFF"/>
            </w:tcBorders>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4"/>
        </w:trPr>
        <w:tc>
          <w:tcPr>
            <w:tcW w:w="4020" w:type="dxa"/>
            <w:vAlign w:val="bottom"/>
            <w:tcBorders>
              <w:right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Balances as of December 31, 2023</w:t>
            </w:r>
          </w:p>
        </w:tc>
        <w:tc>
          <w:tcPr>
            <w:tcW w:w="980" w:type="dxa"/>
            <w:vAlign w:val="bottom"/>
            <w:tcBorders>
              <w:right w:val="single" w:sz="8" w:color="CCEEFF"/>
            </w:tcBorders>
            <w:shd w:val="clear" w:color="auto" w:fill="CCEEFF"/>
          </w:tcPr>
          <w:p>
            <w:pPr>
              <w:jc w:val="right"/>
              <w:ind w:right="22"/>
              <w:spacing w:after="0" w:line="165" w:lineRule="exact"/>
              <w:rPr>
                <w:sz w:val="20"/>
                <w:szCs w:val="20"/>
                <w:color w:val="auto"/>
              </w:rPr>
            </w:pPr>
            <w:r>
              <w:rPr>
                <w:rFonts w:ascii="Times New Roman" w:cs="Times New Roman" w:eastAsia="Times New Roman" w:hAnsi="Times New Roman"/>
                <w:sz w:val="16"/>
                <w:szCs w:val="16"/>
                <w:color w:val="auto"/>
              </w:rPr>
              <w:t>108,975,000</w:t>
            </w:r>
          </w:p>
        </w:tc>
        <w:tc>
          <w:tcPr>
            <w:tcW w:w="160" w:type="dxa"/>
            <w:vAlign w:val="bottom"/>
            <w:shd w:val="clear" w:color="auto" w:fill="CCEEFF"/>
          </w:tcPr>
          <w:p>
            <w:pPr>
              <w:jc w:val="right"/>
              <w:ind w:right="2"/>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00"/>
              <w:spacing w:after="0" w:line="165" w:lineRule="exact"/>
              <w:rPr>
                <w:sz w:val="20"/>
                <w:szCs w:val="20"/>
                <w:color w:val="auto"/>
              </w:rPr>
            </w:pPr>
            <w:r>
              <w:rPr>
                <w:rFonts w:ascii="Times New Roman" w:cs="Times New Roman" w:eastAsia="Times New Roman" w:hAnsi="Times New Roman"/>
                <w:sz w:val="16"/>
                <w:szCs w:val="16"/>
                <w:color w:val="auto"/>
              </w:rPr>
              <w:t>108,975</w:t>
            </w:r>
          </w:p>
        </w:tc>
        <w:tc>
          <w:tcPr>
            <w:tcW w:w="880" w:type="dxa"/>
            <w:vAlign w:val="bottom"/>
            <w:gridSpan w:val="2"/>
            <w:shd w:val="clear" w:color="auto" w:fill="CCEEFF"/>
          </w:tcPr>
          <w:p>
            <w:pPr>
              <w:jc w:val="right"/>
              <w:ind w:right="100"/>
              <w:spacing w:after="0" w:line="165"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102"/>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00"/>
              <w:spacing w:after="0" w:line="16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2"/>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right w:val="single" w:sz="8" w:color="CCEEFF"/>
            </w:tcBorders>
            <w:shd w:val="clear" w:color="auto" w:fill="CCEEFF"/>
          </w:tcPr>
          <w:p>
            <w:pPr>
              <w:jc w:val="right"/>
              <w:ind w:right="22"/>
              <w:spacing w:after="0" w:line="165" w:lineRule="exact"/>
              <w:rPr>
                <w:sz w:val="20"/>
                <w:szCs w:val="20"/>
                <w:color w:val="auto"/>
              </w:rPr>
            </w:pPr>
            <w:r>
              <w:rPr>
                <w:rFonts w:ascii="Times New Roman" w:cs="Times New Roman" w:eastAsia="Times New Roman" w:hAnsi="Times New Roman"/>
                <w:sz w:val="16"/>
                <w:szCs w:val="16"/>
                <w:color w:val="auto"/>
              </w:rPr>
              <w:t>133,360</w:t>
            </w:r>
          </w:p>
        </w:tc>
        <w:tc>
          <w:tcPr>
            <w:tcW w:w="1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right w:val="single" w:sz="8" w:color="CCEEFF"/>
            </w:tcBorders>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(3,195,833)</w:t>
            </w:r>
          </w:p>
        </w:tc>
        <w:tc>
          <w:tcPr>
            <w:tcW w:w="1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(2,953,498)</w:t>
            </w:r>
          </w:p>
        </w:tc>
        <w:tc>
          <w:tcPr>
            <w:tcW w:w="20" w:type="dxa"/>
            <w:vAlign w:val="bottom"/>
          </w:tcPr>
          <w:p>
            <w:pPr>
              <w:spacing w:after="0"/>
              <w:rPr>
                <w:sz w:val="14"/>
                <w:szCs w:val="14"/>
                <w:color w:val="auto"/>
              </w:rPr>
            </w:pPr>
          </w:p>
        </w:tc>
      </w:tr>
      <w:tr>
        <w:trPr>
          <w:trHeight w:val="196"/>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Retroactive application of recapitalization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(108,975,000)</w:t>
            </w:r>
          </w:p>
        </w:tc>
        <w:tc>
          <w:tcPr>
            <w:tcW w:w="1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(108,975)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12,208,851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1,221</w:t>
            </w:r>
          </w:p>
        </w:tc>
        <w:tc>
          <w:tcPr>
            <w:tcW w:w="200" w:type="dxa"/>
            <w:vAlign w:val="bottom"/>
          </w:tcPr>
          <w:p>
            <w:pPr>
              <w:spacing w:after="0"/>
              <w:rPr>
                <w:sz w:val="17"/>
                <w:szCs w:val="17"/>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107,754</w:t>
            </w:r>
          </w:p>
        </w:tc>
        <w:tc>
          <w:tcPr>
            <w:tcW w:w="100" w:type="dxa"/>
            <w:vAlign w:val="bottom"/>
          </w:tcPr>
          <w:p>
            <w:pPr>
              <w:spacing w:after="0"/>
              <w:rPr>
                <w:sz w:val="17"/>
                <w:szCs w:val="17"/>
                <w:color w:val="auto"/>
              </w:rPr>
            </w:pPr>
          </w:p>
        </w:tc>
        <w:tc>
          <w:tcPr>
            <w:tcW w:w="8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0"/>
        </w:trPr>
        <w:tc>
          <w:tcPr>
            <w:tcW w:w="4020" w:type="dxa"/>
            <w:vAlign w:val="bottom"/>
            <w:tcBorders>
              <w:top w:val="single" w:sz="8" w:color="CCEEFF"/>
              <w:bottom w:val="single" w:sz="8" w:color="CCEEFF"/>
              <w:right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Balances as of December 31, 2023, adjusted</w:t>
            </w:r>
          </w:p>
        </w:tc>
        <w:tc>
          <w:tcPr>
            <w:tcW w:w="980" w:type="dxa"/>
            <w:vAlign w:val="bottom"/>
            <w:tcBorders>
              <w:top w:val="single" w:sz="8" w:color="auto"/>
              <w:bottom w:val="single" w:sz="8" w:color="auto"/>
              <w:right w:val="single" w:sz="8" w:color="CCEEFF"/>
            </w:tcBorders>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12,208,851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right w:val="single" w:sz="8" w:color="CCEEFF"/>
            </w:tcBorders>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241,114</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(3,195,833</w:t>
            </w:r>
          </w:p>
        </w:tc>
        <w:tc>
          <w:tcPr>
            <w:tcW w:w="100" w:type="dxa"/>
            <w:vAlign w:val="bottom"/>
            <w:tcBorders>
              <w:top w:val="single" w:sz="8" w:color="CCEEFF"/>
              <w:bottom w:val="single" w:sz="8" w:color="CCEEFF"/>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(2,953,498</w:t>
            </w:r>
          </w:p>
        </w:tc>
        <w:tc>
          <w:tcPr>
            <w:tcW w:w="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7"/>
                <w:szCs w:val="17"/>
                <w:color w:val="auto"/>
              </w:rPr>
            </w:pPr>
          </w:p>
        </w:tc>
      </w:tr>
      <w:tr>
        <w:trPr>
          <w:trHeight w:val="164"/>
        </w:trPr>
        <w:tc>
          <w:tcPr>
            <w:tcW w:w="402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Pr>
          <w:p>
            <w:pPr>
              <w:jc w:val="right"/>
              <w:ind w:right="22"/>
              <w:spacing w:after="0" w:line="16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4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1,868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2"/>
              <w:spacing w:after="0" w:line="165" w:lineRule="exact"/>
              <w:rPr>
                <w:sz w:val="20"/>
                <w:szCs w:val="20"/>
                <w:color w:val="auto"/>
              </w:rPr>
            </w:pPr>
            <w:r>
              <w:rPr>
                <w:rFonts w:ascii="Times New Roman" w:cs="Times New Roman" w:eastAsia="Times New Roman" w:hAnsi="Times New Roman"/>
                <w:sz w:val="16"/>
                <w:szCs w:val="16"/>
                <w:color w:val="auto"/>
              </w:rPr>
              <w:t>172,468</w:t>
            </w:r>
          </w:p>
        </w:tc>
        <w:tc>
          <w:tcPr>
            <w:tcW w:w="100" w:type="dxa"/>
            <w:vAlign w:val="bottom"/>
          </w:tcPr>
          <w:p>
            <w:pPr>
              <w:spacing w:after="0"/>
              <w:rPr>
                <w:sz w:val="14"/>
                <w:szCs w:val="14"/>
                <w:color w:val="auto"/>
              </w:rPr>
            </w:pPr>
          </w:p>
        </w:tc>
        <w:tc>
          <w:tcPr>
            <w:tcW w:w="7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172,468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2"/>
        </w:trPr>
        <w:tc>
          <w:tcPr>
            <w:tcW w:w="4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(16,192,000)</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(16,192,000)</w:t>
            </w:r>
          </w:p>
        </w:tc>
        <w:tc>
          <w:tcPr>
            <w:tcW w:w="20" w:type="dxa"/>
            <w:vAlign w:val="bottom"/>
          </w:tcPr>
          <w:p>
            <w:pPr>
              <w:spacing w:after="0"/>
              <w:rPr>
                <w:sz w:val="16"/>
                <w:szCs w:val="16"/>
                <w:color w:val="auto"/>
              </w:rPr>
            </w:pPr>
          </w:p>
        </w:tc>
      </w:tr>
      <w:tr>
        <w:trPr>
          <w:trHeight w:val="20"/>
        </w:trPr>
        <w:tc>
          <w:tcPr>
            <w:tcW w:w="402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64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54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72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7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Balances as of June 30, 2024</w:t>
            </w: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12,210,718</w:t>
            </w:r>
          </w:p>
        </w:tc>
        <w:tc>
          <w:tcPr>
            <w:tcW w:w="100" w:type="dxa"/>
            <w:vAlign w:val="bottom"/>
          </w:tcPr>
          <w:p>
            <w:pPr>
              <w:spacing w:after="0"/>
              <w:rPr>
                <w:sz w:val="16"/>
                <w:szCs w:val="16"/>
                <w:color w:val="auto"/>
              </w:rPr>
            </w:pP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1,221</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413,582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(19,387,833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(18,973,030</w:t>
            </w:r>
          </w:p>
        </w:tc>
        <w:tc>
          <w:tcPr>
            <w:tcW w:w="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0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ectPr>
          <w:pgSz w:w="11900" w:h="16840" w:orient="portrait"/>
          <w:cols w:equalWidth="0" w:num="1">
            <w:col w:w="10580"/>
          </w:cols>
          <w:pgMar w:left="660" w:top="550" w:right="660" w:bottom="229" w:gutter="0" w:footer="0" w:header="0"/>
          <w:type w:val="continuous"/>
        </w:sect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670750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550" w:right="660" w:bottom="229" w:gutter="0" w:footer="0" w:header="0"/>
          <w:type w:val="continuous"/>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CID HOLDCO,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56"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8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02"/>
              <w:spacing w:after="0" w:line="165"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0" w:type="dxa"/>
            <w:vAlign w:val="bottom"/>
          </w:tcPr>
          <w:p>
            <w:pPr>
              <w:spacing w:after="0"/>
              <w:rPr>
                <w:sz w:val="1"/>
                <w:szCs w:val="1"/>
                <w:color w:val="auto"/>
              </w:rPr>
            </w:pPr>
          </w:p>
        </w:tc>
      </w:tr>
      <w:tr>
        <w:trPr>
          <w:trHeight w:val="180"/>
        </w:trPr>
        <w:tc>
          <w:tcPr>
            <w:tcW w:w="81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loss</w:t>
            </w:r>
          </w:p>
        </w:tc>
        <w:tc>
          <w:tcPr>
            <w:tcW w:w="200" w:type="dxa"/>
            <w:vAlign w:val="bottom"/>
            <w:gridSpan w:val="2"/>
            <w:shd w:val="clear" w:color="auto" w:fill="CCEEFF"/>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(30,143,761)</w:t>
            </w:r>
          </w:p>
        </w:tc>
        <w:tc>
          <w:tcPr>
            <w:tcW w:w="320" w:type="dxa"/>
            <w:vAlign w:val="bottom"/>
            <w:gridSpan w:val="2"/>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(16,192,000)</w:t>
            </w:r>
          </w:p>
        </w:tc>
        <w:tc>
          <w:tcPr>
            <w:tcW w:w="0" w:type="dxa"/>
            <w:vAlign w:val="bottom"/>
          </w:tcPr>
          <w:p>
            <w:pPr>
              <w:spacing w:after="0"/>
              <w:rPr>
                <w:sz w:val="1"/>
                <w:szCs w:val="1"/>
                <w:color w:val="auto"/>
              </w:rPr>
            </w:pPr>
          </w:p>
        </w:tc>
      </w:tr>
      <w:tr>
        <w:trPr>
          <w:trHeight w:val="180"/>
        </w:trPr>
        <w:tc>
          <w:tcPr>
            <w:tcW w:w="8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81"/>
              <w:spacing w:after="0" w:line="180" w:lineRule="exact"/>
              <w:rPr>
                <w:sz w:val="20"/>
                <w:szCs w:val="20"/>
                <w:color w:val="auto"/>
              </w:rPr>
            </w:pPr>
            <w:r>
              <w:rPr>
                <w:rFonts w:ascii="Times New Roman" w:cs="Times New Roman" w:eastAsia="Times New Roman" w:hAnsi="Times New Roman"/>
                <w:sz w:val="16"/>
                <w:szCs w:val="16"/>
                <w:color w:val="auto"/>
              </w:rPr>
              <w:t>5,101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1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Change in fair value of SAFE notes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17,368,415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13,462,710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Transaction costs paid in shares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81"/>
              <w:spacing w:after="0" w:line="180" w:lineRule="exact"/>
              <w:rPr>
                <w:sz w:val="20"/>
                <w:szCs w:val="20"/>
                <w:color w:val="auto"/>
              </w:rPr>
            </w:pPr>
            <w:r>
              <w:rPr>
                <w:rFonts w:ascii="Times New Roman" w:cs="Times New Roman" w:eastAsia="Times New Roman" w:hAnsi="Times New Roman"/>
                <w:sz w:val="16"/>
                <w:szCs w:val="16"/>
                <w:color w:val="auto"/>
              </w:rPr>
              <w:t>156,869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1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19,742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172,468</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Amortization of ROU assets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31,641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1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Loss on debt extinguishment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5,728,295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Operating lease payment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(51,642)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1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21,380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Reverse recapitalization transaction</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(4,739,169)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Accounts receivable</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34,328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(13,305)</w:t>
            </w:r>
          </w:p>
        </w:tc>
        <w:tc>
          <w:tcPr>
            <w:tcW w:w="0" w:type="dxa"/>
            <w:vAlign w:val="bottom"/>
          </w:tcPr>
          <w:p>
            <w:pPr>
              <w:spacing w:after="0"/>
              <w:rPr>
                <w:sz w:val="1"/>
                <w:szCs w:val="1"/>
                <w:color w:val="auto"/>
              </w:rPr>
            </w:pPr>
          </w:p>
        </w:tc>
      </w:tr>
      <w:tr>
        <w:trPr>
          <w:trHeight w:val="180"/>
        </w:trPr>
        <w:tc>
          <w:tcPr>
            <w:tcW w:w="81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Prepaid and other assets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(404,842)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144,895</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Inventory</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(297,186)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1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(540,863)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74,088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Accrued expense</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1,006,861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(5,192)</w:t>
            </w:r>
          </w:p>
        </w:tc>
        <w:tc>
          <w:tcPr>
            <w:tcW w:w="0" w:type="dxa"/>
            <w:vAlign w:val="bottom"/>
          </w:tcPr>
          <w:p>
            <w:pPr>
              <w:spacing w:after="0"/>
              <w:rPr>
                <w:sz w:val="1"/>
                <w:szCs w:val="1"/>
                <w:color w:val="auto"/>
              </w:rPr>
            </w:pPr>
          </w:p>
        </w:tc>
      </w:tr>
      <w:tr>
        <w:trPr>
          <w:trHeight w:val="180"/>
        </w:trPr>
        <w:tc>
          <w:tcPr>
            <w:tcW w:w="81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Accrued compensation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(150,623)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28,704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Accrued interest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81"/>
              <w:spacing w:after="0" w:line="180" w:lineRule="exact"/>
              <w:rPr>
                <w:sz w:val="20"/>
                <w:szCs w:val="20"/>
                <w:color w:val="auto"/>
              </w:rPr>
            </w:pPr>
            <w:r>
              <w:rPr>
                <w:rFonts w:ascii="Times New Roman" w:cs="Times New Roman" w:eastAsia="Times New Roman" w:hAnsi="Times New Roman"/>
                <w:sz w:val="16"/>
                <w:szCs w:val="16"/>
                <w:color w:val="auto"/>
              </w:rPr>
              <w:t>280,000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1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Accrued taxes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3,911,691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Short-term debt, net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3,750,000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8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251,021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8140" w:type="dxa"/>
            <w:vAlign w:val="bottom"/>
            <w:tcBorders>
              <w:top w:val="single" w:sz="8" w:color="CCEEFF"/>
              <w:bottom w:val="single" w:sz="8" w:color="CCEEFF"/>
            </w:tcBorders>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color w:val="auto"/>
              </w:rPr>
              <w:t>Net cash used in operating activities</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(3,762,742</w:t>
            </w:r>
          </w:p>
        </w:tc>
        <w:tc>
          <w:tcPr>
            <w:tcW w:w="12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(2,327,632</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4"/>
        </w:trPr>
        <w:tc>
          <w:tcPr>
            <w:tcW w:w="814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INVESTING ACTIVITIES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Purchase of property and equipment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(107,200)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8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(636,598)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(361,862)</w:t>
            </w:r>
          </w:p>
        </w:tc>
        <w:tc>
          <w:tcPr>
            <w:tcW w:w="0" w:type="dxa"/>
            <w:vAlign w:val="bottom"/>
          </w:tcPr>
          <w:p>
            <w:pPr>
              <w:spacing w:after="0"/>
              <w:rPr>
                <w:sz w:val="1"/>
                <w:szCs w:val="1"/>
                <w:color w:val="auto"/>
              </w:rPr>
            </w:pPr>
          </w:p>
        </w:tc>
      </w:tr>
      <w:tr>
        <w:trPr>
          <w:trHeight w:val="200"/>
        </w:trPr>
        <w:tc>
          <w:tcPr>
            <w:tcW w:w="8140" w:type="dxa"/>
            <w:vAlign w:val="bottom"/>
            <w:tcBorders>
              <w:top w:val="single" w:sz="8" w:color="CCEEFF"/>
              <w:bottom w:val="single" w:sz="8" w:color="CCEEFF"/>
            </w:tcBorders>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(743,798</w:t>
            </w:r>
          </w:p>
        </w:tc>
        <w:tc>
          <w:tcPr>
            <w:tcW w:w="12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(361,862</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4"/>
        </w:trPr>
        <w:tc>
          <w:tcPr>
            <w:tcW w:w="814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FINANCING ACTIVITIES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Proceeds from issuance of bridge loans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81"/>
              <w:spacing w:after="0" w:line="180" w:lineRule="exact"/>
              <w:rPr>
                <w:sz w:val="20"/>
                <w:szCs w:val="20"/>
                <w:color w:val="auto"/>
              </w:rPr>
            </w:pPr>
            <w:r>
              <w:rPr>
                <w:rFonts w:ascii="Times New Roman" w:cs="Times New Roman" w:eastAsia="Times New Roman" w:hAnsi="Times New Roman"/>
                <w:sz w:val="16"/>
                <w:szCs w:val="16"/>
                <w:color w:val="auto"/>
              </w:rPr>
              <w:t>500,000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3,134,500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Proceeds from issuance of SAFE notes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23,752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Repayment of bridge loans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(1,660,545)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1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Proceeds from PIPE investments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10,837,643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Purchase of common stock</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(5,000,000)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8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Trust account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5,577,304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8140" w:type="dxa"/>
            <w:vAlign w:val="bottom"/>
            <w:tcBorders>
              <w:top w:val="single" w:sz="8" w:color="CCEEFF"/>
              <w:bottom w:val="single" w:sz="8" w:color="CCEEFF"/>
            </w:tcBorders>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color w:val="auto"/>
              </w:rPr>
              <w:t>Net cash provided by financing activities</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10,278,154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3,134,500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increase in cash during period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5,771,614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445,006</w:t>
            </w:r>
          </w:p>
        </w:tc>
        <w:tc>
          <w:tcPr>
            <w:tcW w:w="0" w:type="dxa"/>
            <w:vAlign w:val="bottom"/>
          </w:tcPr>
          <w:p>
            <w:pPr>
              <w:spacing w:after="0"/>
              <w:rPr>
                <w:sz w:val="1"/>
                <w:szCs w:val="1"/>
                <w:color w:val="auto"/>
              </w:rPr>
            </w:pPr>
          </w:p>
        </w:tc>
      </w:tr>
      <w:tr>
        <w:trPr>
          <w:trHeight w:val="133"/>
        </w:trPr>
        <w:tc>
          <w:tcPr>
            <w:tcW w:w="8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beginning of period</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721,032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605,760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Cash, end of period</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6,492,646</w:t>
            </w:r>
          </w:p>
        </w:tc>
        <w:tc>
          <w:tcPr>
            <w:tcW w:w="120" w:type="dxa"/>
            <w:vAlign w:val="bottom"/>
          </w:tcPr>
          <w:p>
            <w:pPr>
              <w:spacing w:after="0"/>
              <w:rPr>
                <w:sz w:val="20"/>
                <w:szCs w:val="20"/>
                <w:color w:val="auto"/>
              </w:rPr>
            </w:pPr>
          </w:p>
        </w:tc>
        <w:tc>
          <w:tcPr>
            <w:tcW w:w="32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1,050,766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14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ROU asset obtained in exchange for lease liability</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482,227</w:t>
            </w:r>
          </w:p>
        </w:tc>
        <w:tc>
          <w:tcPr>
            <w:tcW w:w="32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814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Conversion of SAFE notes to equity</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40,726,793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 short-term debt to equity</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2,456,500</w:t>
            </w:r>
          </w:p>
        </w:tc>
        <w:tc>
          <w:tcPr>
            <w:tcW w:w="120" w:type="dxa"/>
            <w:vAlign w:val="bottom"/>
          </w:tcPr>
          <w:p>
            <w:pPr>
              <w:spacing w:after="0"/>
              <w:rPr>
                <w:sz w:val="16"/>
                <w:szCs w:val="16"/>
                <w:color w:val="auto"/>
              </w:rPr>
            </w:pPr>
          </w:p>
        </w:tc>
        <w:tc>
          <w:tcPr>
            <w:tcW w:w="32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CID HOLDCO,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1 – Company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Organization and nature of Operations</w:t>
      </w:r>
    </w:p>
    <w:p>
      <w:pPr>
        <w:spacing w:after="0" w:line="180"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real-time tracking of resources. Through CID Holdco’s extensive research and development initiatives, CID Holdco’s main focus includes areas such as Industrial IoT, Indoor &amp; Outdoor tracking with seamless transitions, Passive RFID (including Bluetooth and 5G), Collision Avoidance, real-time locating system, Dolly Management, and related supported software applications.</w:t>
      </w:r>
    </w:p>
    <w:p>
      <w:pPr>
        <w:spacing w:after="0" w:line="157" w:lineRule="exact"/>
        <w:rPr>
          <w:sz w:val="20"/>
          <w:szCs w:val="20"/>
          <w:color w:val="auto"/>
        </w:rPr>
      </w:pPr>
    </w:p>
    <w:p>
      <w:pPr>
        <w:jc w:val="both"/>
        <w:ind w:firstLine="576"/>
        <w:spacing w:after="0" w:line="243" w:lineRule="auto"/>
        <w:rPr>
          <w:sz w:val="20"/>
          <w:szCs w:val="20"/>
          <w:color w:val="auto"/>
        </w:rPr>
      </w:pPr>
      <w:r>
        <w:rPr>
          <w:rFonts w:ascii="Times New Roman" w:cs="Times New Roman" w:eastAsia="Times New Roman" w:hAnsi="Times New Roman"/>
          <w:sz w:val="16"/>
          <w:szCs w:val="16"/>
          <w:color w:val="auto"/>
        </w:rPr>
        <w:t>CID Holdco is the developer of an asset tracking platform intended to push the limits of near real-time precision-based location technology. CID Holdco’s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CID Holdco serves multiple industries including construction, military, mining, retail, warehousing and manufacturing.</w:t>
      </w:r>
    </w:p>
    <w:p>
      <w:pPr>
        <w:spacing w:after="0" w:line="155" w:lineRule="exact"/>
        <w:rPr>
          <w:sz w:val="20"/>
          <w:szCs w:val="20"/>
          <w:color w:val="auto"/>
        </w:rPr>
      </w:pPr>
    </w:p>
    <w:p>
      <w:pPr>
        <w:jc w:val="both"/>
        <w:ind w:right="20" w:firstLine="576"/>
        <w:spacing w:after="0" w:line="331" w:lineRule="auto"/>
        <w:rPr>
          <w:sz w:val="20"/>
          <w:szCs w:val="20"/>
          <w:color w:val="auto"/>
        </w:rPr>
      </w:pPr>
      <w:r>
        <w:rPr>
          <w:rFonts w:ascii="Times New Roman" w:cs="Times New Roman" w:eastAsia="Times New Roman" w:hAnsi="Times New Roman"/>
          <w:sz w:val="14"/>
          <w:szCs w:val="14"/>
          <w:color w:val="auto"/>
        </w:rPr>
        <w:t>In July 2024, the Legacy Company incorporated Dot Works, Inc. (“Dot Works”), a Puerto Rico corporation, as a wholly-owned subsidiary. Dot Works, based in Puerto Rico, serves as the primary manufacturing facility for Dot Ai, producing smart hardware devices and embedded technological components used in AI-driven</w:t>
      </w:r>
    </w:p>
    <w:p>
      <w:pPr>
        <w:sectPr>
          <w:pgSz w:w="11900" w:h="16840" w:orient="portrait"/>
          <w:cols w:equalWidth="0" w:num="1">
            <w:col w:w="10560"/>
          </w:cols>
          <w:pgMar w:left="660" w:top="1155" w:right="680" w:bottom="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color w:val="auto"/>
        </w:rPr>
        <w:t>enterprise solutions (ZIM Bridges and Smart Industrial TAGS). Activities include assembly, quality control, and packaging of proprietary systems.</w:t>
      </w:r>
    </w:p>
    <w:p>
      <w:pPr>
        <w:spacing w:after="0" w:line="176" w:lineRule="exact"/>
        <w:rPr>
          <w:sz w:val="20"/>
          <w:szCs w:val="20"/>
          <w:color w:val="auto"/>
        </w:rPr>
      </w:pPr>
    </w:p>
    <w:p>
      <w:pPr>
        <w:jc w:val="both"/>
        <w:ind w:firstLine="576"/>
        <w:spacing w:after="0" w:line="243" w:lineRule="auto"/>
        <w:rPr>
          <w:sz w:val="20"/>
          <w:szCs w:val="20"/>
          <w:color w:val="auto"/>
        </w:rPr>
      </w:pPr>
      <w:r>
        <w:rPr>
          <w:rFonts w:ascii="Times New Roman" w:cs="Times New Roman" w:eastAsia="Times New Roman" w:hAnsi="Times New Roman"/>
          <w:sz w:val="16"/>
          <w:szCs w:val="16"/>
          <w:color w:val="auto"/>
        </w:rPr>
        <w:t>On March 18, 2024, the Legacy Company entered into a Business Combination Agreement (the “Business Combination Agreement”) by and among CID HoldCo, Inc., a Delaware corporation and a direct, wholly-owned subsidiary of ShoulderUp Technology Acquisition Corp, a Delaware corporation (“SUAC” or “ShoulderUp”), ShoulderUp Merger Sub, Inc., a Delaware corporation and wholly-owned subsidiary of Holdings (“ShoulderUp Merger Sub”), SEI Merger Sub, Inc., a Delaware corporation and a direct, wholly owned subsidiary of Holdings (“SEI Merger Sub” and together with ShoulderUp Merger Sub, the “Merger Subs”).</w:t>
      </w:r>
    </w:p>
    <w:p>
      <w:pPr>
        <w:spacing w:after="0" w:line="155" w:lineRule="exact"/>
        <w:rPr>
          <w:sz w:val="20"/>
          <w:szCs w:val="20"/>
          <w:color w:val="auto"/>
        </w:rPr>
      </w:pPr>
    </w:p>
    <w:p>
      <w:pPr>
        <w:jc w:val="both"/>
        <w:ind w:firstLine="576"/>
        <w:spacing w:after="0" w:line="280" w:lineRule="auto"/>
        <w:rPr>
          <w:sz w:val="20"/>
          <w:szCs w:val="20"/>
          <w:color w:val="auto"/>
        </w:rPr>
      </w:pPr>
      <w:r>
        <w:rPr>
          <w:rFonts w:ascii="Times New Roman" w:cs="Times New Roman" w:eastAsia="Times New Roman" w:hAnsi="Times New Roman"/>
          <w:sz w:val="14"/>
          <w:szCs w:val="14"/>
          <w:color w:val="auto"/>
        </w:rPr>
        <w:t>On June 18, 2025 (the “Closing Date” or “Closing”), the Company consummated the Business Combination transactions by and among the Company, SUAC,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spacing w:after="0" w:line="133" w:lineRule="exact"/>
        <w:rPr>
          <w:sz w:val="20"/>
          <w:szCs w:val="20"/>
          <w:color w:val="auto"/>
        </w:rPr>
      </w:pPr>
    </w:p>
    <w:p>
      <w:pPr>
        <w:jc w:val="both"/>
        <w:ind w:firstLine="576"/>
        <w:spacing w:after="0" w:line="238" w:lineRule="auto"/>
        <w:rPr>
          <w:sz w:val="20"/>
          <w:szCs w:val="20"/>
          <w:color w:val="auto"/>
        </w:rPr>
      </w:pPr>
      <w:r>
        <w:rPr>
          <w:rFonts w:ascii="Times New Roman" w:cs="Times New Roman" w:eastAsia="Times New Roman" w:hAnsi="Times New Roman"/>
          <w:sz w:val="16"/>
          <w:szCs w:val="16"/>
          <w:color w:val="auto"/>
        </w:rPr>
        <w:t>Pursuant to the Business Combination Agreement, on June 18, 2025, each of the following transactions occurred in the following order: (a) ShoulderUp Merger Sub merged with and into SUAC, with SUAC continuing as the surviving entity, and, in connection therewith, each ordinary share of SUAC issued and outstanding immediately prior to the Closing Date were be cancelled in exchange for the right of the holder thereof to receive, with respect to each ordinary share that is not redeemed or converted at Closing, one share of common stock of the Company (“Common Stock”); (b) SEI Merger Sub merged with and into SEE ID, with SEE ID continuing as the surviving entity, and, in connection therewith, (i) SEE ID common stocks issued and outstanding immediately prior to the Closing Date were cancelled in exchange for the right of the holders thereof to receive shares of Common Stock as set forth in the Business Combination Agreement and (ii) any convertible securities of SEE ID were converted; and (c) as a result of the Mergers, SUAC and SEE ID each became wholly owned subsidiaries of the Company, and the Company became a publicly traded company, all upon the terms and subject to the conditions set forth in the Business Combination Agreement and in accordance with the provisions of applicable law.</w:t>
      </w: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40" w:firstLine="576"/>
        <w:spacing w:after="0" w:line="239" w:lineRule="auto"/>
        <w:rPr>
          <w:sz w:val="20"/>
          <w:szCs w:val="20"/>
          <w:color w:val="auto"/>
        </w:rPr>
      </w:pPr>
      <w:r>
        <w:rPr>
          <w:rFonts w:ascii="Times New Roman" w:cs="Times New Roman" w:eastAsia="Times New Roman" w:hAnsi="Times New Roman"/>
          <w:sz w:val="16"/>
          <w:szCs w:val="16"/>
          <w:color w:val="auto"/>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interests,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 As such, the holders of each whole warrant to purchase SUTA Class A Common Stock received one warrant to purchase the Company’s Common Stock at an exercise price of $11.50 per share.</w:t>
      </w:r>
    </w:p>
    <w:p>
      <w:pPr>
        <w:spacing w:after="0" w:line="158" w:lineRule="exact"/>
        <w:rPr>
          <w:sz w:val="20"/>
          <w:szCs w:val="20"/>
          <w:color w:val="auto"/>
        </w:rPr>
      </w:pPr>
    </w:p>
    <w:p>
      <w:pPr>
        <w:jc w:val="both"/>
        <w:ind w:right="20" w:firstLine="576"/>
        <w:spacing w:after="0" w:line="331" w:lineRule="auto"/>
        <w:rPr>
          <w:sz w:val="20"/>
          <w:szCs w:val="20"/>
          <w:color w:val="auto"/>
        </w:rPr>
      </w:pPr>
      <w:r>
        <w:rPr>
          <w:rFonts w:ascii="Times New Roman" w:cs="Times New Roman" w:eastAsia="Times New Roman" w:hAnsi="Times New Roman"/>
          <w:sz w:val="14"/>
          <w:szCs w:val="14"/>
          <w:color w:val="auto"/>
        </w:rPr>
        <w:t>In connection with the Business Combination, CID Holdco filed a registration statement on Form S-4 (File No. 333-282600) (as amended, the “Registration Statement”) with the U.S. Securities and Exchange Commission (the “SEC”). On June 18, 2025, the Registration Statement was declared effective by the SEC.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Liquidity and Going Concern</w:t>
      </w:r>
    </w:p>
    <w:p>
      <w:pPr>
        <w:spacing w:after="0" w:line="178" w:lineRule="exact"/>
        <w:rPr>
          <w:sz w:val="20"/>
          <w:szCs w:val="20"/>
          <w:color w:val="auto"/>
        </w:rPr>
      </w:pPr>
    </w:p>
    <w:p>
      <w:pPr>
        <w:jc w:val="both"/>
        <w:ind w:right="20" w:firstLine="576"/>
        <w:spacing w:after="0"/>
        <w:rPr>
          <w:sz w:val="20"/>
          <w:szCs w:val="20"/>
          <w:color w:val="auto"/>
        </w:rPr>
      </w:pPr>
      <w:r>
        <w:rPr>
          <w:rFonts w:ascii="Times New Roman" w:cs="Times New Roman" w:eastAsia="Times New Roman" w:hAnsi="Times New Roman"/>
          <w:sz w:val="16"/>
          <w:szCs w:val="16"/>
          <w:color w:val="auto"/>
        </w:rPr>
        <w:t xml:space="preserve">The Company follows Financial Accounting Standards Board (“FASB”) Accounting Standards Codification (“ASC”) Topic 205-40, </w:t>
      </w:r>
      <w:r>
        <w:rPr>
          <w:rFonts w:ascii="Times New Roman" w:cs="Times New Roman" w:eastAsia="Times New Roman" w:hAnsi="Times New Roman"/>
          <w:sz w:val="16"/>
          <w:szCs w:val="16"/>
          <w:i w:val="1"/>
          <w:iCs w:val="1"/>
          <w:color w:val="auto"/>
        </w:rPr>
        <w:t>Presentation of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Statements — Going Concern</w:t>
      </w:r>
      <w:r>
        <w:rPr>
          <w:rFonts w:ascii="Times New Roman" w:cs="Times New Roman" w:eastAsia="Times New Roman" w:hAnsi="Times New Roman"/>
          <w:sz w:val="16"/>
          <w:szCs w:val="16"/>
          <w:color w:val="auto"/>
        </w:rPr>
        <w:t>, which requires that management evaluate whether there are relevant conditions and events that in aggregate raise substantial doubt about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entity’s ability to continue as a going concern and to meet its obligations as they become due within one year after the date that the condensed consolidated financial statements are issued. Under the guidance, the Company must first evaluate whether there are conditions and events that raise substantial doubt about the entity’s ability to continue as a going concern (step 1). If the Company concludes substantial doubt is raised, management also is required to consider whether its plans alleviate that doubt (step 2).</w:t>
      </w:r>
    </w:p>
    <w:p>
      <w:pPr>
        <w:spacing w:after="0" w:line="158" w:lineRule="exact"/>
        <w:rPr>
          <w:sz w:val="20"/>
          <w:szCs w:val="20"/>
          <w:color w:val="auto"/>
        </w:rPr>
      </w:pPr>
    </w:p>
    <w:p>
      <w:pPr>
        <w:jc w:val="both"/>
        <w:ind w:right="20" w:firstLine="576"/>
        <w:spacing w:after="0" w:line="238" w:lineRule="auto"/>
        <w:rPr>
          <w:sz w:val="20"/>
          <w:szCs w:val="20"/>
          <w:color w:val="auto"/>
        </w:rPr>
      </w:pPr>
      <w:r>
        <w:rPr>
          <w:rFonts w:ascii="Times New Roman" w:cs="Times New Roman" w:eastAsia="Times New Roman" w:hAnsi="Times New Roman"/>
          <w:sz w:val="16"/>
          <w:szCs w:val="16"/>
          <w:color w:val="auto"/>
        </w:rPr>
        <w:t>The Company has a limited operating history, has incurred significant operating losses since its inception, and the revenue and income potential of the Company’s business and market are unproven. The preparation of these condensed consolidated financial statements does not include any adjustments that may result from the outcome of this uncertainty. The Company’s condensed consolidated financial statements are prepared using the generally accepted accounting principles applicable to a going concern, which contemplates the realization of assets and liquidation of liabilities in the normal course of business. As of June 30, 2025, the Company had $6,492,646 in cash, a working capital of $454,040 and accumulated deficit of $54,877,024. To date, the Company has funded its operations primarily with the net proceeds from the issuance of convertible promissory notes, the issuance and sale of equity securities, and subsequent to June 18, 2025 proceeds from the Business Combination. The Company expects to incur substantial operating losses for the next several years and have obtained additional near-term financing in order to continue its research and development activities.</w:t>
      </w:r>
    </w:p>
    <w:p>
      <w:pPr>
        <w:spacing w:after="0" w:line="161"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auto"/>
        </w:rPr>
        <w:t>On June 18, 2025, the Company entered into a share subscription line of credit agreement under which the Company can access up to $50,000,000 in aggregate proceeds to fund its R&amp;D activities and its operations.</w:t>
      </w:r>
    </w:p>
    <w:p>
      <w:pPr>
        <w:spacing w:after="0" w:line="143"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interim unaudited condensed consolidated financial statements are issued. The accompanying interim unaudited consolidated financial statements do not include any adjustments relating to the recoverability and classification of recorded asset amounts or the amounts and classification of liabilities that might result from the outcome of these uncertainties.</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2 - Summary of Significant Accounting Policies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180" w:lineRule="exact"/>
        <w:rPr>
          <w:sz w:val="20"/>
          <w:szCs w:val="20"/>
          <w:color w:val="auto"/>
        </w:rPr>
      </w:pPr>
    </w:p>
    <w:p>
      <w:pPr>
        <w:jc w:val="both"/>
        <w:ind w:firstLine="576"/>
        <w:spacing w:after="0" w:line="247" w:lineRule="auto"/>
        <w:rPr>
          <w:sz w:val="20"/>
          <w:szCs w:val="20"/>
          <w:color w:val="auto"/>
        </w:rPr>
      </w:pPr>
      <w:r>
        <w:rPr>
          <w:rFonts w:ascii="Times New Roman" w:cs="Times New Roman" w:eastAsia="Times New Roman" w:hAnsi="Times New Roman"/>
          <w:sz w:val="16"/>
          <w:szCs w:val="16"/>
          <w:color w:val="auto"/>
        </w:rPr>
        <w:t>The accompanying interim condensed consolidated unaudited financial statements include the accounts of CID Holdco, and its wholly-owned subsidiaries, Dot Ai and Dot Works, which are collectively referred to as the “Company” in these condensed consolidated financial statements. All intercompany balances and transactions have been eliminated upon consolidation.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80" w:lineRule="exact"/>
        <w:rPr>
          <w:sz w:val="20"/>
          <w:szCs w:val="20"/>
          <w:color w:val="auto"/>
        </w:rPr>
      </w:pPr>
    </w:p>
    <w:p>
      <w:pPr>
        <w:jc w:val="both"/>
        <w:ind w:firstLine="576"/>
        <w:spacing w:after="0" w:line="299" w:lineRule="auto"/>
        <w:rPr>
          <w:sz w:val="20"/>
          <w:szCs w:val="20"/>
          <w:color w:val="auto"/>
        </w:rPr>
      </w:pPr>
      <w:r>
        <w:rPr>
          <w:rFonts w:ascii="Times New Roman" w:cs="Times New Roman" w:eastAsia="Times New Roman" w:hAnsi="Times New Roman"/>
          <w:sz w:val="14"/>
          <w:szCs w:val="14"/>
          <w:color w:val="auto"/>
        </w:rPr>
        <w:t>The Company’s financial statements have been prepared in conformity with accounting principles generally accepted in the United States of America (“U.S. GAAP”), as determined by FASB through the ASC, and should be read in conjunction with, the Company’s audited consolidated financial statements and related footnotes for the year ended December 31, 2024. The unaudited condensed consolidated financial statements reflect all adjustments, which include only normal</w:t>
      </w:r>
    </w:p>
    <w:p>
      <w:pPr>
        <w:sectPr>
          <w:pgSz w:w="11900" w:h="16840" w:orient="portrait"/>
          <w:cols w:equalWidth="0" w:num="1">
            <w:col w:w="10580"/>
          </w:cols>
          <w:pgMar w:left="660" w:top="557" w:right="660" w:bottom="0" w:gutter="0" w:footer="0" w:header="0"/>
        </w:sectPr>
      </w:pPr>
    </w:p>
    <w:bookmarkStart w:id="83" w:name="page84"/>
    <w:bookmarkEnd w:id="83"/>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recurring adjustments necessary for the fair presentation of the Company’s financial position, and its results of operations and cash flows for the reported periods, in accordance with US GAAP. The unaudited condensed consolidated financial statements do not include all of the information and footnotes required by US GAAP for complete financial statements, as allowed by the relevant U.S. Securities and Exchange Commission rules and regulations; however, the Company believes its disclosures are adequate to ensure the information presented is not misleading.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Accounting for the Business Combination</w:t>
      </w:r>
    </w:p>
    <w:p>
      <w:pPr>
        <w:spacing w:after="0" w:line="180" w:lineRule="exact"/>
        <w:rPr>
          <w:sz w:val="20"/>
          <w:szCs w:val="20"/>
          <w:color w:val="auto"/>
        </w:rPr>
      </w:pPr>
    </w:p>
    <w:p>
      <w:pPr>
        <w:jc w:val="both"/>
        <w:ind w:right="20" w:firstLine="576"/>
        <w:spacing w:after="0" w:line="243" w:lineRule="auto"/>
        <w:rPr>
          <w:sz w:val="20"/>
          <w:szCs w:val="20"/>
          <w:color w:val="auto"/>
        </w:rPr>
      </w:pPr>
      <w:r>
        <w:rPr>
          <w:rFonts w:ascii="Times New Roman" w:cs="Times New Roman" w:eastAsia="Times New Roman" w:hAnsi="Times New Roman"/>
          <w:sz w:val="16"/>
          <w:szCs w:val="16"/>
          <w:color w:val="auto"/>
        </w:rPr>
        <w:t>The Business Combination is accounted for as a reverse recapitalization, with ShoulderUp being treated as the acquired company and the Legacy Company treated as the accounting acquirer for financial reporting purposes. This accounting treatment is equivalent to the Legacy Company issuing stock for the net assets of ShoulderUp, accompanied by a recapitalization whereby no goodwill or other intangible assets are recorded. Operations prior to the Business Combination are presented as those of the Legacy Company and the accumulated deficit of the Legacy Company has been carried forward after Closing.</w:t>
      </w:r>
    </w:p>
    <w:p>
      <w:pPr>
        <w:spacing w:after="0" w:line="155" w:lineRule="exact"/>
        <w:rPr>
          <w:sz w:val="20"/>
          <w:szCs w:val="20"/>
          <w:color w:val="auto"/>
        </w:rPr>
      </w:pPr>
    </w:p>
    <w:p>
      <w:pPr>
        <w:jc w:val="both"/>
        <w:ind w:firstLine="576"/>
        <w:spacing w:after="0" w:line="247" w:lineRule="auto"/>
        <w:rPr>
          <w:sz w:val="20"/>
          <w:szCs w:val="20"/>
          <w:color w:val="auto"/>
        </w:rPr>
      </w:pPr>
      <w:r>
        <w:rPr>
          <w:rFonts w:ascii="Times New Roman" w:cs="Times New Roman" w:eastAsia="Times New Roman" w:hAnsi="Times New Roman"/>
          <w:sz w:val="16"/>
          <w:szCs w:val="16"/>
          <w:color w:val="auto"/>
        </w:rPr>
        <w:t>All periods prior to the Business Combination have been retrospectively adjusted to reflect the reverse recapitalization. In connection with the reverse recapitalization treatment of the Business Combination, all issued and outstanding securities of ShoulderUp upon Closing were treated as issuances of the Company upon the consummation of the Business Combination.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Emerging Growth Company</w:t>
      </w:r>
    </w:p>
    <w:p>
      <w:pPr>
        <w:spacing w:after="0" w:line="180" w:lineRule="exact"/>
        <w:rPr>
          <w:sz w:val="20"/>
          <w:szCs w:val="20"/>
          <w:color w:val="auto"/>
        </w:rPr>
      </w:pPr>
    </w:p>
    <w:p>
      <w:pPr>
        <w:jc w:val="both"/>
        <w:ind w:right="40" w:firstLine="576"/>
        <w:spacing w:after="0" w:line="239" w:lineRule="auto"/>
        <w:rPr>
          <w:sz w:val="20"/>
          <w:szCs w:val="20"/>
          <w:color w:val="auto"/>
        </w:rPr>
      </w:pPr>
      <w:r>
        <w:rPr>
          <w:rFonts w:ascii="Times New Roman" w:cs="Times New Roman" w:eastAsia="Times New Roman" w:hAnsi="Times New Roman"/>
          <w:sz w:val="16"/>
          <w:szCs w:val="16"/>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Pronouncements</w:t>
      </w:r>
    </w:p>
    <w:p>
      <w:pPr>
        <w:spacing w:after="0" w:line="178" w:lineRule="exact"/>
        <w:rPr>
          <w:sz w:val="20"/>
          <w:szCs w:val="20"/>
          <w:color w:val="auto"/>
        </w:rPr>
      </w:pPr>
    </w:p>
    <w:p>
      <w:pPr>
        <w:jc w:val="both"/>
        <w:ind w:right="40" w:firstLine="576"/>
        <w:spacing w:after="0" w:line="241" w:lineRule="auto"/>
        <w:rPr>
          <w:sz w:val="20"/>
          <w:szCs w:val="20"/>
          <w:color w:val="auto"/>
        </w:rPr>
      </w:pPr>
      <w:r>
        <w:rPr>
          <w:rFonts w:ascii="Times New Roman" w:cs="Times New Roman" w:eastAsia="Times New Roman" w:hAnsi="Times New Roman"/>
          <w:sz w:val="16"/>
          <w:szCs w:val="16"/>
          <w:color w:val="auto"/>
        </w:rPr>
        <w:t xml:space="preserve">In November 2023, the FASB issued Accounting Standards Update (“ASU”) No. 2023-07, </w:t>
      </w:r>
      <w:r>
        <w:rPr>
          <w:rFonts w:ascii="Times New Roman" w:cs="Times New Roman" w:eastAsia="Times New Roman" w:hAnsi="Times New Roman"/>
          <w:sz w:val="16"/>
          <w:szCs w:val="16"/>
          <w:i w:val="1"/>
          <w:iCs w:val="1"/>
          <w:color w:val="auto"/>
        </w:rPr>
        <w:t>Segment Reporting (Topic 280): Improvements to Reportable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Segment Disclosures </w:t>
      </w:r>
      <w:r>
        <w:rPr>
          <w:rFonts w:ascii="Times New Roman" w:cs="Times New Roman" w:eastAsia="Times New Roman" w:hAnsi="Times New Roman"/>
          <w:sz w:val="16"/>
          <w:szCs w:val="16"/>
          <w:color w:val="auto"/>
        </w:rPr>
        <w:t>, requiring public entities to disclose information about their reportable segments’ significant expenses and other segment items on an interim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annual basis. Public entities with a single reportable segment are required to apply the disclosure requirements in ASU No. 2023-07, as well as all existing segment disclosures and reconciliation requirements in ASC 280 on an interim and annual basis. The Company adopted ASU No. 2023-07 during the year ended December 31, 2024. See Note 16, Segment Reporting, in these notes to the condensed consolidated financial statements for further detail.</w:t>
      </w:r>
    </w:p>
    <w:p>
      <w:pPr>
        <w:spacing w:after="0" w:line="157" w:lineRule="exact"/>
        <w:rPr>
          <w:sz w:val="20"/>
          <w:szCs w:val="20"/>
          <w:color w:val="auto"/>
        </w:rPr>
      </w:pPr>
    </w:p>
    <w:p>
      <w:pPr>
        <w:jc w:val="both"/>
        <w:ind w:right="20" w:firstLine="576"/>
        <w:spacing w:after="0" w:line="244" w:lineRule="auto"/>
        <w:rPr>
          <w:sz w:val="20"/>
          <w:szCs w:val="20"/>
          <w:color w:val="auto"/>
        </w:rPr>
      </w:pPr>
      <w:r>
        <w:rPr>
          <w:rFonts w:ascii="Times New Roman" w:cs="Times New Roman" w:eastAsia="Times New Roman" w:hAnsi="Times New Roman"/>
          <w:sz w:val="16"/>
          <w:szCs w:val="16"/>
          <w:color w:val="auto"/>
        </w:rPr>
        <w:t xml:space="preserve">In December 2023, the FASB issued ASU No. 2023 09,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which prescribes standardized categories and disaggregation of information in the reconciliation of provision for income taxes, requires disclosure of disaggregated income taxes paid, and modifies other income tax-related disclosure requirements. The updated standard is effective for us beginning with our fiscal year 2026 annual reporting period. The Company is currently evaluating the impact of this guidance, but does not anticipate a material impact on its consolidated financial statements or related disclosures.</w:t>
      </w:r>
    </w:p>
    <w:p>
      <w:pPr>
        <w:spacing w:after="0" w:line="3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0" w:firstLine="576"/>
        <w:spacing w:after="0" w:line="241" w:lineRule="auto"/>
        <w:rPr>
          <w:sz w:val="20"/>
          <w:szCs w:val="20"/>
          <w:color w:val="auto"/>
        </w:rPr>
      </w:pPr>
      <w:r>
        <w:rPr>
          <w:rFonts w:ascii="Times New Roman" w:cs="Times New Roman" w:eastAsia="Times New Roman" w:hAnsi="Times New Roman"/>
          <w:sz w:val="16"/>
          <w:szCs w:val="16"/>
          <w:color w:val="auto"/>
        </w:rPr>
        <w:t xml:space="preserve">In November 2024, the FASB issued ASU No. 2024-03, </w:t>
      </w:r>
      <w:r>
        <w:rPr>
          <w:rFonts w:ascii="Times New Roman" w:cs="Times New Roman" w:eastAsia="Times New Roman" w:hAnsi="Times New Roman"/>
          <w:sz w:val="16"/>
          <w:szCs w:val="16"/>
          <w:i w:val="1"/>
          <w:iCs w:val="1"/>
          <w:color w:val="auto"/>
        </w:rPr>
        <w:t>Disaggregation of Income Statement Expenses</w:t>
      </w:r>
      <w:r>
        <w:rPr>
          <w:rFonts w:ascii="Times New Roman" w:cs="Times New Roman" w:eastAsia="Times New Roman" w:hAnsi="Times New Roman"/>
          <w:sz w:val="16"/>
          <w:szCs w:val="16"/>
          <w:color w:val="auto"/>
        </w:rPr>
        <w:t>, which requires disclosures of certain additional expense information on an annual and interim basis, including, among other items, the amounts of purchases of inventory, employee compensation, depreciation and intangible asset amortization included within each income statement expense caption, as applicable. The updated standard is effective for our annual periods beginning in fiscal year 2026 and interim periods beginning in the first quarter of fiscal year 2027. The Company is currently evaluating the impact of this guidance but does not anticipate a material impact on its consolidated financial statements or related disclosures.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and Uncertainties</w:t>
      </w:r>
    </w:p>
    <w:p>
      <w:pPr>
        <w:spacing w:after="0" w:line="180" w:lineRule="exact"/>
        <w:rPr>
          <w:sz w:val="20"/>
          <w:szCs w:val="20"/>
          <w:color w:val="auto"/>
        </w:rPr>
      </w:pPr>
    </w:p>
    <w:p>
      <w:pPr>
        <w:jc w:val="both"/>
        <w:ind w:right="20" w:firstLine="576"/>
        <w:spacing w:after="0" w:line="289" w:lineRule="auto"/>
        <w:rPr>
          <w:sz w:val="20"/>
          <w:szCs w:val="20"/>
          <w:color w:val="auto"/>
        </w:rPr>
      </w:pPr>
      <w:r>
        <w:rPr>
          <w:rFonts w:ascii="Times New Roman" w:cs="Times New Roman" w:eastAsia="Times New Roman" w:hAnsi="Times New Roman"/>
          <w:sz w:val="14"/>
          <w:szCs w:val="14"/>
          <w:color w:val="auto"/>
        </w:rPr>
        <w:t>The Company’s industry is subject to rapid technological change. The introduction of new technologies will continue to have a significant effect on competitive conditions to which the Company is subject. Certain technologies and industry developments may negatively impact the Company’s ability to compete within certain industry segments. If the Company is unable to develop new solutions that provide utility to its customers and provide enhancements and new features for its existing solutions that keep pace with rapid technological and regulatory changes, the Company’s revenues and results of operations could be adversely affected.</w:t>
      </w:r>
    </w:p>
    <w:p>
      <w:pPr>
        <w:spacing w:after="0" w:line="125" w:lineRule="exact"/>
        <w:rPr>
          <w:sz w:val="20"/>
          <w:szCs w:val="20"/>
          <w:color w:val="auto"/>
        </w:rPr>
      </w:pPr>
    </w:p>
    <w:p>
      <w:pPr>
        <w:jc w:val="both"/>
        <w:ind w:right="40" w:firstLine="576"/>
        <w:spacing w:after="0" w:line="259" w:lineRule="auto"/>
        <w:rPr>
          <w:sz w:val="20"/>
          <w:szCs w:val="20"/>
          <w:color w:val="auto"/>
        </w:rPr>
      </w:pPr>
      <w:r>
        <w:rPr>
          <w:rFonts w:ascii="Times New Roman" w:cs="Times New Roman" w:eastAsia="Times New Roman" w:hAnsi="Times New Roman"/>
          <w:sz w:val="16"/>
          <w:szCs w:val="16"/>
          <w:color w:val="auto"/>
        </w:rPr>
        <w:t>Since some of the inventory that the Company purchases include components produced in foreign countries, the Company is subject to certain risks associated with tariffs on imports that the government of the United States of America imposes, which could adversely impact the Company’s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180" w:lineRule="exact"/>
        <w:rPr>
          <w:sz w:val="20"/>
          <w:szCs w:val="20"/>
          <w:color w:val="auto"/>
        </w:rPr>
      </w:pPr>
    </w:p>
    <w:p>
      <w:pPr>
        <w:jc w:val="both"/>
        <w:ind w:right="20" w:firstLine="576"/>
        <w:spacing w:after="0" w:line="238"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The Company bases its estimates on historical experience, known or expected trends, and various other assumptions that are believed to be reasonable given the quality of information available as of the date of these financial statements. The results of these assumptions provide the basis for making estimates about the carrying amounts of assets and liabilities that are not readily apparent from other sources. Actual results could differ from these estimates. The Company believes judgment is involved in determining capitalized software development costs, the fair value of the SAFE agreements, useful lives of capitalized software development costs, stock-based compensation, obsolete inventory and the valuation allowance on deferred income taxes. 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Company maintains its cash deposits with major financial institutions, that at times, are greater than the FDIC limit.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w:t>
      </w:r>
    </w:p>
    <w:p>
      <w:pPr>
        <w:spacing w:after="0" w:line="180" w:lineRule="exact"/>
        <w:rPr>
          <w:sz w:val="20"/>
          <w:szCs w:val="20"/>
          <w:color w:val="auto"/>
        </w:rPr>
      </w:pPr>
    </w:p>
    <w:p>
      <w:pPr>
        <w:jc w:val="both"/>
        <w:ind w:right="20" w:firstLine="576"/>
        <w:spacing w:after="0" w:line="239" w:lineRule="auto"/>
        <w:rPr>
          <w:sz w:val="20"/>
          <w:szCs w:val="20"/>
          <w:color w:val="auto"/>
        </w:rPr>
      </w:pPr>
      <w:r>
        <w:rPr>
          <w:rFonts w:ascii="Times New Roman" w:cs="Times New Roman" w:eastAsia="Times New Roman" w:hAnsi="Times New Roman"/>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as of the measurement date. Applicable accounting guidance provides an established hierarchy for inputs used in measuring fair value that maximizes the use of observable inputs and minimizes the use of unobservable inputs by requiring that the most observable inputs be used when available. Observable inputs are inputs that market participants would use in valuing the asset or liability and are developed based on market data obtained from sources independent of us. Unobservable inputs are inputs that reflect our assumptions about the factors that market participants would use in valuing the asset or liability. There are three levels of input that may be used to measure fair value:</w:t>
      </w:r>
    </w:p>
    <w:p>
      <w:pPr>
        <w:spacing w:after="0" w:line="161" w:lineRule="exact"/>
        <w:rPr>
          <w:sz w:val="20"/>
          <w:szCs w:val="20"/>
          <w:color w:val="auto"/>
        </w:rPr>
      </w:pPr>
    </w:p>
    <w:p>
      <w:pPr>
        <w:ind w:left="580"/>
        <w:spacing w:after="0"/>
        <w:tabs>
          <w:tab w:leader="none" w:pos="1420" w:val="left"/>
        </w:tabs>
        <w:rPr>
          <w:sz w:val="20"/>
          <w:szCs w:val="20"/>
          <w:color w:val="auto"/>
        </w:rPr>
      </w:pPr>
      <w:r>
        <w:rPr>
          <w:rFonts w:ascii="Times New Roman" w:cs="Times New Roman" w:eastAsia="Times New Roman" w:hAnsi="Times New Roman"/>
          <w:sz w:val="16"/>
          <w:szCs w:val="16"/>
          <w:color w:val="auto"/>
        </w:rPr>
        <w:t>Level 1  -</w:t>
      </w:r>
      <w:r>
        <w:rPr>
          <w:sz w:val="20"/>
          <w:szCs w:val="20"/>
          <w:color w:val="auto"/>
        </w:rPr>
        <w:tab/>
      </w:r>
      <w:r>
        <w:rPr>
          <w:rFonts w:ascii="Times New Roman" w:cs="Times New Roman" w:eastAsia="Times New Roman" w:hAnsi="Times New Roman"/>
          <w:sz w:val="14"/>
          <w:szCs w:val="14"/>
          <w:color w:val="auto"/>
        </w:rPr>
        <w:t>Quoted prices in active markets for identical assets or liabilities that the entity can access.</w:t>
      </w:r>
    </w:p>
    <w:p>
      <w:pPr>
        <w:sectPr>
          <w:pgSz w:w="11900" w:h="16840" w:orient="portrait"/>
          <w:cols w:equalWidth="0" w:num="1">
            <w:col w:w="10600"/>
          </w:cols>
          <w:pgMar w:left="660" w:top="557" w:right="640" w:bottom="38" w:gutter="0" w:footer="0" w:header="0"/>
        </w:sectPr>
      </w:pPr>
    </w:p>
    <w:bookmarkStart w:id="84" w:name="page85"/>
    <w:bookmarkEnd w:id="84"/>
    <w:p>
      <w:pPr>
        <w:jc w:val="both"/>
        <w:ind w:left="1440" w:hanging="863"/>
        <w:spacing w:after="0" w:line="247" w:lineRule="auto"/>
        <w:tabs>
          <w:tab w:leader="none" w:pos="1420" w:val="left"/>
        </w:tabs>
        <w:rPr>
          <w:sz w:val="20"/>
          <w:szCs w:val="20"/>
          <w:color w:val="auto"/>
        </w:rPr>
      </w:pPr>
      <w:r>
        <w:rPr>
          <w:rFonts w:ascii="Times New Roman" w:cs="Times New Roman" w:eastAsia="Times New Roman" w:hAnsi="Times New Roman"/>
          <w:sz w:val="16"/>
          <w:szCs w:val="16"/>
          <w:color w:val="auto"/>
        </w:rPr>
        <w:t>Level 2 -</w:t>
        <w:tab/>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and liabilities.</w:t>
      </w:r>
    </w:p>
    <w:p>
      <w:pPr>
        <w:spacing w:after="0" w:line="152" w:lineRule="exact"/>
        <w:rPr>
          <w:sz w:val="20"/>
          <w:szCs w:val="20"/>
          <w:color w:val="auto"/>
        </w:rPr>
      </w:pPr>
    </w:p>
    <w:p>
      <w:pPr>
        <w:ind w:left="580"/>
        <w:spacing w:after="0"/>
        <w:tabs>
          <w:tab w:leader="none" w:pos="1420" w:val="left"/>
        </w:tabs>
        <w:rPr>
          <w:sz w:val="20"/>
          <w:szCs w:val="20"/>
          <w:color w:val="auto"/>
        </w:rPr>
      </w:pPr>
      <w:r>
        <w:rPr>
          <w:rFonts w:ascii="Times New Roman" w:cs="Times New Roman" w:eastAsia="Times New Roman" w:hAnsi="Times New Roman"/>
          <w:sz w:val="16"/>
          <w:szCs w:val="16"/>
          <w:color w:val="auto"/>
        </w:rPr>
        <w:t>Level 3  -</w:t>
      </w:r>
      <w:r>
        <w:rPr>
          <w:sz w:val="20"/>
          <w:szCs w:val="20"/>
          <w:color w:val="auto"/>
        </w:rPr>
        <w:tab/>
      </w:r>
      <w:r>
        <w:rPr>
          <w:rFonts w:ascii="Times New Roman" w:cs="Times New Roman" w:eastAsia="Times New Roman" w:hAnsi="Times New Roman"/>
          <w:sz w:val="14"/>
          <w:szCs w:val="14"/>
          <w:color w:val="auto"/>
        </w:rPr>
        <w:t>Unobservable inputs that are supported by little or no market activity and that are significant to the fair value of the assets and liabilities.</w:t>
      </w:r>
    </w:p>
    <w:p>
      <w:pPr>
        <w:spacing w:after="0" w:line="176" w:lineRule="exact"/>
        <w:rPr>
          <w:sz w:val="20"/>
          <w:szCs w:val="20"/>
          <w:color w:val="auto"/>
        </w:rPr>
      </w:pPr>
    </w:p>
    <w:p>
      <w:pPr>
        <w:jc w:val="both"/>
        <w:ind w:right="20" w:firstLine="576"/>
        <w:spacing w:after="0" w:line="243" w:lineRule="auto"/>
        <w:rPr>
          <w:sz w:val="20"/>
          <w:szCs w:val="20"/>
          <w:color w:val="auto"/>
        </w:rPr>
      </w:pPr>
      <w:r>
        <w:rPr>
          <w:rFonts w:ascii="Times New Roman" w:cs="Times New Roman" w:eastAsia="Times New Roman" w:hAnsi="Times New Roman"/>
          <w:sz w:val="16"/>
          <w:szCs w:val="16"/>
          <w:color w:val="auto"/>
        </w:rPr>
        <w:t>Assets and liabilities measured at fair value are classified based on the lowest level of input that is significant to the fair value measurement. The Company reviews the fair value hierarchy classification on an as needed basis. Changes in the observability of valuation inputs may result in a reclassification of levels for certain securities within the fair value hierarchy. The Company recognizes transfers into and out of levels within the fair value hierarchy in the appropriate period in which the actual event or change in circumstances caused the transfer to occur.</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Prepaid Expenses and Other Current Assets</w:t>
      </w:r>
    </w:p>
    <w:p>
      <w:pPr>
        <w:spacing w:after="0" w:line="180" w:lineRule="exact"/>
        <w:rPr>
          <w:sz w:val="20"/>
          <w:szCs w:val="20"/>
          <w:color w:val="auto"/>
        </w:rPr>
      </w:pPr>
    </w:p>
    <w:p>
      <w:pPr>
        <w:jc w:val="both"/>
        <w:ind w:right="20" w:firstLine="576"/>
        <w:spacing w:after="0" w:line="241" w:lineRule="auto"/>
        <w:rPr>
          <w:sz w:val="20"/>
          <w:szCs w:val="20"/>
          <w:color w:val="auto"/>
        </w:rPr>
      </w:pPr>
      <w:r>
        <w:rPr>
          <w:rFonts w:ascii="Times New Roman" w:cs="Times New Roman" w:eastAsia="Times New Roman" w:hAnsi="Times New Roman"/>
          <w:sz w:val="16"/>
          <w:szCs w:val="16"/>
          <w:color w:val="auto"/>
        </w:rPr>
        <w:t>Prepaid expenses and other current assets primarily consist of advance payments for goods and services to be received in future periods, including insurance premiums, software licenses, maintenance contracts, and prepaid inventories. Prepaid expenses are recorded at cost and are expensed ratably over the period the benefits are realized. Prepaid inventories are recorded at cost upon payment to vendors and recognized as inventories receipts of goods. The Company periodically reviews the carrying value of prepaid expenses and other current assets to determine if any amounts are no longer recoverable, and records an expense in the period such determination is made.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Accounts Receivable</w:t>
      </w:r>
    </w:p>
    <w:p>
      <w:pPr>
        <w:spacing w:after="0" w:line="180"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auto"/>
        </w:rPr>
        <w:t>Accounts receivable are derived from customers located primarily in North America. The Company generally does not require collateral to support customer receivables.</w:t>
      </w:r>
    </w:p>
    <w:p>
      <w:pPr>
        <w:spacing w:after="0" w:line="143" w:lineRule="exact"/>
        <w:rPr>
          <w:sz w:val="20"/>
          <w:szCs w:val="20"/>
          <w:color w:val="auto"/>
        </w:rPr>
      </w:pPr>
    </w:p>
    <w:p>
      <w:pPr>
        <w:jc w:val="both"/>
        <w:ind w:right="20" w:firstLine="576"/>
        <w:spacing w:after="0" w:line="239" w:lineRule="auto"/>
        <w:rPr>
          <w:sz w:val="20"/>
          <w:szCs w:val="20"/>
          <w:color w:val="auto"/>
        </w:rPr>
      </w:pPr>
      <w:r>
        <w:rPr>
          <w:rFonts w:ascii="Times New Roman" w:cs="Times New Roman" w:eastAsia="Times New Roman" w:hAnsi="Times New Roman"/>
          <w:sz w:val="16"/>
          <w:szCs w:val="16"/>
          <w:color w:val="auto"/>
        </w:rPr>
        <w:t>Accounts receivable are reduced by an allowance for credit losses to reserve for potentially uncollectible amounts. The Company evaluates the collectability of its accounts receivable monthly, and amounts are written off when determined to be uncollectible by management. The maximum accounting loss from the credit risk associated with accounts receivable is the amount of the receivable recorded, which is the face amount of the receivable, net of the allowance for credit losses and deferred revenue, if any. The allowance for credit losses reflects the best estimate of probable losses. The Company writes off accounts receivable when they become uncollectible. As of June 30, 2025 and December 31, 2024, there was no accounts receivable allowance for credit losses. There were no credit losses for the three and six months ended June 30, 2025 and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Inventory</w:t>
      </w:r>
    </w:p>
    <w:p>
      <w:pPr>
        <w:spacing w:after="0" w:line="180" w:lineRule="exact"/>
        <w:rPr>
          <w:sz w:val="20"/>
          <w:szCs w:val="20"/>
          <w:color w:val="auto"/>
        </w:rPr>
      </w:pPr>
    </w:p>
    <w:p>
      <w:pPr>
        <w:jc w:val="both"/>
        <w:ind w:right="20" w:firstLine="576"/>
        <w:spacing w:after="0" w:line="289" w:lineRule="auto"/>
        <w:rPr>
          <w:sz w:val="20"/>
          <w:szCs w:val="20"/>
          <w:color w:val="auto"/>
        </w:rPr>
      </w:pPr>
      <w:r>
        <w:rPr>
          <w:rFonts w:ascii="Times New Roman" w:cs="Times New Roman" w:eastAsia="Times New Roman" w:hAnsi="Times New Roman"/>
          <w:sz w:val="14"/>
          <w:szCs w:val="14"/>
          <w:color w:val="auto"/>
        </w:rPr>
        <w:t>Inventory consists of raw materials and finished goods and is valued at the lower of cost or net realizable value (“NRV”), with cost determined by the first-in, first-out method. NRV is determined as the estimated selling price in the ordinary course of business less the estimated selling costs. Valuations are periodically performed by management, and a charge to operations is recorded if the carrying value of the item exceeds its estimated net realizable value. Management also periodically performs a valuation on allowance for excess and obsolete inventory. No valuation allowance was necessary as of June 30, 2025 and December 31,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Property and Equipment</w:t>
      </w:r>
    </w:p>
    <w:p>
      <w:pPr>
        <w:spacing w:after="0" w:line="180" w:lineRule="exact"/>
        <w:rPr>
          <w:sz w:val="20"/>
          <w:szCs w:val="20"/>
          <w:color w:val="auto"/>
        </w:rPr>
      </w:pPr>
    </w:p>
    <w:p>
      <w:pPr>
        <w:jc w:val="both"/>
        <w:ind w:right="20" w:firstLine="576"/>
        <w:spacing w:after="0" w:line="243" w:lineRule="auto"/>
        <w:rPr>
          <w:sz w:val="20"/>
          <w:szCs w:val="20"/>
          <w:color w:val="auto"/>
        </w:rPr>
      </w:pPr>
      <w:r>
        <w:rPr>
          <w:rFonts w:ascii="Times New Roman" w:cs="Times New Roman" w:eastAsia="Times New Roman" w:hAnsi="Times New Roman"/>
          <w:sz w:val="16"/>
          <w:szCs w:val="16"/>
          <w:color w:val="auto"/>
        </w:rPr>
        <w:t>Property and equipment are stated at cost, less accumulated depreciation. Expenditures for maintenance and repairs are expensed currently, while renewals and betterments that materially extend the life of an asset are capitalized. The cost of assets sold, retired, or otherwise disposed of, and the related allowance for depreciation are eliminated from the accounts, and any resulting gain or loss is recognized. Depreciation of property and equipment over $5,000 is provided using the straight-line method over the estimated useful lives of the assets, which are 5 years.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Software Development Costs</w:t>
      </w:r>
    </w:p>
    <w:p>
      <w:pPr>
        <w:spacing w:after="0" w:line="178"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4"/>
          <w:szCs w:val="14"/>
          <w:color w:val="auto"/>
        </w:rPr>
        <w:t xml:space="preserve">In accordance with FASB ASC Topic 350-40, </w:t>
      </w:r>
      <w:r>
        <w:rPr>
          <w:rFonts w:ascii="Times New Roman" w:cs="Times New Roman" w:eastAsia="Times New Roman" w:hAnsi="Times New Roman"/>
          <w:sz w:val="14"/>
          <w:szCs w:val="14"/>
          <w:i w:val="1"/>
          <w:iCs w:val="1"/>
          <w:color w:val="auto"/>
        </w:rPr>
        <w:t>Intangibles-Goodwill and Other-Internal-Use Software</w:t>
      </w:r>
      <w:r>
        <w:rPr>
          <w:rFonts w:ascii="Times New Roman" w:cs="Times New Roman" w:eastAsia="Times New Roman" w:hAnsi="Times New Roman"/>
          <w:sz w:val="14"/>
          <w:szCs w:val="14"/>
          <w:color w:val="auto"/>
        </w:rPr>
        <w:t>, the Company capitalizes software development costs incurred on new applications or enhancements to applications during the application development phase of software for internal use to provide services to customers. These capitalized costs include certain payroll and payroll-related costs for employees and costs for outside consultants who are directly associated with and who devote time to internal-use software projects. Costs incurred prior to the application development phase and after the market release are expensed as incurred.</w:t>
      </w:r>
    </w:p>
    <w:p>
      <w:pPr>
        <w:spacing w:after="0" w:line="124"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Internal-use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and will test for impairment whenever events or changes in circumstances occur that could impact the recoverability of these assets. As of June 30, 2025 and 2024, and for the three and six -months then ended, no projects have been substantially completed and ready for their intended use, and no amortization was recorded in the accompanying condensed consolidated statements of operations.</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of Long-Lived Assets</w:t>
      </w:r>
    </w:p>
    <w:p>
      <w:pPr>
        <w:spacing w:after="0" w:line="180"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As of June 30, 2025 and December 31, 2024, and for the three and six months ended June 30, 2024, no such indicators of impairment were identified, and accordingly, no impairment losses were recognized.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178" w:lineRule="exact"/>
        <w:rPr>
          <w:sz w:val="20"/>
          <w:szCs w:val="20"/>
          <w:color w:val="auto"/>
        </w:rPr>
      </w:pPr>
    </w:p>
    <w:p>
      <w:pPr>
        <w:jc w:val="both"/>
        <w:ind w:firstLine="576"/>
        <w:spacing w:after="0" w:line="248" w:lineRule="auto"/>
        <w:rPr>
          <w:sz w:val="20"/>
          <w:szCs w:val="20"/>
          <w:color w:val="auto"/>
        </w:rPr>
      </w:pPr>
      <w:r>
        <w:rPr>
          <w:rFonts w:ascii="Times New Roman" w:cs="Times New Roman" w:eastAsia="Times New Roman" w:hAnsi="Times New Roman"/>
          <w:sz w:val="16"/>
          <w:szCs w:val="16"/>
          <w:color w:val="auto"/>
        </w:rPr>
        <w:t xml:space="preserve">The Company accounts for leases under ASC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The core principle of this standard is that a lessee should recognize the assets and liabilities that arise from leases, by recognizing in the condensed consolidated balance sheets a liability to make lease payments (the lease liability) and a right-of-use asset representing its right to use the underlying asset for the lease term.</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Company recognizes right-of-use (“ROU”) assets and lease liabilities for leases with terms greater than 12 months. Leases are classified as either finance</w:t>
      </w:r>
    </w:p>
    <w:p>
      <w:pPr>
        <w:sectPr>
          <w:pgSz w:w="11900" w:h="16840" w:orient="portrait"/>
          <w:cols w:equalWidth="0" w:num="1">
            <w:col w:w="10580"/>
          </w:cols>
          <w:pgMar w:left="660" w:top="737" w:right="660" w:bottom="49" w:gutter="0" w:footer="0" w:header="0"/>
        </w:sectPr>
      </w:pPr>
    </w:p>
    <w:bookmarkStart w:id="85" w:name="page86"/>
    <w:bookmarkEnd w:id="85"/>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or operating leases. This classification dictates whether lease expense is recognized based on an effective interest method or on a straight-line basis over the term of the lease.</w:t>
      </w:r>
    </w:p>
    <w:p>
      <w:pPr>
        <w:spacing w:after="0" w:line="143" w:lineRule="exact"/>
        <w:rPr>
          <w:sz w:val="20"/>
          <w:szCs w:val="20"/>
          <w:color w:val="auto"/>
        </w:rPr>
      </w:pPr>
    </w:p>
    <w:p>
      <w:pPr>
        <w:jc w:val="both"/>
        <w:ind w:right="40" w:firstLine="576"/>
        <w:spacing w:after="0" w:line="289" w:lineRule="auto"/>
        <w:rPr>
          <w:sz w:val="20"/>
          <w:szCs w:val="20"/>
          <w:color w:val="auto"/>
        </w:rPr>
      </w:pPr>
      <w:r>
        <w:rPr>
          <w:rFonts w:ascii="Times New Roman" w:cs="Times New Roman" w:eastAsia="Times New Roman" w:hAnsi="Times New Roman"/>
          <w:sz w:val="14"/>
          <w:szCs w:val="14"/>
          <w:color w:val="auto"/>
        </w:rPr>
        <w:t>The Company’s leases are capitalized at the present value of the minimum lease payments not yet paid. The Company uses either the rate implicit in the lease, if readily determinable, or the Company’s incremental borrowing rate in order to calculate the net present value of the lease liability. The Company’s incremental borrowing rate for a lease is the rate of interest it would have to pay on a collateralized basis to borrow an amount equal to the lease payments under similar terms and in a similar economic environment. The Company have two operating leases for the facilities located in Bethesda, Maryland and Barceloneta, Puerto Rico.</w:t>
      </w:r>
    </w:p>
    <w:p>
      <w:pPr>
        <w:spacing w:after="0" w:line="125" w:lineRule="exact"/>
        <w:rPr>
          <w:sz w:val="20"/>
          <w:szCs w:val="20"/>
          <w:color w:val="auto"/>
        </w:rPr>
      </w:pPr>
    </w:p>
    <w:p>
      <w:pPr>
        <w:jc w:val="both"/>
        <w:ind w:right="20" w:firstLine="576"/>
        <w:spacing w:after="0" w:line="243" w:lineRule="auto"/>
        <w:rPr>
          <w:sz w:val="20"/>
          <w:szCs w:val="20"/>
          <w:color w:val="auto"/>
        </w:rPr>
      </w:pPr>
      <w:r>
        <w:rPr>
          <w:rFonts w:ascii="Times New Roman" w:cs="Times New Roman" w:eastAsia="Times New Roman" w:hAnsi="Times New Roman"/>
          <w:sz w:val="16"/>
          <w:szCs w:val="16"/>
          <w:color w:val="auto"/>
        </w:rPr>
        <w:t>The Company has elected to not recognize ROU assets and lease liabilities for short- term leases that have a lease term of 12 months or less at lease commencement and do not include an option to purchase the underlying asset that the Company is reasonably certain to exercise. The Company recognizes lease costs associated with its short-term leases on a straight-line basis over the lease term. When contracts contain lease and non-lease components, the Company accounts for each component separately. The Company has two short-term leases located in Manati, Puerto Rico and Shirley, Massachusetts.</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Variable payments are included in the future lease payments when those variable payments depend on an index or a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78" w:lineRule="exact"/>
        <w:rPr>
          <w:sz w:val="20"/>
          <w:szCs w:val="20"/>
          <w:color w:val="auto"/>
        </w:rPr>
      </w:pPr>
    </w:p>
    <w:p>
      <w:pPr>
        <w:jc w:val="both"/>
        <w:ind w:right="40" w:firstLine="576"/>
        <w:spacing w:after="0" w:line="248" w:lineRule="auto"/>
        <w:rPr>
          <w:sz w:val="20"/>
          <w:szCs w:val="20"/>
          <w:color w:val="auto"/>
        </w:rPr>
      </w:pPr>
      <w:r>
        <w:rPr>
          <w:rFonts w:ascii="Times New Roman" w:cs="Times New Roman" w:eastAsia="Times New Roman" w:hAnsi="Times New Roman"/>
          <w:sz w:val="16"/>
          <w:szCs w:val="16"/>
          <w:color w:val="auto"/>
        </w:rPr>
        <w:t xml:space="preserve">The Company recognizes revenue in accordance with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The Company primarily recognizes revenue from the delivery of subscription services and related professional services through a hosted cloud (SaaS) environment. Arrangements for services generally have terms of one year or less.</w:t>
      </w:r>
    </w:p>
    <w:p>
      <w:pPr>
        <w:spacing w:after="0" w:line="152" w:lineRule="exact"/>
        <w:rPr>
          <w:sz w:val="20"/>
          <w:szCs w:val="20"/>
          <w:color w:val="auto"/>
        </w:rPr>
      </w:pPr>
    </w:p>
    <w:p>
      <w:pPr>
        <w:jc w:val="both"/>
        <w:ind w:right="40" w:firstLine="576"/>
        <w:spacing w:after="0" w:line="247" w:lineRule="auto"/>
        <w:rPr>
          <w:sz w:val="20"/>
          <w:szCs w:val="20"/>
          <w:color w:val="auto"/>
        </w:rPr>
      </w:pPr>
      <w:r>
        <w:rPr>
          <w:rFonts w:ascii="Times New Roman" w:cs="Times New Roman" w:eastAsia="Times New Roman" w:hAnsi="Times New Roman"/>
          <w:sz w:val="16"/>
          <w:szCs w:val="16"/>
          <w:color w:val="auto"/>
        </w:rPr>
        <w:t>Due to the Company being in the early stages of developing its software as a service (SaaS) product, revenues were primarily related to the delivery of feasibility study reports to customers seeking to gain insight into how data driven tracking could improve their business, which is recognized upon acceptance of the feasibility report.</w:t>
      </w:r>
    </w:p>
    <w:p>
      <w:pPr>
        <w:spacing w:after="0" w:line="152"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The Company will also provide professional services including onboarding (implementation) services, marketing services, and product consulting. These services will be evaluated to be distinct and be treated as separate performance obligations from the subscription services. Revenue related to these services will be recognized over time as services are performed.</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Deferred revenue consists of payments received in advance of satisfaction of a performance obligation and is recognized as the performance obligations are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satisfied.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178" w:lineRule="exact"/>
        <w:rPr>
          <w:sz w:val="20"/>
          <w:szCs w:val="20"/>
          <w:color w:val="auto"/>
        </w:rPr>
      </w:pPr>
    </w:p>
    <w:p>
      <w:pPr>
        <w:jc w:val="both"/>
        <w:ind w:right="40" w:firstLine="576"/>
        <w:spacing w:after="0" w:line="262" w:lineRule="auto"/>
        <w:rPr>
          <w:sz w:val="20"/>
          <w:szCs w:val="20"/>
          <w:color w:val="auto"/>
        </w:rPr>
      </w:pPr>
      <w:r>
        <w:rPr>
          <w:rFonts w:ascii="Times New Roman" w:cs="Times New Roman" w:eastAsia="Times New Roman" w:hAnsi="Times New Roman"/>
          <w:sz w:val="16"/>
          <w:szCs w:val="16"/>
          <w:color w:val="auto"/>
        </w:rPr>
        <w:t xml:space="preserve">The Company applies ASC 718, </w:t>
      </w:r>
      <w:r>
        <w:rPr>
          <w:rFonts w:ascii="Times New Roman" w:cs="Times New Roman" w:eastAsia="Times New Roman" w:hAnsi="Times New Roman"/>
          <w:sz w:val="16"/>
          <w:szCs w:val="16"/>
          <w:i w:val="1"/>
          <w:iCs w:val="1"/>
          <w:color w:val="auto"/>
        </w:rPr>
        <w:t>Stock Compensation</w:t>
      </w:r>
      <w:r>
        <w:rPr>
          <w:rFonts w:ascii="Times New Roman" w:cs="Times New Roman" w:eastAsia="Times New Roman" w:hAnsi="Times New Roman"/>
          <w:sz w:val="16"/>
          <w:szCs w:val="16"/>
          <w:color w:val="auto"/>
        </w:rPr>
        <w:t>, when recording stock-based compensation. The fair value of each stock option award is estimated on the date of grant using the Black-Scholes option valuation model. The assumptions used in the Black-Scholes valuation model are as follows:</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 xml:space="preserve">Grant Price </w:t>
      </w:r>
      <w:r>
        <w:rPr>
          <w:rFonts w:ascii="Times New Roman" w:cs="Times New Roman" w:eastAsia="Times New Roman" w:hAnsi="Times New Roman"/>
          <w:sz w:val="16"/>
          <w:szCs w:val="16"/>
          <w:color w:val="auto"/>
        </w:rPr>
        <w:t>- The grant price of the issuances is determined based on the estimated fair value of the shares at the date of grant.</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i w:val="1"/>
          <w:iCs w:val="1"/>
          <w:color w:val="auto"/>
        </w:rPr>
        <w:t xml:space="preserve">Risk-Free Interest Rate </w:t>
      </w:r>
      <w:r>
        <w:rPr>
          <w:rFonts w:ascii="Times New Roman" w:cs="Times New Roman" w:eastAsia="Times New Roman" w:hAnsi="Times New Roman"/>
          <w:sz w:val="14"/>
          <w:szCs w:val="14"/>
          <w:color w:val="auto"/>
        </w:rPr>
        <w:t>- The risk-free interest rate for periods within the contractual life of the option is based on the U.S. Treasury yield in effect at the time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grant.</w:t>
      </w:r>
    </w:p>
    <w:p>
      <w:pPr>
        <w:spacing w:after="0" w:line="3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firstLine="576"/>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Expected Lives </w:t>
      </w:r>
      <w:r>
        <w:rPr>
          <w:rFonts w:ascii="Times New Roman" w:cs="Times New Roman" w:eastAsia="Times New Roman" w:hAnsi="Times New Roman"/>
          <w:sz w:val="16"/>
          <w:szCs w:val="16"/>
          <w:color w:val="auto"/>
        </w:rPr>
        <w:t>- Due to the Company’s insufficient history of option activity, management utilizes the simplified approach to estimate the options’ expected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term, which represents the period of time that options granted are expected to be outstanding.</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 xml:space="preserve">Expected Volatility </w:t>
      </w:r>
      <w:r>
        <w:rPr>
          <w:rFonts w:ascii="Times New Roman" w:cs="Times New Roman" w:eastAsia="Times New Roman" w:hAnsi="Times New Roman"/>
          <w:sz w:val="16"/>
          <w:szCs w:val="16"/>
          <w:color w:val="auto"/>
        </w:rPr>
        <w:t>- Determined based on management’s estimate or historical volatilities of comparable companies.</w:t>
      </w:r>
    </w:p>
    <w:p>
      <w:pPr>
        <w:spacing w:after="0" w:line="176" w:lineRule="exact"/>
        <w:rPr>
          <w:sz w:val="20"/>
          <w:szCs w:val="20"/>
          <w:color w:val="auto"/>
        </w:rPr>
      </w:pPr>
    </w:p>
    <w:p>
      <w:pPr>
        <w:jc w:val="both"/>
        <w:ind w:right="40" w:firstLine="576"/>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Expected Dividend Yield </w:t>
      </w:r>
      <w:r>
        <w:rPr>
          <w:rFonts w:ascii="Times New Roman" w:cs="Times New Roman" w:eastAsia="Times New Roman" w:hAnsi="Times New Roman"/>
          <w:sz w:val="16"/>
          <w:szCs w:val="16"/>
          <w:color w:val="auto"/>
        </w:rPr>
        <w:t>- Based on current yield at the grant date or the average dividend yield over the historical period. The Company has never declared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paid dividends and has no plans to do so in the foreseeable future</w:t>
      </w:r>
    </w:p>
    <w:p>
      <w:pPr>
        <w:spacing w:after="0" w:line="140" w:lineRule="exact"/>
        <w:rPr>
          <w:sz w:val="20"/>
          <w:szCs w:val="20"/>
          <w:color w:val="auto"/>
        </w:rPr>
      </w:pPr>
    </w:p>
    <w:p>
      <w:pPr>
        <w:jc w:val="both"/>
        <w:ind w:right="40" w:firstLine="576"/>
        <w:spacing w:after="0" w:line="247" w:lineRule="auto"/>
        <w:rPr>
          <w:sz w:val="20"/>
          <w:szCs w:val="20"/>
          <w:color w:val="auto"/>
        </w:rPr>
      </w:pPr>
      <w:r>
        <w:rPr>
          <w:rFonts w:ascii="Times New Roman" w:cs="Times New Roman" w:eastAsia="Times New Roman" w:hAnsi="Times New Roman"/>
          <w:sz w:val="16"/>
          <w:szCs w:val="16"/>
          <w:color w:val="auto"/>
        </w:rPr>
        <w:t>The stock -based compensation expense is recognized on a straight-line basis based on the number of awards expected to vest over the requisite service period and is adjusted to reflect those awards that do ultimately vest with the offsetting credit to additional paid-in capital. For further details regarding stock-based compensation, see Note 11.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Costs</w:t>
      </w:r>
    </w:p>
    <w:p>
      <w:pPr>
        <w:spacing w:after="0" w:line="180" w:lineRule="exact"/>
        <w:rPr>
          <w:sz w:val="20"/>
          <w:szCs w:val="20"/>
          <w:color w:val="auto"/>
        </w:rPr>
      </w:pPr>
    </w:p>
    <w:p>
      <w:pPr>
        <w:jc w:val="both"/>
        <w:ind w:right="40" w:firstLine="576"/>
        <w:spacing w:after="0" w:line="259" w:lineRule="auto"/>
        <w:rPr>
          <w:sz w:val="20"/>
          <w:szCs w:val="20"/>
          <w:color w:val="auto"/>
        </w:rPr>
      </w:pPr>
      <w:r>
        <w:rPr>
          <w:rFonts w:ascii="Times New Roman" w:cs="Times New Roman" w:eastAsia="Times New Roman" w:hAnsi="Times New Roman"/>
          <w:sz w:val="16"/>
          <w:szCs w:val="16"/>
          <w:color w:val="auto"/>
        </w:rPr>
        <w:t>Expenditures related to the research and development of new products and processes are expensed as incurred. Research and development expenses consist primarily of compensation costs and fees paid to consultants and other expenses relating to the development and testing of the Company’s products.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80" w:lineRule="exact"/>
        <w:rPr>
          <w:sz w:val="20"/>
          <w:szCs w:val="20"/>
          <w:color w:val="auto"/>
        </w:rPr>
      </w:pPr>
    </w:p>
    <w:p>
      <w:pPr>
        <w:jc w:val="both"/>
        <w:ind w:right="20" w:firstLine="576"/>
        <w:spacing w:after="0" w:line="241" w:lineRule="auto"/>
        <w:rPr>
          <w:sz w:val="20"/>
          <w:szCs w:val="20"/>
          <w:color w:val="auto"/>
        </w:rPr>
      </w:pPr>
      <w:r>
        <w:rPr>
          <w:rFonts w:ascii="Times New Roman" w:cs="Times New Roman" w:eastAsia="Times New Roman" w:hAnsi="Times New Roman"/>
          <w:sz w:val="16"/>
          <w:szCs w:val="16"/>
          <w:color w:val="auto"/>
        </w:rPr>
        <w:t>The Company accounts for income taxes using the asset and liability approach.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the deferred tax assets and liabilities of a change in tax rates is recognized in income in the period that includes the enactment date. The Company records valuation allowances against deferred tax assets as deemed necessary.</w:t>
      </w:r>
    </w:p>
    <w:p>
      <w:pPr>
        <w:spacing w:after="0" w:line="157" w:lineRule="exact"/>
        <w:rPr>
          <w:sz w:val="20"/>
          <w:szCs w:val="20"/>
          <w:color w:val="auto"/>
        </w:rPr>
      </w:pPr>
    </w:p>
    <w:p>
      <w:pPr>
        <w:jc w:val="both"/>
        <w:ind w:right="20" w:firstLine="576"/>
        <w:spacing w:after="0" w:line="241" w:lineRule="auto"/>
        <w:rPr>
          <w:sz w:val="20"/>
          <w:szCs w:val="20"/>
          <w:color w:val="auto"/>
        </w:rPr>
      </w:pPr>
      <w:r>
        <w:rPr>
          <w:rFonts w:ascii="Times New Roman" w:cs="Times New Roman" w:eastAsia="Times New Roman" w:hAnsi="Times New Roman"/>
          <w:sz w:val="16"/>
          <w:szCs w:val="16"/>
          <w:color w:val="auto"/>
        </w:rPr>
        <w:t>The Company accounts for the uncertainty in income taxes as prescribed by the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If applicable, the Company records interest and penalties as a component of income tax expense.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Basic and Diluted Net Loss Per Common Share</w:t>
      </w:r>
    </w:p>
    <w:p>
      <w:pPr>
        <w:spacing w:after="0" w:line="180" w:lineRule="exact"/>
        <w:rPr>
          <w:sz w:val="20"/>
          <w:szCs w:val="20"/>
          <w:color w:val="auto"/>
        </w:rPr>
      </w:pPr>
    </w:p>
    <w:p>
      <w:pPr>
        <w:jc w:val="both"/>
        <w:ind w:right="20" w:firstLine="576"/>
        <w:spacing w:after="0" w:line="289" w:lineRule="auto"/>
        <w:rPr>
          <w:sz w:val="20"/>
          <w:szCs w:val="20"/>
          <w:color w:val="auto"/>
        </w:rPr>
      </w:pPr>
      <w:r>
        <w:rPr>
          <w:rFonts w:ascii="Times New Roman" w:cs="Times New Roman" w:eastAsia="Times New Roman" w:hAnsi="Times New Roman"/>
          <w:sz w:val="14"/>
          <w:szCs w:val="14"/>
          <w:color w:val="auto"/>
        </w:rPr>
        <w:t>Basic net loss per common share is computed by dividing net loss for the period by the weighted-average number of common shares outstanding during the period. Diluted net loss per share is computed by dividing the net loss by the weighted-average number of common shares outstanding and potentially dilutive securities outstanding for the period using the treasury stock or if-converted method if their inclusion is dilutive. Diluted net loss per common share is the same as basic net loss per common share because the inclusion of potentially dilutive shares would be anti-dilutive to the calculation of loss and comprehensive loss per common share.</w:t>
      </w:r>
    </w:p>
    <w:p>
      <w:pPr>
        <w:spacing w:after="0" w:line="1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Company has only one class of shares issued and outstanding. Accordingly, basic and diluted net loss per share is not allocated among multiple classes.</w:t>
      </w:r>
    </w:p>
    <w:p>
      <w:pPr>
        <w:sectPr>
          <w:pgSz w:w="11900" w:h="16840" w:orient="portrait"/>
          <w:cols w:equalWidth="0" w:num="1">
            <w:col w:w="10600"/>
          </w:cols>
          <w:pgMar w:left="660" w:top="557" w:right="640" w:bottom="38" w:gutter="0" w:footer="0" w:header="0"/>
        </w:sectPr>
      </w:pPr>
    </w:p>
    <w:bookmarkStart w:id="86" w:name="page87"/>
    <w:bookmarkEnd w:id="86"/>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Basic and diluted net loss per share for all periods prior to the Closing have been retrospectively adjusted by the exchange ratio to reflect the effect of the reverse recapitalization.</w:t>
      </w:r>
    </w:p>
    <w:p>
      <w:pPr>
        <w:spacing w:after="0" w:line="143"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Prior to the Closing, the Company assumed 15,675,000 public and private warrants from ShoulderUp, each exercisable at $11.50 per share. These warrants were considered antidilutive and excluded from the diluted net loss per share calculation for the three and six months ended June 30, 2025. During the three and six months ended June 30, 2025 and 2024, 20,017 of these warrants were forfeited, resulting in a net total of 15,654,983 warrants outstanding as of June 30, 2025.</w:t>
      </w:r>
    </w:p>
    <w:p>
      <w:pPr>
        <w:spacing w:after="0" w:line="3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and integration costs</w:t>
      </w:r>
    </w:p>
    <w:p>
      <w:pPr>
        <w:spacing w:after="0" w:line="180" w:lineRule="exact"/>
        <w:rPr>
          <w:sz w:val="20"/>
          <w:szCs w:val="20"/>
          <w:color w:val="auto"/>
        </w:rPr>
      </w:pPr>
    </w:p>
    <w:p>
      <w:pPr>
        <w:jc w:val="both"/>
        <w:ind w:right="20" w:firstLine="576"/>
        <w:spacing w:after="0" w:line="243" w:lineRule="auto"/>
        <w:rPr>
          <w:sz w:val="20"/>
          <w:szCs w:val="20"/>
          <w:color w:val="auto"/>
        </w:rPr>
      </w:pPr>
      <w:r>
        <w:rPr>
          <w:rFonts w:ascii="Times New Roman" w:cs="Times New Roman" w:eastAsia="Times New Roman" w:hAnsi="Times New Roman"/>
          <w:sz w:val="16"/>
          <w:szCs w:val="16"/>
          <w:color w:val="auto"/>
        </w:rPr>
        <w:t>The Company incurred acquisition and integration costs of $534,290 and $911,672 for the three and six months ended June 30, 2025, respectively, primarily related to professional fees, legal and accounting services, severance, and other costs associated with recent business combinations. These expenses are not included in general and administrative expenses in the condensed consolidated statements of operations. The Company expects to continue to incur certain integration costs in the near term as it finalizes system, process, and personnel integration activities.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 costs</w:t>
      </w:r>
    </w:p>
    <w:p>
      <w:pPr>
        <w:spacing w:after="0" w:line="180" w:lineRule="exact"/>
        <w:rPr>
          <w:sz w:val="20"/>
          <w:szCs w:val="20"/>
          <w:color w:val="auto"/>
        </w:rPr>
      </w:pPr>
    </w:p>
    <w:p>
      <w:pPr>
        <w:jc w:val="both"/>
        <w:ind w:firstLine="576"/>
        <w:spacing w:after="0" w:line="243" w:lineRule="auto"/>
        <w:rPr>
          <w:sz w:val="20"/>
          <w:szCs w:val="20"/>
          <w:color w:val="auto"/>
        </w:rPr>
      </w:pPr>
      <w:r>
        <w:rPr>
          <w:rFonts w:ascii="Times New Roman" w:cs="Times New Roman" w:eastAsia="Times New Roman" w:hAnsi="Times New Roman"/>
          <w:sz w:val="16"/>
          <w:szCs w:val="16"/>
          <w:color w:val="auto"/>
        </w:rPr>
        <w:t>The Company accounts for transaction costs incurred in connection with de-SPAC transactions in accordance with ASC 805, Business Combinations. Costs that are directly attributable to the issuance of equity instruments, such as legal, accounting, and advisory fees related to the merger and recapitalization, are recorded as a reduction to additional paid-in capital. Other costs that are not directly related to the equity issuance, including costs associated with business combination activities, are expensed as incurred. The Company evaluates each cost to determine the appropriate accounting treatment based on its nature and purpose.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Reclassifications</w:t>
      </w:r>
    </w:p>
    <w:p>
      <w:pPr>
        <w:spacing w:after="0" w:line="18" w:lineRule="exact"/>
        <w:rPr>
          <w:sz w:val="20"/>
          <w:szCs w:val="20"/>
          <w:color w:val="auto"/>
        </w:rPr>
      </w:pPr>
    </w:p>
    <w:p>
      <w:pPr>
        <w:jc w:val="both"/>
        <w:ind w:right="20" w:firstLine="612"/>
        <w:spacing w:after="0" w:line="236" w:lineRule="auto"/>
        <w:rPr>
          <w:sz w:val="20"/>
          <w:szCs w:val="20"/>
          <w:color w:val="auto"/>
        </w:rPr>
      </w:pPr>
      <w:r>
        <w:rPr>
          <w:rFonts w:ascii="Times New Roman" w:cs="Times New Roman" w:eastAsia="Times New Roman" w:hAnsi="Times New Roman"/>
          <w:sz w:val="16"/>
          <w:szCs w:val="16"/>
          <w:color w:val="auto"/>
        </w:rPr>
        <w:t>Certain prior period amounts have been reclassified to conform to the current period presentation. In connection with this reclassification, amounts previously reported as general and administrative expenses have been allocated to acquisition and integration expenses. Amounts previously reported as advances to supplier have been reclassified to prepaid expenses and other current assets. In addition, certain amounts previously reported as other assets have been reclassified as property and equipment, net. These reclassifications had no impact on total operating expenses, net loss, or shareholders’ equity for any period presented.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3 – Business Combination and Reverse Recapitalization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On March 18, 2024, the Company entered into a Business Combination Agreement with ShoulderUp, ShoulderUp Merger Sub, Inc., and SEI Merger Sub, Inc.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the Legacy Company.</w:t>
      </w:r>
    </w:p>
    <w:p>
      <w:pPr>
        <w:spacing w:after="0" w:line="158" w:lineRule="exact"/>
        <w:rPr>
          <w:sz w:val="20"/>
          <w:szCs w:val="20"/>
          <w:color w:val="auto"/>
        </w:rPr>
      </w:pPr>
    </w:p>
    <w:p>
      <w:pPr>
        <w:ind w:right="40" w:firstLine="576"/>
        <w:spacing w:after="0" w:line="259" w:lineRule="auto"/>
        <w:rPr>
          <w:sz w:val="20"/>
          <w:szCs w:val="20"/>
          <w:color w:val="auto"/>
        </w:rPr>
      </w:pPr>
      <w:r>
        <w:rPr>
          <w:rFonts w:ascii="Times New Roman" w:cs="Times New Roman" w:eastAsia="Times New Roman" w:hAnsi="Times New Roman"/>
          <w:sz w:val="16"/>
          <w:szCs w:val="16"/>
          <w:color w:val="auto"/>
        </w:rPr>
        <w:t>On June 18, 2025, the Company consummated its Business Combination pursuant to the terms of the Business Combination Agreement. The Business Combination was structured as follows:</w:t>
      </w:r>
    </w:p>
    <w:p>
      <w:pPr>
        <w:spacing w:after="0" w:line="143" w:lineRule="exact"/>
        <w:rPr>
          <w:sz w:val="20"/>
          <w:szCs w:val="20"/>
          <w:color w:val="auto"/>
        </w:rPr>
      </w:pPr>
    </w:p>
    <w:p>
      <w:pPr>
        <w:jc w:val="both"/>
        <w:ind w:left="1160" w:right="40" w:hanging="578"/>
        <w:spacing w:after="0" w:line="247" w:lineRule="auto"/>
        <w:tabs>
          <w:tab w:leader="none" w:pos="11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Closing, each ordinary share of ShoulderUp that was not redeemed or converted was exchanged for one share of Common Stock. Each issued and outstanding unit of ShoulderUp (“Unit”) was automatically separated into (i) one ordinary share and (ii) one-half of one warrant. Each whole warrant is exercisable to purchase one ordinary share at an exercise price of $11.50 per share.</w:t>
      </w:r>
    </w:p>
    <w:p>
      <w:pPr>
        <w:spacing w:after="0" w:line="152" w:lineRule="exact"/>
        <w:rPr>
          <w:rFonts w:ascii="Times New Roman" w:cs="Times New Roman" w:eastAsia="Times New Roman" w:hAnsi="Times New Roman"/>
          <w:sz w:val="16"/>
          <w:szCs w:val="16"/>
          <w:color w:val="auto"/>
        </w:rPr>
      </w:pPr>
    </w:p>
    <w:p>
      <w:pPr>
        <w:ind w:left="1160" w:right="40" w:hanging="578"/>
        <w:spacing w:after="0" w:line="259" w:lineRule="auto"/>
        <w:tabs>
          <w:tab w:leader="none" w:pos="11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total of 506,589 shares of Common Stock were issued to the public shareholders of ShoulderUp. An additional 6,698,333 shares were issued to ShoulderUp’s officers and directors, ShoulderUp Technology Sponsor LLC (the “Sponsor”), and each transferee of founder shares.</w:t>
      </w:r>
    </w:p>
    <w:p>
      <w:pPr>
        <w:spacing w:after="0" w:line="143" w:lineRule="exact"/>
        <w:rPr>
          <w:rFonts w:ascii="Times New Roman" w:cs="Times New Roman" w:eastAsia="Times New Roman" w:hAnsi="Times New Roman"/>
          <w:sz w:val="16"/>
          <w:szCs w:val="16"/>
          <w:color w:val="auto"/>
        </w:rPr>
      </w:pPr>
    </w:p>
    <w:p>
      <w:pPr>
        <w:ind w:left="1160" w:hanging="578"/>
        <w:spacing w:after="0"/>
        <w:tabs>
          <w:tab w:leader="none" w:pos="11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1,345,001 shares of Common Stock were issued to certain original public shareholders who had previously agreed not to redeem their shares.</w:t>
      </w:r>
    </w:p>
    <w:p>
      <w:pPr>
        <w:spacing w:after="0" w:line="176" w:lineRule="exact"/>
        <w:rPr>
          <w:rFonts w:ascii="Times New Roman" w:cs="Times New Roman" w:eastAsia="Times New Roman" w:hAnsi="Times New Roman"/>
          <w:sz w:val="16"/>
          <w:szCs w:val="16"/>
          <w:color w:val="auto"/>
        </w:rPr>
      </w:pPr>
    </w:p>
    <w:p>
      <w:pPr>
        <w:jc w:val="both"/>
        <w:ind w:left="1160" w:right="20" w:hanging="578"/>
        <w:spacing w:after="0" w:line="247" w:lineRule="auto"/>
        <w:tabs>
          <w:tab w:leader="none" w:pos="11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482,500 shares of Common Stock were issued to the holders of the ShoulderUp bridge loan to partially settle the outstanding loan balance at Closing. Lastly, 150,000 shares were issued to legal services provider DLA Piper LLP to partially settle outstanding service fees, pursuant to the Expense Release and Payment Agreement executed on June 3, 2025.</w:t>
      </w:r>
    </w:p>
    <w:p>
      <w:pPr>
        <w:spacing w:after="0" w:line="152" w:lineRule="exact"/>
        <w:rPr>
          <w:rFonts w:ascii="Times New Roman" w:cs="Times New Roman" w:eastAsia="Times New Roman" w:hAnsi="Times New Roman"/>
          <w:sz w:val="16"/>
          <w:szCs w:val="16"/>
          <w:color w:val="auto"/>
        </w:rPr>
      </w:pPr>
    </w:p>
    <w:p>
      <w:pPr>
        <w:ind w:left="1160" w:right="20" w:hanging="578"/>
        <w:spacing w:after="0" w:line="259" w:lineRule="auto"/>
        <w:tabs>
          <w:tab w:leader="none" w:pos="11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SEE ID’s 108,975,000 common stock issued and outstanding immediately prior to the Closing was canceled and converted into 12,210,718 shares of the Company’s Common Stock after giving effect to the exchange ratio of 0.11205.</w:t>
      </w:r>
    </w:p>
    <w:p>
      <w:pPr>
        <w:spacing w:after="0" w:line="143" w:lineRule="exact"/>
        <w:rPr>
          <w:rFonts w:ascii="Times New Roman" w:cs="Times New Roman" w:eastAsia="Times New Roman" w:hAnsi="Times New Roman"/>
          <w:sz w:val="16"/>
          <w:szCs w:val="16"/>
          <w:color w:val="auto"/>
        </w:rPr>
      </w:pPr>
    </w:p>
    <w:p>
      <w:pPr>
        <w:ind w:left="1160" w:hanging="578"/>
        <w:spacing w:after="0"/>
        <w:tabs>
          <w:tab w:leader="none" w:pos="11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2,909,057 shares of Common Stock were issued to the SEE ID SAFE note holders.</w:t>
      </w:r>
    </w:p>
    <w:p>
      <w:pPr>
        <w:spacing w:after="0" w:line="176" w:lineRule="exact"/>
        <w:rPr>
          <w:rFonts w:ascii="Times New Roman" w:cs="Times New Roman" w:eastAsia="Times New Roman" w:hAnsi="Times New Roman"/>
          <w:sz w:val="16"/>
          <w:szCs w:val="16"/>
          <w:color w:val="auto"/>
        </w:rPr>
      </w:pPr>
    </w:p>
    <w:p>
      <w:pPr>
        <w:ind w:left="1160" w:hanging="578"/>
        <w:spacing w:after="0"/>
        <w:tabs>
          <w:tab w:leader="none" w:pos="11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11,205 shares of Common Stock were issued in exchange for financial advisory services at Closing.</w:t>
      </w:r>
    </w:p>
    <w:p>
      <w:pPr>
        <w:spacing w:after="0" w:line="176" w:lineRule="exact"/>
        <w:rPr>
          <w:rFonts w:ascii="Times New Roman" w:cs="Times New Roman" w:eastAsia="Times New Roman" w:hAnsi="Times New Roman"/>
          <w:sz w:val="16"/>
          <w:szCs w:val="16"/>
          <w:color w:val="auto"/>
        </w:rPr>
      </w:pPr>
    </w:p>
    <w:p>
      <w:pPr>
        <w:ind w:left="1160" w:hanging="578"/>
        <w:spacing w:after="0"/>
        <w:tabs>
          <w:tab w:leader="none" w:pos="11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3,323,536 shares of Common Stock were issued to three major PIPE investors.</w:t>
      </w:r>
    </w:p>
    <w:p>
      <w:pPr>
        <w:spacing w:after="0" w:line="176" w:lineRule="exact"/>
        <w:rPr>
          <w:rFonts w:ascii="Times New Roman" w:cs="Times New Roman" w:eastAsia="Times New Roman" w:hAnsi="Times New Roman"/>
          <w:sz w:val="16"/>
          <w:szCs w:val="16"/>
          <w:color w:val="auto"/>
        </w:rPr>
      </w:pPr>
    </w:p>
    <w:p>
      <w:pPr>
        <w:ind w:left="1160" w:hanging="578"/>
        <w:spacing w:after="0"/>
        <w:tabs>
          <w:tab w:leader="none" w:pos="11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assumed 15,654,983 public and private warrants of ShoulderUp, net of 20,017 forfeitures, as of June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Redemption</w:t>
      </w:r>
    </w:p>
    <w:p>
      <w:pPr>
        <w:spacing w:after="0" w:line="180" w:lineRule="exact"/>
        <w:rPr>
          <w:sz w:val="20"/>
          <w:szCs w:val="20"/>
          <w:color w:val="auto"/>
        </w:rPr>
      </w:pPr>
    </w:p>
    <w:p>
      <w:pPr>
        <w:jc w:val="both"/>
        <w:ind w:firstLine="576"/>
        <w:spacing w:after="0" w:line="299" w:lineRule="auto"/>
        <w:rPr>
          <w:sz w:val="20"/>
          <w:szCs w:val="20"/>
          <w:color w:val="auto"/>
        </w:rPr>
      </w:pPr>
      <w:r>
        <w:rPr>
          <w:rFonts w:ascii="Times New Roman" w:cs="Times New Roman" w:eastAsia="Times New Roman" w:hAnsi="Times New Roman"/>
          <w:sz w:val="14"/>
          <w:szCs w:val="14"/>
          <w:color w:val="auto"/>
        </w:rPr>
        <w:t>Prior to the Closing, certain public shareholders of ShoulderUp exercised their rights to redeem certain ordinary shares for funds previously held in the trust account, resulting in the redemption of 2,000 ordinary shares for an aggregate payment of approximately $22,019. After redemptions, there was a total of 506,589 ordinary shares, which were converted into Common Stock in connection with the Business Combination, and approximately $5.58 million remained in the trust account.</w:t>
      </w: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Ownership Upon Closing</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number of shares of Common Stock issued in connection with the Business Combination and subsequent equity conversion was as follows:</w:t>
      </w:r>
    </w:p>
    <w:p>
      <w:pPr>
        <w:spacing w:after="0" w:line="10"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6"/>
          <w:szCs w:val="16"/>
          <w:b w:val="1"/>
          <w:bCs w:val="1"/>
          <w:color w:val="auto"/>
        </w:rPr>
        <w:t>Common</w:t>
      </w:r>
    </w:p>
    <w:p>
      <w:pPr>
        <w:ind w:left="9780"/>
        <w:spacing w:after="0" w:line="228" w:lineRule="auto"/>
        <w:rPr>
          <w:sz w:val="20"/>
          <w:szCs w:val="20"/>
          <w:color w:val="auto"/>
        </w:rPr>
      </w:pPr>
      <w:r>
        <w:rPr>
          <w:rFonts w:ascii="Times New Roman" w:cs="Times New Roman" w:eastAsia="Times New Roman" w:hAnsi="Times New Roman"/>
          <w:sz w:val="16"/>
          <w:szCs w:val="16"/>
          <w:b w:val="1"/>
          <w:bCs w:val="1"/>
          <w:color w:val="auto"/>
        </w:rPr>
        <w:t>Stock</w:t>
      </w:r>
    </w:p>
    <w:tbl>
      <w:tblPr>
        <w:tblLayout w:type="fixed"/>
        <w:tblInd w:w="0" w:type="dxa"/>
        <w:tblCellMar>
          <w:top w:w="0" w:type="dxa"/>
          <w:left w:w="0" w:type="dxa"/>
          <w:bottom w:w="0" w:type="dxa"/>
          <w:right w:w="0" w:type="dxa"/>
        </w:tblCellMar>
      </w:tblPr>
      <w:tr>
        <w:trPr>
          <w:trHeight w:val="184"/>
        </w:trPr>
        <w:tc>
          <w:tcPr>
            <w:tcW w:w="9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Ordinary shares, outstanding prior to the Business Combination</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508,589</w:t>
            </w:r>
          </w:p>
        </w:tc>
        <w:tc>
          <w:tcPr>
            <w:tcW w:w="80" w:type="dxa"/>
            <w:vAlign w:val="bottom"/>
            <w:tcBorders>
              <w:top w:val="single" w:sz="8" w:color="CCEEFF"/>
            </w:tcBorders>
            <w:shd w:val="clear" w:color="auto" w:fill="CCEEFF"/>
          </w:tcPr>
          <w:p>
            <w:pPr>
              <w:spacing w:after="0"/>
              <w:rPr>
                <w:sz w:val="16"/>
                <w:szCs w:val="16"/>
                <w:color w:val="auto"/>
              </w:rPr>
            </w:pPr>
          </w:p>
        </w:tc>
      </w:tr>
      <w:tr>
        <w:trPr>
          <w:trHeight w:val="203"/>
        </w:trPr>
        <w:tc>
          <w:tcPr>
            <w:tcW w:w="9420" w:type="dxa"/>
            <w:vAlign w:val="bottom"/>
          </w:tcPr>
          <w:p>
            <w:pPr>
              <w:spacing w:after="0"/>
              <w:rPr>
                <w:sz w:val="20"/>
                <w:szCs w:val="20"/>
                <w:color w:val="auto"/>
              </w:rPr>
            </w:pPr>
            <w:r>
              <w:rPr>
                <w:rFonts w:ascii="Times New Roman" w:cs="Times New Roman" w:eastAsia="Times New Roman" w:hAnsi="Times New Roman"/>
                <w:sz w:val="16"/>
                <w:szCs w:val="16"/>
                <w:color w:val="auto"/>
              </w:rPr>
              <w:t>Less: Redemption of ordinary shares</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(2,000)</w:t>
            </w:r>
          </w:p>
        </w:tc>
      </w:tr>
    </w:tbl>
    <w:p>
      <w:pPr>
        <w:sectPr>
          <w:pgSz w:w="11900" w:h="16840" w:orient="portrait"/>
          <w:cols w:equalWidth="0" w:num="1">
            <w:col w:w="10600"/>
          </w:cols>
          <w:pgMar w:left="660" w:top="557" w:right="640" w:bottom="15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Ordinary shares held by ShoulderUp’s officers and directors, the Sponsor and each transferee of founder shares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6,698,333</w:t>
            </w:r>
          </w:p>
        </w:tc>
        <w:tc>
          <w:tcPr>
            <w:tcW w:w="80" w:type="dxa"/>
            <w:vAlign w:val="bottom"/>
            <w:shd w:val="clear" w:color="auto" w:fill="CCEEFF"/>
          </w:tcPr>
          <w:p>
            <w:pPr>
              <w:spacing w:after="0"/>
              <w:rPr>
                <w:sz w:val="16"/>
                <w:szCs w:val="16"/>
                <w:color w:val="auto"/>
              </w:rPr>
            </w:pPr>
          </w:p>
        </w:tc>
      </w:tr>
      <w:tr>
        <w:trPr>
          <w:trHeight w:val="180"/>
        </w:trPr>
        <w:tc>
          <w:tcPr>
            <w:tcW w:w="9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Ordinary shares held by non-redemption share holders</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1,345,001</w:t>
            </w:r>
          </w:p>
        </w:tc>
        <w:tc>
          <w:tcPr>
            <w:tcW w:w="80" w:type="dxa"/>
            <w:vAlign w:val="bottom"/>
          </w:tcPr>
          <w:p>
            <w:pPr>
              <w:spacing w:after="0"/>
              <w:rPr>
                <w:sz w:val="15"/>
                <w:szCs w:val="15"/>
                <w:color w:val="auto"/>
              </w:rPr>
            </w:pPr>
          </w:p>
        </w:tc>
      </w:tr>
      <w:tr>
        <w:trPr>
          <w:trHeight w:val="180"/>
        </w:trPr>
        <w:tc>
          <w:tcPr>
            <w:tcW w:w="94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Ordinary shares held by ShoulderUp bridge loan holder</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482,500</w:t>
            </w:r>
          </w:p>
        </w:tc>
      </w:tr>
      <w:tr>
        <w:trPr>
          <w:trHeight w:val="180"/>
        </w:trPr>
        <w:tc>
          <w:tcPr>
            <w:tcW w:w="9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Ordinary shares held by DLA Piper, LLP</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150,000</w:t>
            </w:r>
          </w:p>
        </w:tc>
      </w:tr>
      <w:tr>
        <w:trPr>
          <w:trHeight w:val="180"/>
        </w:trPr>
        <w:tc>
          <w:tcPr>
            <w:tcW w:w="94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Common Stock issued to holders of SEE ID Inc.</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12,210,718</w:t>
            </w:r>
          </w:p>
        </w:tc>
        <w:tc>
          <w:tcPr>
            <w:tcW w:w="80" w:type="dxa"/>
            <w:vAlign w:val="bottom"/>
            <w:shd w:val="clear" w:color="auto" w:fill="CCEEFF"/>
          </w:tcPr>
          <w:p>
            <w:pPr>
              <w:spacing w:after="0"/>
              <w:rPr>
                <w:sz w:val="15"/>
                <w:szCs w:val="15"/>
                <w:color w:val="auto"/>
              </w:rPr>
            </w:pPr>
          </w:p>
        </w:tc>
      </w:tr>
      <w:tr>
        <w:trPr>
          <w:trHeight w:val="180"/>
        </w:trPr>
        <w:tc>
          <w:tcPr>
            <w:tcW w:w="9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Common Stock issued to SEE ID SAFE note holders</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2,909,057</w:t>
            </w:r>
          </w:p>
        </w:tc>
        <w:tc>
          <w:tcPr>
            <w:tcW w:w="80" w:type="dxa"/>
            <w:vAlign w:val="bottom"/>
          </w:tcPr>
          <w:p>
            <w:pPr>
              <w:spacing w:after="0"/>
              <w:rPr>
                <w:sz w:val="15"/>
                <w:szCs w:val="15"/>
                <w:color w:val="auto"/>
              </w:rPr>
            </w:pPr>
          </w:p>
        </w:tc>
      </w:tr>
      <w:tr>
        <w:trPr>
          <w:trHeight w:val="180"/>
        </w:trPr>
        <w:tc>
          <w:tcPr>
            <w:tcW w:w="94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Common Stock issued to StarUpNV</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11,205</w:t>
            </w:r>
          </w:p>
        </w:tc>
        <w:tc>
          <w:tcPr>
            <w:tcW w:w="80" w:type="dxa"/>
            <w:vAlign w:val="bottom"/>
            <w:shd w:val="clear" w:color="auto" w:fill="CCEEFF"/>
          </w:tcPr>
          <w:p>
            <w:pPr>
              <w:spacing w:after="0"/>
              <w:rPr>
                <w:sz w:val="15"/>
                <w:szCs w:val="15"/>
                <w:color w:val="auto"/>
              </w:rPr>
            </w:pPr>
          </w:p>
        </w:tc>
      </w:tr>
      <w:tr>
        <w:trPr>
          <w:trHeight w:val="196"/>
        </w:trPr>
        <w:tc>
          <w:tcPr>
            <w:tcW w:w="9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Common Stock issued to PIPE investors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3,323,536</w:t>
            </w:r>
          </w:p>
        </w:tc>
        <w:tc>
          <w:tcPr>
            <w:tcW w:w="80" w:type="dxa"/>
            <w:vAlign w:val="bottom"/>
            <w:tcBorders>
              <w:bottom w:val="single" w:sz="8" w:color="CCEEFF"/>
            </w:tcBorders>
          </w:tcPr>
          <w:p>
            <w:pPr>
              <w:spacing w:after="0"/>
              <w:rPr>
                <w:sz w:val="17"/>
                <w:szCs w:val="17"/>
                <w:color w:val="auto"/>
              </w:rPr>
            </w:pPr>
          </w:p>
        </w:tc>
      </w:tr>
      <w:tr>
        <w:trPr>
          <w:trHeight w:val="208"/>
        </w:trPr>
        <w:tc>
          <w:tcPr>
            <w:tcW w:w="9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Common Stock Upon the Business Combination</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27,636,939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9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jc w:val="both"/>
        <w:ind w:firstLine="60"/>
        <w:spacing w:after="0" w:line="242" w:lineRule="auto"/>
        <w:rPr>
          <w:sz w:val="20"/>
          <w:szCs w:val="20"/>
          <w:color w:val="auto"/>
        </w:rPr>
      </w:pPr>
      <w:r>
        <w:rPr>
          <w:rFonts w:ascii="Times New Roman" w:cs="Times New Roman" w:eastAsia="Times New Roman" w:hAnsi="Times New Roman"/>
          <w:sz w:val="16"/>
          <w:szCs w:val="16"/>
          <w:color w:val="auto"/>
        </w:rPr>
        <w:t>The Legacy Company incurred $2,726,183 in transaction costs in connection with the Business Combination, which was determined not to be a capital-raising transaction for the Legacy Company. The $2,726,183 consists of the following:</w:t>
      </w:r>
    </w:p>
    <w:p>
      <w:pPr>
        <w:spacing w:after="0" w:line="156" w:lineRule="exact"/>
        <w:rPr>
          <w:sz w:val="20"/>
          <w:szCs w:val="20"/>
          <w:color w:val="auto"/>
        </w:rPr>
      </w:pPr>
    </w:p>
    <w:p>
      <w:pPr>
        <w:ind w:left="1160" w:hanging="578"/>
        <w:spacing w:after="0"/>
        <w:tabs>
          <w:tab w:leader="none" w:pos="11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$1,003,500 in assumed expenses from ShoulderUp for financial advisory services provided by Cohen Capital Markets;</w:t>
      </w:r>
    </w:p>
    <w:p>
      <w:pPr>
        <w:spacing w:after="0" w:line="224" w:lineRule="exact"/>
        <w:rPr>
          <w:rFonts w:ascii="Times New Roman" w:cs="Times New Roman" w:eastAsia="Times New Roman" w:hAnsi="Times New Roman"/>
          <w:sz w:val="16"/>
          <w:szCs w:val="16"/>
          <w:color w:val="auto"/>
        </w:rPr>
      </w:pPr>
    </w:p>
    <w:p>
      <w:pPr>
        <w:ind w:left="1160" w:hanging="578"/>
        <w:spacing w:after="0"/>
        <w:tabs>
          <w:tab w:leader="none" w:pos="11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$156,870 for financial advisory services provided by a financial advisor;</w:t>
      </w:r>
    </w:p>
    <w:p>
      <w:pPr>
        <w:spacing w:after="0" w:line="224" w:lineRule="exact"/>
        <w:rPr>
          <w:rFonts w:ascii="Times New Roman" w:cs="Times New Roman" w:eastAsia="Times New Roman" w:hAnsi="Times New Roman"/>
          <w:sz w:val="16"/>
          <w:szCs w:val="16"/>
          <w:color w:val="auto"/>
        </w:rPr>
      </w:pPr>
    </w:p>
    <w:p>
      <w:pPr>
        <w:ind w:left="1160" w:hanging="578"/>
        <w:spacing w:after="0"/>
        <w:tabs>
          <w:tab w:leader="none" w:pos="11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$295,000 in registration fees paid to Nasdaq Corporate Solutions, LLC;</w:t>
      </w:r>
    </w:p>
    <w:p>
      <w:pPr>
        <w:spacing w:after="0" w:line="224" w:lineRule="exact"/>
        <w:rPr>
          <w:rFonts w:ascii="Times New Roman" w:cs="Times New Roman" w:eastAsia="Times New Roman" w:hAnsi="Times New Roman"/>
          <w:sz w:val="16"/>
          <w:szCs w:val="16"/>
          <w:color w:val="auto"/>
        </w:rPr>
      </w:pPr>
    </w:p>
    <w:p>
      <w:pPr>
        <w:ind w:left="1160" w:hanging="578"/>
        <w:spacing w:after="0"/>
        <w:tabs>
          <w:tab w:leader="none" w:pos="11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$271,079 paid to Continental Stock Transfer &amp; Trust Co.;</w:t>
      </w:r>
    </w:p>
    <w:p>
      <w:pPr>
        <w:spacing w:after="0" w:line="224" w:lineRule="exact"/>
        <w:rPr>
          <w:rFonts w:ascii="Times New Roman" w:cs="Times New Roman" w:eastAsia="Times New Roman" w:hAnsi="Times New Roman"/>
          <w:sz w:val="16"/>
          <w:szCs w:val="16"/>
          <w:color w:val="auto"/>
        </w:rPr>
      </w:pPr>
    </w:p>
    <w:p>
      <w:pPr>
        <w:ind w:left="1160" w:hanging="578"/>
        <w:spacing w:after="0"/>
        <w:tabs>
          <w:tab w:leader="none" w:pos="11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$126,812 paid to Edgar Agents, LLC; and</w:t>
      </w:r>
    </w:p>
    <w:p>
      <w:pPr>
        <w:spacing w:after="0" w:line="224" w:lineRule="exact"/>
        <w:rPr>
          <w:rFonts w:ascii="Times New Roman" w:cs="Times New Roman" w:eastAsia="Times New Roman" w:hAnsi="Times New Roman"/>
          <w:sz w:val="16"/>
          <w:szCs w:val="16"/>
          <w:color w:val="auto"/>
        </w:rPr>
      </w:pPr>
    </w:p>
    <w:p>
      <w:pPr>
        <w:ind w:left="1160" w:hanging="578"/>
        <w:spacing w:after="0"/>
        <w:tabs>
          <w:tab w:leader="none" w:pos="11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$872,922 in bonus expenses related to the successful closing of the Business Combination.</w:t>
      </w:r>
    </w:p>
    <w:p>
      <w:pPr>
        <w:spacing w:after="0" w:line="176" w:lineRule="exact"/>
        <w:rPr>
          <w:sz w:val="20"/>
          <w:szCs w:val="20"/>
          <w:color w:val="auto"/>
        </w:rPr>
      </w:pPr>
    </w:p>
    <w:p>
      <w:pPr>
        <w:ind w:right="2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tables reconcile elements of the Business Combination to the Company’s condensed consolidated financial statements, and should be read in conjunction with the footnotes referenced above: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8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Closing proceeds</w:t>
            </w:r>
          </w:p>
        </w:tc>
        <w:tc>
          <w:tcPr>
            <w:tcW w:w="5740" w:type="dxa"/>
            <w:vAlign w:val="bottom"/>
            <w:gridSpan w:val="4"/>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Recapitalization</w:t>
            </w:r>
          </w:p>
        </w:tc>
        <w:tc>
          <w:tcPr>
            <w:tcW w:w="0" w:type="dxa"/>
            <w:vAlign w:val="bottom"/>
          </w:tcPr>
          <w:p>
            <w:pPr>
              <w:spacing w:after="0"/>
              <w:rPr>
                <w:sz w:val="1"/>
                <w:szCs w:val="1"/>
                <w:color w:val="auto"/>
              </w:rPr>
            </w:pPr>
          </w:p>
        </w:tc>
      </w:tr>
      <w:tr>
        <w:trPr>
          <w:trHeight w:val="180"/>
        </w:trPr>
        <w:tc>
          <w:tcPr>
            <w:tcW w:w="4820" w:type="dxa"/>
            <w:vAlign w:val="bottom"/>
            <w:vMerge w:val="continue"/>
          </w:tcPr>
          <w:p>
            <w:pPr>
              <w:spacing w:after="0"/>
              <w:rPr>
                <w:sz w:val="15"/>
                <w:szCs w:val="15"/>
                <w:color w:val="auto"/>
              </w:rPr>
            </w:pPr>
          </w:p>
        </w:tc>
        <w:tc>
          <w:tcPr>
            <w:tcW w:w="45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Proceeds from Trust account</w:t>
            </w:r>
          </w:p>
        </w:tc>
        <w:tc>
          <w:tcPr>
            <w:tcW w:w="4800" w:type="dxa"/>
            <w:vAlign w:val="bottom"/>
            <w:gridSpan w:val="2"/>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5,577,304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Proceeds from PIPE investors</w:t>
            </w:r>
          </w:p>
        </w:tc>
        <w:tc>
          <w:tcPr>
            <w:tcW w:w="4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10,837,643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Proceeds from legacy ShoulderUp bank accounts</w:t>
            </w:r>
          </w:p>
        </w:tc>
        <w:tc>
          <w:tcPr>
            <w:tcW w:w="4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74,499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Closing disbursements</w:t>
            </w:r>
          </w:p>
        </w:tc>
        <w:tc>
          <w:tcPr>
            <w:tcW w:w="4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Less: Payment to purchase founder shares</w:t>
            </w:r>
          </w:p>
        </w:tc>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(5,000,000)</w:t>
            </w:r>
          </w:p>
        </w:tc>
        <w:tc>
          <w:tcPr>
            <w:tcW w:w="0" w:type="dxa"/>
            <w:vAlign w:val="bottom"/>
          </w:tcPr>
          <w:p>
            <w:pPr>
              <w:spacing w:after="0"/>
              <w:rPr>
                <w:sz w:val="1"/>
                <w:szCs w:val="1"/>
                <w:color w:val="auto"/>
              </w:rPr>
            </w:pPr>
          </w:p>
        </w:tc>
      </w:tr>
      <w:tr>
        <w:trPr>
          <w:trHeight w:val="168"/>
        </w:trPr>
        <w:tc>
          <w:tcPr>
            <w:tcW w:w="482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Net cash proceeds from the Business Combination</w:t>
            </w:r>
          </w:p>
        </w:tc>
        <w:tc>
          <w:tcPr>
            <w:tcW w:w="4580" w:type="dxa"/>
            <w:vAlign w:val="bottom"/>
            <w:tcBorders>
              <w:top w:val="single" w:sz="8" w:color="CCEEFF"/>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2"/>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11,489,446</w:t>
            </w:r>
          </w:p>
        </w:tc>
        <w:tc>
          <w:tcPr>
            <w:tcW w:w="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Noncash activities</w:t>
            </w:r>
          </w:p>
        </w:tc>
        <w:tc>
          <w:tcPr>
            <w:tcW w:w="4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Conversion of SAFE notes to equity</w:t>
            </w:r>
          </w:p>
        </w:tc>
        <w:tc>
          <w:tcPr>
            <w:tcW w:w="4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40,726,793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Conversion of short-term debt to equity</w:t>
            </w:r>
          </w:p>
        </w:tc>
        <w:tc>
          <w:tcPr>
            <w:tcW w:w="4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8,597,750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Transaction costs paid in shares</w:t>
            </w:r>
          </w:p>
        </w:tc>
        <w:tc>
          <w:tcPr>
            <w:tcW w:w="4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156,870</w:t>
            </w:r>
          </w:p>
        </w:tc>
        <w:tc>
          <w:tcPr>
            <w:tcW w:w="0" w:type="dxa"/>
            <w:vAlign w:val="bottom"/>
          </w:tcPr>
          <w:p>
            <w:pPr>
              <w:spacing w:after="0"/>
              <w:rPr>
                <w:sz w:val="1"/>
                <w:szCs w:val="1"/>
                <w:color w:val="auto"/>
              </w:rPr>
            </w:pPr>
          </w:p>
        </w:tc>
      </w:tr>
      <w:tr>
        <w:trPr>
          <w:trHeight w:val="180"/>
        </w:trPr>
        <w:tc>
          <w:tcPr>
            <w:tcW w:w="482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Less: Accrued taxes assumed from ShoulderUp</w:t>
            </w:r>
          </w:p>
        </w:tc>
        <w:tc>
          <w:tcPr>
            <w:tcW w:w="4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(3,913,668)</w:t>
            </w:r>
          </w:p>
        </w:tc>
        <w:tc>
          <w:tcPr>
            <w:tcW w:w="0" w:type="dxa"/>
            <w:vAlign w:val="bottom"/>
          </w:tcPr>
          <w:p>
            <w:pPr>
              <w:spacing w:after="0"/>
              <w:rPr>
                <w:sz w:val="1"/>
                <w:szCs w:val="1"/>
                <w:color w:val="auto"/>
              </w:rPr>
            </w:pPr>
          </w:p>
        </w:tc>
      </w:tr>
      <w:tr>
        <w:trPr>
          <w:trHeight w:val="192"/>
        </w:trPr>
        <w:tc>
          <w:tcPr>
            <w:tcW w:w="4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Less: Short-term debt assumed from ShoulderUp</w:t>
            </w:r>
          </w:p>
        </w:tc>
        <w:tc>
          <w:tcPr>
            <w:tcW w:w="4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(900,000)</w:t>
            </w:r>
          </w:p>
        </w:tc>
        <w:tc>
          <w:tcPr>
            <w:tcW w:w="0" w:type="dxa"/>
            <w:vAlign w:val="bottom"/>
          </w:tcPr>
          <w:p>
            <w:pPr>
              <w:spacing w:after="0"/>
              <w:rPr>
                <w:sz w:val="1"/>
                <w:szCs w:val="1"/>
                <w:color w:val="auto"/>
              </w:rPr>
            </w:pPr>
          </w:p>
        </w:tc>
      </w:tr>
      <w:tr>
        <w:trPr>
          <w:trHeight w:val="24"/>
        </w:trPr>
        <w:tc>
          <w:tcPr>
            <w:tcW w:w="4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equity impact of the Business Combination</w:t>
            </w:r>
          </w:p>
        </w:tc>
        <w:tc>
          <w:tcPr>
            <w:tcW w:w="45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820" w:type="dxa"/>
            <w:vAlign w:val="bottom"/>
            <w:vMerge w:val="continue"/>
            <w:shd w:val="clear" w:color="auto" w:fill="CCEEFF"/>
          </w:tcPr>
          <w:p>
            <w:pPr>
              <w:spacing w:after="0"/>
              <w:rPr>
                <w:sz w:val="18"/>
                <w:szCs w:val="18"/>
                <w:color w:val="auto"/>
              </w:rPr>
            </w:pPr>
          </w:p>
        </w:tc>
        <w:tc>
          <w:tcPr>
            <w:tcW w:w="48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56,157,191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6"/>
                <w:szCs w:val="16"/>
                <w:color w:val="auto"/>
              </w:rPr>
              <w:t>Par value of common stock issued</w:t>
            </w:r>
          </w:p>
        </w:tc>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80"/>
        </w:trPr>
        <w:tc>
          <w:tcPr>
            <w:tcW w:w="4820" w:type="dxa"/>
            <w:vAlign w:val="bottom"/>
            <w:tcBorders>
              <w:bottom w:val="single" w:sz="8" w:color="CCEEFF"/>
            </w:tcBorders>
            <w:vMerge w:val="continue"/>
          </w:tcPr>
          <w:p>
            <w:pPr>
              <w:spacing w:after="0"/>
              <w:rPr>
                <w:sz w:val="15"/>
                <w:szCs w:val="15"/>
                <w:color w:val="auto"/>
              </w:rPr>
            </w:pPr>
          </w:p>
        </w:tc>
        <w:tc>
          <w:tcPr>
            <w:tcW w:w="45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(1,543</w:t>
            </w:r>
          </w:p>
        </w:tc>
        <w:tc>
          <w:tcPr>
            <w:tcW w:w="8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Impact of Business Combination on additional paid-in capital</w:t>
            </w:r>
          </w:p>
        </w:tc>
        <w:tc>
          <w:tcPr>
            <w:tcW w:w="4800" w:type="dxa"/>
            <w:vAlign w:val="bottom"/>
            <w:gridSpan w:val="2"/>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56,155,649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4820" w:type="dxa"/>
            <w:vAlign w:val="bottom"/>
            <w:shd w:val="clear" w:color="auto" w:fill="CCEEFF"/>
          </w:tcPr>
          <w:p>
            <w:pPr>
              <w:spacing w:after="0"/>
              <w:rPr>
                <w:sz w:val="8"/>
                <w:szCs w:val="8"/>
                <w:color w:val="auto"/>
              </w:rPr>
            </w:pPr>
          </w:p>
        </w:tc>
        <w:tc>
          <w:tcPr>
            <w:tcW w:w="4800" w:type="dxa"/>
            <w:vAlign w:val="bottom"/>
            <w:gridSpan w:val="2"/>
            <w:vMerge w:val="continue"/>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48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jc w:val="right"/>
              <w:ind w:right="4102"/>
              <w:spacing w:after="0"/>
              <w:rPr>
                <w:sz w:val="20"/>
                <w:szCs w:val="20"/>
                <w:color w:val="auto"/>
              </w:rPr>
            </w:pPr>
            <w:r>
              <w:rPr>
                <w:rFonts w:ascii="Times New Roman" w:cs="Times New Roman" w:eastAsia="Times New Roman" w:hAnsi="Times New Roman"/>
                <w:sz w:val="16"/>
                <w:szCs w:val="16"/>
                <w:color w:val="auto"/>
              </w:rPr>
              <w:t>F-14</w:t>
            </w: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Bridge Loan Agreements</w:t>
      </w:r>
    </w:p>
    <w:p>
      <w:pPr>
        <w:spacing w:after="0" w:line="180" w:lineRule="exact"/>
        <w:rPr>
          <w:sz w:val="20"/>
          <w:szCs w:val="20"/>
          <w:color w:val="auto"/>
        </w:rPr>
      </w:pPr>
    </w:p>
    <w:p>
      <w:pPr>
        <w:jc w:val="both"/>
        <w:ind w:firstLine="576"/>
        <w:spacing w:after="0" w:line="243" w:lineRule="auto"/>
        <w:rPr>
          <w:sz w:val="20"/>
          <w:szCs w:val="20"/>
          <w:color w:val="auto"/>
        </w:rPr>
      </w:pPr>
      <w:r>
        <w:rPr>
          <w:rFonts w:ascii="Times New Roman" w:cs="Times New Roman" w:eastAsia="Times New Roman" w:hAnsi="Times New Roman"/>
          <w:sz w:val="16"/>
          <w:szCs w:val="16"/>
          <w:color w:val="auto"/>
        </w:rPr>
        <w:t>For the three and six months June 30, 2025, the Legacy Company entered into unsecured bridge loan agreements with two major lenders, totaling $2,850,000 in principal. These loans bear interest at an annual rate of 20%, calculated on a 365-day basis, and include a minimum interest provision requiring payment of at least 8% or 10% of the principal amount if repaid prior to their six-month maturity dates. As of the date of Closing, the Company recorded an accrued interest liability of $280,000, which was settled as of June 30, 2025.</w:t>
      </w:r>
    </w:p>
    <w:p>
      <w:pPr>
        <w:spacing w:after="0" w:line="155"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auto"/>
        </w:rPr>
        <w:t>Prior to the Closing of the Business Combination, one of the lenders elected to convert a portion of its outstanding principal and accrued interest into 614,125 shares of Common Stock, based on a conversion price of $4.00 per share. The other lender opted to receive full repayment in cash.</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table below summarizes the transaction: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Payback in</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6"/>
                <w:szCs w:val="16"/>
                <w:b w:val="1"/>
                <w:bCs w:val="1"/>
                <w:color w:val="auto"/>
              </w:rPr>
              <w:t>Interest at</w:t>
            </w:r>
          </w:p>
        </w:tc>
        <w:tc>
          <w:tcPr>
            <w:tcW w:w="120" w:type="dxa"/>
            <w:vAlign w:val="bottom"/>
          </w:tcPr>
          <w:p>
            <w:pPr>
              <w:spacing w:after="0"/>
              <w:rPr>
                <w:sz w:val="15"/>
                <w:szCs w:val="15"/>
                <w:color w:val="auto"/>
              </w:rPr>
            </w:pPr>
          </w:p>
        </w:tc>
        <w:tc>
          <w:tcPr>
            <w:tcW w:w="1160" w:type="dxa"/>
            <w:vAlign w:val="bottom"/>
            <w:gridSpan w:val="2"/>
          </w:tcPr>
          <w:p>
            <w:pPr>
              <w:jc w:val="right"/>
              <w:ind w:right="3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Payback in</w:t>
            </w:r>
          </w:p>
        </w:tc>
        <w:tc>
          <w:tcPr>
            <w:tcW w:w="100" w:type="dxa"/>
            <w:vAlign w:val="bottom"/>
          </w:tcPr>
          <w:p>
            <w:pPr>
              <w:spacing w:after="0"/>
              <w:rPr>
                <w:sz w:val="15"/>
                <w:szCs w:val="15"/>
                <w:color w:val="auto"/>
              </w:rPr>
            </w:pPr>
          </w:p>
        </w:tc>
        <w:tc>
          <w:tcPr>
            <w:tcW w:w="112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shares at</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9"/>
        </w:trPr>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Bridge Loans</w:t>
            </w:r>
          </w:p>
        </w:tc>
        <w:tc>
          <w:tcPr>
            <w:tcW w:w="100" w:type="dxa"/>
            <w:vAlign w:val="bottom"/>
          </w:tcPr>
          <w:p>
            <w:pPr>
              <w:spacing w:after="0"/>
              <w:rPr>
                <w:sz w:val="17"/>
                <w:szCs w:val="17"/>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Effective Date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closing</w:t>
            </w:r>
          </w:p>
        </w:tc>
        <w:tc>
          <w:tcPr>
            <w:tcW w:w="120" w:type="dxa"/>
            <w:vAlign w:val="bottom"/>
          </w:tcPr>
          <w:p>
            <w:pPr>
              <w:spacing w:after="0"/>
              <w:rPr>
                <w:sz w:val="17"/>
                <w:szCs w:val="17"/>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Cash</w:t>
            </w:r>
          </w:p>
        </w:tc>
        <w:tc>
          <w:tcPr>
            <w:tcW w:w="10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$4/share</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180"/>
        </w:trPr>
        <w:tc>
          <w:tcPr>
            <w:tcW w:w="298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Bridge loan 1*</w:t>
            </w: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1/29/2025</w:t>
            </w: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9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1,500,000</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150,000</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(193,500)</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1,456,500</w:t>
            </w: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364,125</w:t>
            </w:r>
          </w:p>
        </w:tc>
        <w:tc>
          <w:tcPr>
            <w:tcW w:w="80" w:type="dxa"/>
            <w:vAlign w:val="bottom"/>
            <w:tcBorders>
              <w:top w:val="single" w:sz="8" w:color="CCEEFF"/>
            </w:tcBorders>
            <w:shd w:val="clear" w:color="auto" w:fill="CCEEFF"/>
          </w:tcPr>
          <w:p>
            <w:pPr>
              <w:spacing w:after="0"/>
              <w:rPr>
                <w:sz w:val="15"/>
                <w:szCs w:val="15"/>
                <w:color w:val="auto"/>
              </w:rPr>
            </w:pPr>
          </w:p>
        </w:tc>
      </w:tr>
      <w:tr>
        <w:trPr>
          <w:trHeight w:val="180"/>
        </w:trPr>
        <w:tc>
          <w:tcPr>
            <w:tcW w:w="2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Bridge loan 2*</w:t>
            </w:r>
          </w:p>
        </w:tc>
        <w:tc>
          <w:tcPr>
            <w:tcW w:w="1260" w:type="dxa"/>
            <w:vAlign w:val="bottom"/>
            <w:gridSpan w:val="2"/>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8"/>
              </w:rPr>
              <w:t>4/9/2025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50,000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15"/>
                <w:szCs w:val="15"/>
                <w:color w:val="auto"/>
              </w:rPr>
            </w:pPr>
          </w:p>
        </w:tc>
        <w:tc>
          <w:tcPr>
            <w:tcW w:w="11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500,000</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125,000</w:t>
            </w:r>
          </w:p>
        </w:tc>
      </w:tr>
      <w:tr>
        <w:trPr>
          <w:trHeight w:val="180"/>
        </w:trPr>
        <w:tc>
          <w:tcPr>
            <w:tcW w:w="29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Bridge loan 3*</w:t>
            </w:r>
          </w:p>
        </w:tc>
        <w:tc>
          <w:tcPr>
            <w:tcW w:w="1260" w:type="dxa"/>
            <w:vAlign w:val="bottom"/>
            <w:gridSpan w:val="2"/>
            <w:shd w:val="clear" w:color="auto" w:fill="CCEEFF"/>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8"/>
              </w:rPr>
              <w:t>5/7/2025</w:t>
            </w: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50,000</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500,000</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125,000</w:t>
            </w:r>
          </w:p>
        </w:tc>
      </w:tr>
      <w:tr>
        <w:trPr>
          <w:trHeight w:val="180"/>
        </w:trPr>
        <w:tc>
          <w:tcPr>
            <w:tcW w:w="2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Bridge loan 4</w:t>
            </w:r>
          </w:p>
        </w:tc>
        <w:tc>
          <w:tcPr>
            <w:tcW w:w="1260" w:type="dxa"/>
            <w:vAlign w:val="bottom"/>
            <w:gridSpan w:val="2"/>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8"/>
              </w:rPr>
              <w:t>3/29/2025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(110,000)</w:t>
            </w:r>
          </w:p>
        </w:tc>
        <w:tc>
          <w:tcPr>
            <w:tcW w:w="100" w:type="dxa"/>
            <w:vAlign w:val="bottom"/>
          </w:tcPr>
          <w:p>
            <w:pPr>
              <w:spacing w:after="0"/>
              <w:rPr>
                <w:sz w:val="15"/>
                <w:szCs w:val="15"/>
                <w:color w:val="auto"/>
              </w:rPr>
            </w:pPr>
          </w:p>
        </w:tc>
        <w:tc>
          <w:tcPr>
            <w:tcW w:w="11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92"/>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Bridge loan 5</w:t>
            </w:r>
          </w:p>
        </w:tc>
        <w:tc>
          <w:tcPr>
            <w:tcW w:w="126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8"/>
              </w:rPr>
              <w:t>6/5/2025</w:t>
            </w:r>
          </w:p>
        </w:tc>
        <w:tc>
          <w:tcPr>
            <w:tcW w:w="1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(270,000)</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4"/>
        </w:trPr>
        <w:tc>
          <w:tcPr>
            <w:tcW w:w="2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0"/>
        </w:trPr>
        <w:tc>
          <w:tcPr>
            <w:tcW w:w="29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2,850,000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280,000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(673,500)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2,456,500</w:t>
            </w: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614,125</w:t>
            </w:r>
          </w:p>
        </w:tc>
      </w:tr>
      <w:tr>
        <w:trPr>
          <w:trHeight w:val="20"/>
        </w:trPr>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300" w:right="20" w:hanging="294"/>
        <w:spacing w:after="0" w:line="247" w:lineRule="auto"/>
        <w:tabs>
          <w:tab w:leader="none" w:pos="30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Bridge loans from this investor had an aggregate principal amount of $2,500,000. At the Closing of the Business Combination, the investor received a cash payment of $293,500, consisting of $250,000 in minimum 10% interest and $43,500 in principal repayment. In addition, the investor received 614,125 shares of Common Stock in exchange for $2,456,500 of combined principal and accrued interest, based on a per share price of $4.00.</w:t>
      </w:r>
    </w:p>
    <w:p>
      <w:pPr>
        <w:spacing w:after="0" w:line="152" w:lineRule="exact"/>
        <w:rPr>
          <w:sz w:val="20"/>
          <w:szCs w:val="20"/>
          <w:color w:val="auto"/>
        </w:rPr>
      </w:pPr>
    </w:p>
    <w:p>
      <w:pPr>
        <w:ind w:firstLine="576"/>
        <w:spacing w:after="0" w:line="259" w:lineRule="auto"/>
        <w:rPr>
          <w:sz w:val="20"/>
          <w:szCs w:val="20"/>
          <w:color w:val="auto"/>
        </w:rPr>
      </w:pPr>
      <w:r>
        <w:rPr>
          <w:rFonts w:ascii="Times New Roman" w:cs="Times New Roman" w:eastAsia="Times New Roman" w:hAnsi="Times New Roman"/>
          <w:sz w:val="16"/>
          <w:szCs w:val="16"/>
          <w:color w:val="auto"/>
        </w:rPr>
        <w:t>In connection with the bridge loan conversion, the Company derecognized a liability of $2,456,500 upon issuing 614,125 shares of Common Stock and recognized a total loss on debt extinguishment of $6,141,250, based on the fair value of the Common Stock at the Closing of $14.00 per share.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PIPE Investments</w:t>
      </w:r>
    </w:p>
    <w:p>
      <w:pPr>
        <w:sectPr>
          <w:pgSz w:w="11900" w:h="16840" w:orient="portrait"/>
          <w:cols w:equalWidth="0" w:num="1">
            <w:col w:w="10580"/>
          </w:cols>
          <w:pgMar w:left="660" w:top="566" w:right="660" w:bottom="198" w:gutter="0" w:footer="0" w:header="0"/>
        </w:sectPr>
      </w:pPr>
    </w:p>
    <w:bookmarkStart w:id="88" w:name="page89"/>
    <w:bookmarkEnd w:id="88"/>
    <w:p>
      <w:pPr>
        <w:jc w:val="both"/>
        <w:ind w:firstLine="576"/>
        <w:spacing w:after="0" w:line="243" w:lineRule="auto"/>
        <w:rPr>
          <w:sz w:val="20"/>
          <w:szCs w:val="20"/>
          <w:color w:val="auto"/>
        </w:rPr>
      </w:pPr>
      <w:r>
        <w:rPr>
          <w:rFonts w:ascii="Times New Roman" w:cs="Times New Roman" w:eastAsia="Times New Roman" w:hAnsi="Times New Roman"/>
          <w:sz w:val="16"/>
          <w:szCs w:val="16"/>
          <w:color w:val="auto"/>
        </w:rPr>
        <w:t>In connection with the Business Combination, the Company entered into a private investment in public equity (“PIPE”) financing agreement with certain accredited investors. Pursuant to the PIPE subscription agreements, these investors committed to purchase an aggregate of 2,709,411 shares of Common Stock at a price of $4.00 per share, for total gross proceeds of $10,837,643. The PIPE investment provided additional capital to support the Company’s post-closing operations and was consummated concurrently with the Closing of the Business Combination. Following table illustrates the breakdown of all PIPE investments.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PIPE</w:t>
            </w:r>
          </w:p>
        </w:tc>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Effective Date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7"/>
                <w:szCs w:val="17"/>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0" w:type="dxa"/>
            <w:vAlign w:val="bottom"/>
          </w:tcPr>
          <w:p>
            <w:pPr>
              <w:spacing w:after="0"/>
              <w:rPr>
                <w:sz w:val="1"/>
                <w:szCs w:val="1"/>
                <w:color w:val="auto"/>
              </w:rPr>
            </w:pPr>
          </w:p>
        </w:tc>
      </w:tr>
      <w:tr>
        <w:trPr>
          <w:trHeight w:val="180"/>
        </w:trPr>
        <w:tc>
          <w:tcPr>
            <w:tcW w:w="294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PIPE 1</w:t>
            </w:r>
          </w:p>
        </w:tc>
        <w:tc>
          <w:tcPr>
            <w:tcW w:w="3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6/16/2025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2,814,500</w:t>
            </w: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703,625</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PIPE 2</w:t>
            </w:r>
          </w:p>
        </w:tc>
        <w:tc>
          <w:tcPr>
            <w:tcW w:w="5100" w:type="dxa"/>
            <w:vAlign w:val="bottom"/>
            <w:gridSpan w:val="3"/>
          </w:tcPr>
          <w:p>
            <w:pPr>
              <w:jc w:val="center"/>
              <w:ind w:left="3862"/>
              <w:spacing w:after="0" w:line="180" w:lineRule="exact"/>
              <w:rPr>
                <w:sz w:val="20"/>
                <w:szCs w:val="20"/>
                <w:color w:val="auto"/>
              </w:rPr>
            </w:pPr>
            <w:r>
              <w:rPr>
                <w:rFonts w:ascii="Times New Roman" w:cs="Times New Roman" w:eastAsia="Times New Roman" w:hAnsi="Times New Roman"/>
                <w:sz w:val="16"/>
                <w:szCs w:val="16"/>
                <w:color w:val="auto"/>
                <w:w w:val="98"/>
              </w:rPr>
              <w:t>6/10/2025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1,000,000</w:t>
            </w:r>
          </w:p>
        </w:tc>
        <w:tc>
          <w:tcPr>
            <w:tcW w:w="134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212"/>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3</w:t>
            </w:r>
          </w:p>
        </w:tc>
        <w:tc>
          <w:tcPr>
            <w:tcW w:w="5100" w:type="dxa"/>
            <w:vAlign w:val="bottom"/>
            <w:tcBorders>
              <w:bottom w:val="single" w:sz="8" w:color="CCEEFF"/>
            </w:tcBorders>
            <w:gridSpan w:val="3"/>
            <w:shd w:val="clear" w:color="auto" w:fill="CCEEFF"/>
          </w:tcPr>
          <w:p>
            <w:pPr>
              <w:jc w:val="center"/>
              <w:ind w:left="3862"/>
              <w:spacing w:after="0"/>
              <w:rPr>
                <w:sz w:val="20"/>
                <w:szCs w:val="20"/>
                <w:color w:val="auto"/>
              </w:rPr>
            </w:pPr>
            <w:r>
              <w:rPr>
                <w:rFonts w:ascii="Times New Roman" w:cs="Times New Roman" w:eastAsia="Times New Roman" w:hAnsi="Times New Roman"/>
                <w:sz w:val="16"/>
                <w:szCs w:val="16"/>
                <w:color w:val="auto"/>
                <w:w w:val="98"/>
              </w:rPr>
              <w:t>6/17/2025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7,023,143</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1,755,786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PIPE</w:t>
            </w: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10,837,643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2,709,411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5100" w:type="dxa"/>
            <w:vAlign w:val="bottom"/>
            <w:gridSpan w:val="3"/>
            <w:vMerge w:val="restart"/>
          </w:tcPr>
          <w:p>
            <w:pPr>
              <w:ind w:left="2200"/>
              <w:spacing w:after="0"/>
              <w:rPr>
                <w:sz w:val="20"/>
                <w:szCs w:val="20"/>
                <w:color w:val="auto"/>
              </w:rPr>
            </w:pPr>
            <w:r>
              <w:rPr>
                <w:rFonts w:ascii="Times New Roman" w:cs="Times New Roman" w:eastAsia="Times New Roman" w:hAnsi="Times New Roman"/>
                <w:sz w:val="16"/>
                <w:szCs w:val="16"/>
                <w:color w:val="auto"/>
              </w:rPr>
              <w:t>F-15</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9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3"/>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4 - Restatement of Prior Period Financial Statements</w:t>
      </w:r>
    </w:p>
    <w:p>
      <w:pPr>
        <w:spacing w:after="0" w:line="178" w:lineRule="exact"/>
        <w:rPr>
          <w:sz w:val="20"/>
          <w:szCs w:val="20"/>
          <w:color w:val="auto"/>
        </w:rPr>
      </w:pPr>
    </w:p>
    <w:p>
      <w:pPr>
        <w:jc w:val="both"/>
        <w:ind w:firstLine="576"/>
        <w:spacing w:after="0" w:line="247" w:lineRule="auto"/>
        <w:rPr>
          <w:sz w:val="20"/>
          <w:szCs w:val="20"/>
          <w:color w:val="auto"/>
        </w:rPr>
      </w:pPr>
      <w:r>
        <w:rPr>
          <w:rFonts w:ascii="Times New Roman" w:cs="Times New Roman" w:eastAsia="Times New Roman" w:hAnsi="Times New Roman"/>
          <w:sz w:val="16"/>
          <w:szCs w:val="16"/>
          <w:color w:val="auto"/>
        </w:rPr>
        <w:t>For the six months ended June 30, 2025, the Company determined it had not appropriately reflected the fair value of the SAFE agreements as of June 30, 2024. This resulted in an understatement of liabilities and accumulated deficit as of June 30, 2024, and an understatement of change in fair value of SAFE agreements for the six months ended June 30, 2024.</w:t>
      </w:r>
    </w:p>
    <w:p>
      <w:pPr>
        <w:spacing w:after="0" w:line="150" w:lineRule="exact"/>
        <w:rPr>
          <w:sz w:val="20"/>
          <w:szCs w:val="20"/>
          <w:color w:val="auto"/>
        </w:rPr>
      </w:pPr>
    </w:p>
    <w:p>
      <w:pPr>
        <w:jc w:val="both"/>
        <w:ind w:right="20" w:firstLine="576"/>
        <w:spacing w:after="0" w:line="248" w:lineRule="auto"/>
        <w:rPr>
          <w:sz w:val="20"/>
          <w:szCs w:val="20"/>
          <w:color w:val="auto"/>
        </w:rPr>
      </w:pPr>
      <w:r>
        <w:rPr>
          <w:rFonts w:ascii="Times New Roman" w:cs="Times New Roman" w:eastAsia="Times New Roman" w:hAnsi="Times New Roman"/>
          <w:sz w:val="16"/>
          <w:szCs w:val="16"/>
          <w:color w:val="auto"/>
        </w:rPr>
        <w:t>Based on an analysis of FASB ASC, ASC 250-</w:t>
      </w:r>
      <w:r>
        <w:rPr>
          <w:rFonts w:ascii="Times New Roman" w:cs="Times New Roman" w:eastAsia="Times New Roman" w:hAnsi="Times New Roman"/>
          <w:sz w:val="16"/>
          <w:szCs w:val="16"/>
          <w:i w:val="1"/>
          <w:iCs w:val="1"/>
          <w:color w:val="auto"/>
        </w:rPr>
        <w:t>Accounting Changes and Error Corrections</w:t>
      </w:r>
      <w:r>
        <w:rPr>
          <w:rFonts w:ascii="Times New Roman" w:cs="Times New Roman" w:eastAsia="Times New Roman" w:hAnsi="Times New Roman"/>
          <w:sz w:val="16"/>
          <w:szCs w:val="16"/>
          <w:color w:val="auto"/>
        </w:rPr>
        <w:t xml:space="preserve">, Staff Accounting Bulletin 99, </w:t>
      </w:r>
      <w:r>
        <w:rPr>
          <w:rFonts w:ascii="Times New Roman" w:cs="Times New Roman" w:eastAsia="Times New Roman" w:hAnsi="Times New Roman"/>
          <w:sz w:val="16"/>
          <w:szCs w:val="16"/>
          <w:i w:val="1"/>
          <w:iCs w:val="1"/>
          <w:color w:val="auto"/>
        </w:rPr>
        <w:t>Materiality, and Staff Accounting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Bulletin 108, Considering the Effects of Prior Year Misstatements when Quantifying Misstatements in Current Year Financial Statements </w:t>
      </w:r>
      <w:r>
        <w:rPr>
          <w:rFonts w:ascii="Times New Roman" w:cs="Times New Roman" w:eastAsia="Times New Roman" w:hAnsi="Times New Roman"/>
          <w:sz w:val="16"/>
          <w:szCs w:val="16"/>
          <w:color w:val="auto"/>
        </w:rPr>
        <w:t>, the Company determined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these errors were material to the previously issued interim financial statements and as such a restatement was necessary.</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effect of the adjustment within the Company’s statement of operations for the six months ended June 30, 2024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0" w:type="dxa"/>
            <w:vAlign w:val="bottom"/>
            <w:gridSpan w:val="8"/>
          </w:tcPr>
          <w:p>
            <w:pPr>
              <w:ind w:left="66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r>
      <w:tr>
        <w:trPr>
          <w:trHeight w:val="165"/>
        </w:trPr>
        <w:tc>
          <w:tcPr>
            <w:tcW w:w="68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w w:val="98"/>
              </w:rPr>
              <w:t>As previously</w:t>
            </w: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9"/>
        </w:trPr>
        <w:tc>
          <w:tcPr>
            <w:tcW w:w="6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3"/>
              </w:rPr>
              <w:t>reported</w:t>
            </w:r>
          </w:p>
        </w:tc>
        <w:tc>
          <w:tcPr>
            <w:tcW w:w="12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8"/>
              </w:rPr>
              <w:t>Adjustment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restated</w:t>
            </w:r>
          </w:p>
        </w:tc>
      </w:tr>
      <w:tr>
        <w:trPr>
          <w:trHeight w:val="180"/>
        </w:trPr>
        <w:tc>
          <w:tcPr>
            <w:tcW w:w="68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Change in fair value of SAFE agreements</w:t>
            </w:r>
          </w:p>
        </w:tc>
        <w:tc>
          <w:tcPr>
            <w:tcW w:w="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424,721</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13,037,989</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13,462,710</w:t>
            </w:r>
          </w:p>
        </w:tc>
        <w:tc>
          <w:tcPr>
            <w:tcW w:w="80" w:type="dxa"/>
            <w:vAlign w:val="bottom"/>
            <w:tcBorders>
              <w:top w:val="single" w:sz="8" w:color="CCEEFF"/>
            </w:tcBorders>
            <w:shd w:val="clear" w:color="auto" w:fill="CCEEFF"/>
          </w:tcPr>
          <w:p>
            <w:pPr>
              <w:spacing w:after="0"/>
              <w:rPr>
                <w:sz w:val="15"/>
                <w:szCs w:val="15"/>
                <w:color w:val="auto"/>
              </w:rPr>
            </w:pPr>
          </w:p>
        </w:tc>
      </w:tr>
      <w:tr>
        <w:trPr>
          <w:trHeight w:val="180"/>
        </w:trPr>
        <w:tc>
          <w:tcPr>
            <w:tcW w:w="6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3,154,011</w:t>
            </w:r>
          </w:p>
        </w:tc>
        <w:tc>
          <w:tcPr>
            <w:tcW w:w="20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13,037,989</w:t>
            </w:r>
          </w:p>
        </w:tc>
        <w:tc>
          <w:tcPr>
            <w:tcW w:w="3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16,192,000</w:t>
            </w:r>
          </w:p>
        </w:tc>
        <w:tc>
          <w:tcPr>
            <w:tcW w:w="80" w:type="dxa"/>
            <w:vAlign w:val="bottom"/>
          </w:tcPr>
          <w:p>
            <w:pPr>
              <w:spacing w:after="0"/>
              <w:rPr>
                <w:sz w:val="15"/>
                <w:szCs w:val="15"/>
                <w:color w:val="auto"/>
              </w:rPr>
            </w:pPr>
          </w:p>
        </w:tc>
      </w:tr>
      <w:tr>
        <w:trPr>
          <w:trHeight w:val="180"/>
        </w:trPr>
        <w:tc>
          <w:tcPr>
            <w:tcW w:w="6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loss per share, basic and diluted</w:t>
            </w: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0.03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1.32</w:t>
            </w:r>
          </w:p>
        </w:tc>
        <w:tc>
          <w:tcPr>
            <w:tcW w:w="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1.35</w:t>
            </w:r>
          </w:p>
        </w:tc>
        <w:tc>
          <w:tcPr>
            <w:tcW w:w="80" w:type="dxa"/>
            <w:vAlign w:val="bottom"/>
            <w:shd w:val="clear" w:color="auto" w:fill="CCEEFF"/>
          </w:tcPr>
          <w:p>
            <w:pPr>
              <w:spacing w:after="0"/>
              <w:rPr>
                <w:sz w:val="15"/>
                <w:szCs w:val="15"/>
                <w:color w:val="auto"/>
              </w:rPr>
            </w:pPr>
          </w:p>
        </w:tc>
      </w:tr>
    </w:tbl>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effect of the adjustment within the Company’s statement of shareholders’ deficit for the six months ended June 30, 2024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0" w:type="dxa"/>
            <w:vAlign w:val="bottom"/>
            <w:gridSpan w:val="8"/>
          </w:tcPr>
          <w:p>
            <w:pPr>
              <w:ind w:left="66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r>
      <w:tr>
        <w:trPr>
          <w:trHeight w:val="165"/>
        </w:trPr>
        <w:tc>
          <w:tcPr>
            <w:tcW w:w="68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2"/>
              <w:spacing w:after="0" w:line="165" w:lineRule="exact"/>
              <w:rPr>
                <w:sz w:val="20"/>
                <w:szCs w:val="20"/>
                <w:color w:val="auto"/>
              </w:rPr>
            </w:pPr>
            <w:r>
              <w:rPr>
                <w:rFonts w:ascii="Times New Roman" w:cs="Times New Roman" w:eastAsia="Times New Roman" w:hAnsi="Times New Roman"/>
                <w:sz w:val="16"/>
                <w:szCs w:val="16"/>
                <w:b w:val="1"/>
                <w:bCs w:val="1"/>
                <w:color w:val="auto"/>
                <w:w w:val="96"/>
              </w:rPr>
              <w:t>As previously</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9"/>
        </w:trPr>
        <w:tc>
          <w:tcPr>
            <w:tcW w:w="6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8"/>
              </w:rPr>
              <w:t>Adjustment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restated</w:t>
            </w:r>
          </w:p>
        </w:tc>
      </w:tr>
      <w:tr>
        <w:trPr>
          <w:trHeight w:val="180"/>
        </w:trPr>
        <w:tc>
          <w:tcPr>
            <w:tcW w:w="68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loss</w:t>
            </w:r>
          </w:p>
        </w:tc>
        <w:tc>
          <w:tcPr>
            <w:tcW w:w="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3,154,011</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13,037,989</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16,192,000</w:t>
            </w:r>
          </w:p>
        </w:tc>
        <w:tc>
          <w:tcPr>
            <w:tcW w:w="80" w:type="dxa"/>
            <w:vAlign w:val="bottom"/>
            <w:tcBorders>
              <w:top w:val="single" w:sz="8" w:color="CCEEFF"/>
            </w:tcBorders>
            <w:shd w:val="clear" w:color="auto" w:fill="CCEEFF"/>
          </w:tcPr>
          <w:p>
            <w:pPr>
              <w:spacing w:after="0"/>
              <w:rPr>
                <w:sz w:val="15"/>
                <w:szCs w:val="15"/>
                <w:color w:val="auto"/>
              </w:rPr>
            </w:pPr>
          </w:p>
        </w:tc>
      </w:tr>
      <w:tr>
        <w:trPr>
          <w:trHeight w:val="180"/>
        </w:trPr>
        <w:tc>
          <w:tcPr>
            <w:tcW w:w="6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Accumulated deficit</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6,349,844</w:t>
            </w:r>
          </w:p>
        </w:tc>
        <w:tc>
          <w:tcPr>
            <w:tcW w:w="3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13,037,989</w:t>
            </w:r>
          </w:p>
        </w:tc>
        <w:tc>
          <w:tcPr>
            <w:tcW w:w="3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19,387,833</w:t>
            </w:r>
          </w:p>
        </w:tc>
        <w:tc>
          <w:tcPr>
            <w:tcW w:w="80" w:type="dxa"/>
            <w:vAlign w:val="bottom"/>
          </w:tcPr>
          <w:p>
            <w:pPr>
              <w:spacing w:after="0"/>
              <w:rPr>
                <w:sz w:val="15"/>
                <w:szCs w:val="15"/>
                <w:color w:val="auto"/>
              </w:rPr>
            </w:pPr>
          </w:p>
        </w:tc>
      </w:tr>
      <w:tr>
        <w:trPr>
          <w:trHeight w:val="180"/>
        </w:trPr>
        <w:tc>
          <w:tcPr>
            <w:tcW w:w="6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Total shareholders’ deficit</w:t>
            </w: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5,935,041</w:t>
            </w:r>
          </w:p>
        </w:tc>
        <w:tc>
          <w:tcPr>
            <w:tcW w:w="3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13,037,989</w:t>
            </w:r>
          </w:p>
        </w:tc>
        <w:tc>
          <w:tcPr>
            <w:tcW w:w="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18,973,030</w:t>
            </w:r>
          </w:p>
        </w:tc>
        <w:tc>
          <w:tcPr>
            <w:tcW w:w="80" w:type="dxa"/>
            <w:vAlign w:val="bottom"/>
            <w:shd w:val="clear" w:color="auto" w:fill="CCEEFF"/>
          </w:tcPr>
          <w:p>
            <w:pPr>
              <w:spacing w:after="0"/>
              <w:rPr>
                <w:sz w:val="15"/>
                <w:szCs w:val="15"/>
                <w:color w:val="auto"/>
              </w:rPr>
            </w:pPr>
          </w:p>
        </w:tc>
      </w:tr>
    </w:tbl>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effect of the adjustment within the Company’s statement of cash flow for the six months ended June 30, 2024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8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0" w:type="dxa"/>
            <w:vAlign w:val="bottom"/>
            <w:gridSpan w:val="8"/>
          </w:tcPr>
          <w:p>
            <w:pPr>
              <w:ind w:left="660"/>
              <w:spacing w:after="0"/>
              <w:rPr>
                <w:sz w:val="20"/>
                <w:szCs w:val="20"/>
                <w:color w:val="auto"/>
              </w:rPr>
            </w:pPr>
            <w:r>
              <w:rPr>
                <w:rFonts w:ascii="Times New Roman" w:cs="Times New Roman" w:eastAsia="Times New Roman" w:hAnsi="Times New Roman"/>
                <w:sz w:val="16"/>
                <w:szCs w:val="16"/>
                <w:b w:val="1"/>
                <w:bCs w:val="1"/>
                <w:color w:val="auto"/>
              </w:rPr>
              <w:t>Six-months ended June 30, 2024</w:t>
            </w:r>
          </w:p>
        </w:tc>
      </w:tr>
      <w:tr>
        <w:trPr>
          <w:trHeight w:val="165"/>
        </w:trPr>
        <w:tc>
          <w:tcPr>
            <w:tcW w:w="38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w w:val="98"/>
              </w:rPr>
              <w:t>As previously</w:t>
            </w: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9"/>
        </w:trPr>
        <w:tc>
          <w:tcPr>
            <w:tcW w:w="38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3"/>
              </w:rPr>
              <w:t>reported</w:t>
            </w:r>
          </w:p>
        </w:tc>
        <w:tc>
          <w:tcPr>
            <w:tcW w:w="12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8"/>
              </w:rPr>
              <w:t>Adjustment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restated</w:t>
            </w:r>
          </w:p>
        </w:tc>
      </w:tr>
      <w:tr>
        <w:trPr>
          <w:trHeight w:val="180"/>
        </w:trPr>
        <w:tc>
          <w:tcPr>
            <w:tcW w:w="38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loss</w:t>
            </w:r>
          </w:p>
        </w:tc>
        <w:tc>
          <w:tcPr>
            <w:tcW w:w="30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3,154,011</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13,037,989</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16,192,000</w:t>
            </w:r>
          </w:p>
        </w:tc>
        <w:tc>
          <w:tcPr>
            <w:tcW w:w="80" w:type="dxa"/>
            <w:vAlign w:val="bottom"/>
            <w:tcBorders>
              <w:top w:val="single" w:sz="8" w:color="CCEEFF"/>
            </w:tcBorders>
            <w:shd w:val="clear" w:color="auto" w:fill="CCEEFF"/>
          </w:tcPr>
          <w:p>
            <w:pPr>
              <w:spacing w:after="0"/>
              <w:rPr>
                <w:sz w:val="15"/>
                <w:szCs w:val="15"/>
                <w:color w:val="auto"/>
              </w:rPr>
            </w:pPr>
          </w:p>
        </w:tc>
      </w:tr>
      <w:tr>
        <w:trPr>
          <w:trHeight w:val="203"/>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SAFE agreements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424,721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13,037,989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13,462,710</w:t>
            </w:r>
          </w:p>
        </w:tc>
        <w:tc>
          <w:tcPr>
            <w:tcW w:w="80" w:type="dxa"/>
            <w:vAlign w:val="bottom"/>
          </w:tcPr>
          <w:p>
            <w:pPr>
              <w:spacing w:after="0"/>
              <w:rPr>
                <w:sz w:val="17"/>
                <w:szCs w:val="17"/>
                <w:color w:val="auto"/>
              </w:rPr>
            </w:pPr>
          </w:p>
        </w:tc>
      </w:tr>
      <w:tr>
        <w:trPr>
          <w:trHeight w:val="533"/>
        </w:trPr>
        <w:tc>
          <w:tcPr>
            <w:tcW w:w="38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2"/>
          </w:tcPr>
          <w:p>
            <w:pPr>
              <w:jc w:val="right"/>
              <w:ind w:right="1442"/>
              <w:spacing w:after="0"/>
              <w:rPr>
                <w:sz w:val="20"/>
                <w:szCs w:val="20"/>
                <w:color w:val="auto"/>
              </w:rPr>
            </w:pPr>
            <w:r>
              <w:rPr>
                <w:rFonts w:ascii="Times New Roman" w:cs="Times New Roman" w:eastAsia="Times New Roman" w:hAnsi="Times New Roman"/>
                <w:sz w:val="16"/>
                <w:szCs w:val="16"/>
                <w:color w:val="auto"/>
              </w:rPr>
              <w:t>F-16</w:t>
            </w: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576"/>
        <w:spacing w:after="0" w:line="243" w:lineRule="auto"/>
        <w:rPr>
          <w:sz w:val="20"/>
          <w:szCs w:val="20"/>
          <w:color w:val="auto"/>
        </w:rPr>
      </w:pPr>
      <w:r>
        <w:rPr>
          <w:rFonts w:ascii="Times New Roman" w:cs="Times New Roman" w:eastAsia="Times New Roman" w:hAnsi="Times New Roman"/>
          <w:sz w:val="16"/>
          <w:szCs w:val="16"/>
          <w:color w:val="auto"/>
        </w:rPr>
        <w:t>The Company also restated cost of goods sold for the three months ended March 31, 2025 to general and administrative expenses, research and development expenses, and sales and marketing expenses based on the nature of the underlying costs. These restatement had no impact on total operating expenses, net loss, or shareholders’ equity (deficit) for any period presented. The effect of the adjustment within the Company’s statement of operations for the three months ended March 31, 2025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0" w:type="dxa"/>
            <w:vAlign w:val="bottom"/>
            <w:gridSpan w:val="8"/>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Three-months ended March 31, 2025</w:t>
            </w:r>
          </w:p>
        </w:tc>
      </w:tr>
      <w:tr>
        <w:trPr>
          <w:trHeight w:val="165"/>
        </w:trPr>
        <w:tc>
          <w:tcPr>
            <w:tcW w:w="68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241"/>
              <w:spacing w:after="0" w:line="165" w:lineRule="exact"/>
              <w:rPr>
                <w:sz w:val="20"/>
                <w:szCs w:val="20"/>
                <w:color w:val="auto"/>
              </w:rPr>
            </w:pPr>
            <w:r>
              <w:rPr>
                <w:rFonts w:ascii="Times New Roman" w:cs="Times New Roman" w:eastAsia="Times New Roman" w:hAnsi="Times New Roman"/>
                <w:sz w:val="16"/>
                <w:szCs w:val="16"/>
                <w:b w:val="1"/>
                <w:bCs w:val="1"/>
                <w:color w:val="auto"/>
                <w:w w:val="98"/>
              </w:rPr>
              <w:t>As previously</w:t>
            </w:r>
          </w:p>
        </w:tc>
        <w:tc>
          <w:tcPr>
            <w:tcW w:w="10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9"/>
        </w:trPr>
        <w:tc>
          <w:tcPr>
            <w:tcW w:w="6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41"/>
              <w:spacing w:after="0"/>
              <w:rPr>
                <w:sz w:val="20"/>
                <w:szCs w:val="20"/>
                <w:color w:val="auto"/>
              </w:rPr>
            </w:pPr>
            <w:r>
              <w:rPr>
                <w:rFonts w:ascii="Times New Roman" w:cs="Times New Roman" w:eastAsia="Times New Roman" w:hAnsi="Times New Roman"/>
                <w:sz w:val="16"/>
                <w:szCs w:val="16"/>
                <w:b w:val="1"/>
                <w:bCs w:val="1"/>
                <w:color w:val="auto"/>
                <w:w w:val="93"/>
              </w:rPr>
              <w:t>reported</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98"/>
              </w:rPr>
              <w:t>As restated</w:t>
            </w:r>
          </w:p>
        </w:tc>
      </w:tr>
      <w:tr>
        <w:trPr>
          <w:trHeight w:val="180"/>
        </w:trPr>
        <w:tc>
          <w:tcPr>
            <w:tcW w:w="68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Revenue</w:t>
            </w:r>
          </w:p>
        </w:tc>
        <w:tc>
          <w:tcPr>
            <w:tcW w:w="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352,498</w:t>
            </w:r>
          </w:p>
        </w:tc>
        <w:tc>
          <w:tcPr>
            <w:tcW w:w="2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352,498</w:t>
            </w:r>
          </w:p>
        </w:tc>
        <w:tc>
          <w:tcPr>
            <w:tcW w:w="80" w:type="dxa"/>
            <w:vAlign w:val="bottom"/>
            <w:tcBorders>
              <w:top w:val="single" w:sz="8" w:color="CCEEFF"/>
            </w:tcBorders>
            <w:shd w:val="clear" w:color="auto" w:fill="CCEEFF"/>
          </w:tcPr>
          <w:p>
            <w:pPr>
              <w:spacing w:after="0"/>
              <w:rPr>
                <w:sz w:val="15"/>
                <w:szCs w:val="15"/>
                <w:color w:val="auto"/>
              </w:rPr>
            </w:pPr>
          </w:p>
        </w:tc>
      </w:tr>
      <w:tr>
        <w:trPr>
          <w:trHeight w:val="196"/>
        </w:trPr>
        <w:tc>
          <w:tcPr>
            <w:tcW w:w="6880" w:type="dxa"/>
            <w:vAlign w:val="bottom"/>
          </w:tcPr>
          <w:p>
            <w:pPr>
              <w:spacing w:after="0"/>
              <w:rPr>
                <w:sz w:val="20"/>
                <w:szCs w:val="20"/>
                <w:color w:val="auto"/>
              </w:rPr>
            </w:pPr>
            <w:r>
              <w:rPr>
                <w:rFonts w:ascii="Times New Roman" w:cs="Times New Roman" w:eastAsia="Times New Roman" w:hAnsi="Times New Roman"/>
                <w:sz w:val="16"/>
                <w:szCs w:val="16"/>
                <w:color w:val="auto"/>
              </w:rPr>
              <w:t>Cost of good sold</w:t>
            </w:r>
          </w:p>
        </w:tc>
        <w:tc>
          <w:tcPr>
            <w:tcW w:w="80" w:type="dxa"/>
            <w:vAlign w:val="bottom"/>
          </w:tcPr>
          <w:p>
            <w:pPr>
              <w:spacing w:after="0"/>
              <w:rPr>
                <w:sz w:val="17"/>
                <w:szCs w:val="17"/>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327,238</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(310,160)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17,078</w:t>
            </w:r>
          </w:p>
        </w:tc>
        <w:tc>
          <w:tcPr>
            <w:tcW w:w="80" w:type="dxa"/>
            <w:vAlign w:val="bottom"/>
          </w:tcPr>
          <w:p>
            <w:pPr>
              <w:spacing w:after="0"/>
              <w:rPr>
                <w:sz w:val="17"/>
                <w:szCs w:val="17"/>
                <w:color w:val="auto"/>
              </w:rPr>
            </w:pPr>
          </w:p>
        </w:tc>
      </w:tr>
      <w:tr>
        <w:trPr>
          <w:trHeight w:val="180"/>
        </w:trPr>
        <w:tc>
          <w:tcPr>
            <w:tcW w:w="6880" w:type="dxa"/>
            <w:vAlign w:val="bottom"/>
            <w:tcBorders>
              <w:top w:val="single" w:sz="8" w:color="CCEEFF"/>
            </w:tcBorders>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Gross profit</w:t>
            </w:r>
          </w:p>
        </w:tc>
        <w:tc>
          <w:tcPr>
            <w:tcW w:w="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25,260</w:t>
            </w:r>
          </w:p>
        </w:tc>
        <w:tc>
          <w:tcPr>
            <w:tcW w:w="2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310,160</w:t>
            </w: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335,420</w:t>
            </w:r>
          </w:p>
        </w:tc>
        <w:tc>
          <w:tcPr>
            <w:tcW w:w="80" w:type="dxa"/>
            <w:vAlign w:val="bottom"/>
            <w:tcBorders>
              <w:top w:val="single" w:sz="8" w:color="CCEEFF"/>
            </w:tcBorders>
            <w:shd w:val="clear" w:color="auto" w:fill="CCEEFF"/>
          </w:tcPr>
          <w:p>
            <w:pPr>
              <w:spacing w:after="0"/>
              <w:rPr>
                <w:sz w:val="15"/>
                <w:szCs w:val="15"/>
                <w:color w:val="auto"/>
              </w:rPr>
            </w:pPr>
          </w:p>
        </w:tc>
      </w:tr>
      <w:tr>
        <w:trPr>
          <w:trHeight w:val="180"/>
        </w:trPr>
        <w:tc>
          <w:tcPr>
            <w:tcW w:w="6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 expenses</w:t>
            </w:r>
          </w:p>
        </w:tc>
        <w:tc>
          <w:tcPr>
            <w:tcW w:w="80" w:type="dxa"/>
            <w:vAlign w:val="bottom"/>
          </w:tcPr>
          <w:p>
            <w:pPr>
              <w:spacing w:after="0"/>
              <w:rPr>
                <w:sz w:val="15"/>
                <w:szCs w:val="15"/>
                <w:color w:val="auto"/>
              </w:rPr>
            </w:pPr>
          </w:p>
        </w:tc>
        <w:tc>
          <w:tcPr>
            <w:tcW w:w="1200" w:type="dxa"/>
            <w:vAlign w:val="bottom"/>
            <w:gridSpan w:val="2"/>
          </w:tcPr>
          <w:p>
            <w:pPr>
              <w:jc w:val="right"/>
              <w:ind w:right="161"/>
              <w:spacing w:after="0" w:line="180" w:lineRule="exact"/>
              <w:rPr>
                <w:sz w:val="20"/>
                <w:szCs w:val="20"/>
                <w:color w:val="auto"/>
              </w:rPr>
            </w:pPr>
            <w:r>
              <w:rPr>
                <w:rFonts w:ascii="Times New Roman" w:cs="Times New Roman" w:eastAsia="Times New Roman" w:hAnsi="Times New Roman"/>
                <w:sz w:val="16"/>
                <w:szCs w:val="16"/>
                <w:color w:val="auto"/>
              </w:rPr>
              <w:t>748,513</w:t>
            </w:r>
          </w:p>
        </w:tc>
        <w:tc>
          <w:tcPr>
            <w:tcW w:w="12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(130,782)</w:t>
            </w:r>
          </w:p>
        </w:tc>
        <w:tc>
          <w:tcPr>
            <w:tcW w:w="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617,731</w:t>
            </w:r>
          </w:p>
        </w:tc>
      </w:tr>
      <w:tr>
        <w:trPr>
          <w:trHeight w:val="180"/>
        </w:trPr>
        <w:tc>
          <w:tcPr>
            <w:tcW w:w="6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Research and development expenses</w:t>
            </w: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1"/>
              <w:spacing w:after="0" w:line="180" w:lineRule="exact"/>
              <w:rPr>
                <w:sz w:val="20"/>
                <w:szCs w:val="20"/>
                <w:color w:val="auto"/>
              </w:rPr>
            </w:pPr>
            <w:r>
              <w:rPr>
                <w:rFonts w:ascii="Times New Roman" w:cs="Times New Roman" w:eastAsia="Times New Roman" w:hAnsi="Times New Roman"/>
                <w:sz w:val="16"/>
                <w:szCs w:val="16"/>
                <w:color w:val="auto"/>
              </w:rPr>
              <w:t>484,482</w:t>
            </w:r>
          </w:p>
        </w:tc>
        <w:tc>
          <w:tcPr>
            <w:tcW w:w="120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(90,618)</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393,864</w:t>
            </w:r>
          </w:p>
        </w:tc>
      </w:tr>
      <w:tr>
        <w:trPr>
          <w:trHeight w:val="180"/>
        </w:trPr>
        <w:tc>
          <w:tcPr>
            <w:tcW w:w="6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Sales and marketing</w:t>
            </w:r>
          </w:p>
        </w:tc>
        <w:tc>
          <w:tcPr>
            <w:tcW w:w="80" w:type="dxa"/>
            <w:vAlign w:val="bottom"/>
          </w:tcPr>
          <w:p>
            <w:pPr>
              <w:spacing w:after="0"/>
              <w:rPr>
                <w:sz w:val="15"/>
                <w:szCs w:val="15"/>
                <w:color w:val="auto"/>
              </w:rPr>
            </w:pPr>
          </w:p>
        </w:tc>
        <w:tc>
          <w:tcPr>
            <w:tcW w:w="1200" w:type="dxa"/>
            <w:vAlign w:val="bottom"/>
            <w:gridSpan w:val="2"/>
          </w:tcPr>
          <w:p>
            <w:pPr>
              <w:jc w:val="right"/>
              <w:ind w:right="161"/>
              <w:spacing w:after="0" w:line="180" w:lineRule="exact"/>
              <w:rPr>
                <w:sz w:val="20"/>
                <w:szCs w:val="20"/>
                <w:color w:val="auto"/>
              </w:rPr>
            </w:pPr>
            <w:r>
              <w:rPr>
                <w:rFonts w:ascii="Times New Roman" w:cs="Times New Roman" w:eastAsia="Times New Roman" w:hAnsi="Times New Roman"/>
                <w:sz w:val="16"/>
                <w:szCs w:val="16"/>
                <w:color w:val="auto"/>
              </w:rPr>
              <w:t>528,526</w:t>
            </w:r>
          </w:p>
        </w:tc>
        <w:tc>
          <w:tcPr>
            <w:tcW w:w="12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154,223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682,749</w:t>
            </w:r>
          </w:p>
        </w:tc>
      </w:tr>
      <w:tr>
        <w:trPr>
          <w:trHeight w:val="212"/>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377,337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377,337</w:t>
            </w:r>
          </w:p>
        </w:tc>
      </w:tr>
      <w:tr>
        <w:trPr>
          <w:trHeight w:val="168"/>
        </w:trPr>
        <w:tc>
          <w:tcPr>
            <w:tcW w:w="6880" w:type="dxa"/>
            <w:vAlign w:val="bottom"/>
            <w:tcBorders>
              <w:top w:val="single" w:sz="8" w:color="CCEEFF"/>
              <w:bottom w:val="single" w:sz="8" w:color="CCEEFF"/>
            </w:tcBorders>
          </w:tcPr>
          <w:p>
            <w:pPr>
              <w:ind w:left="160"/>
              <w:spacing w:after="0" w:line="165" w:lineRule="exact"/>
              <w:rPr>
                <w:sz w:val="20"/>
                <w:szCs w:val="20"/>
                <w:color w:val="auto"/>
              </w:rPr>
            </w:pPr>
            <w:r>
              <w:rPr>
                <w:rFonts w:ascii="Times New Roman" w:cs="Times New Roman" w:eastAsia="Times New Roman" w:hAnsi="Times New Roman"/>
                <w:sz w:val="16"/>
                <w:szCs w:val="16"/>
                <w:color w:val="auto"/>
              </w:rPr>
              <w:t>Total operating expenses</w:t>
            </w:r>
          </w:p>
        </w:tc>
        <w:tc>
          <w:tcPr>
            <w:tcW w:w="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1,761,521</w:t>
            </w:r>
          </w:p>
        </w:tc>
        <w:tc>
          <w:tcPr>
            <w:tcW w:w="200" w:type="dxa"/>
            <w:vAlign w:val="bottom"/>
            <w:tcBorders>
              <w:top w:val="single" w:sz="8" w:color="CCEEFF"/>
              <w:bottom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310,160</w:t>
            </w:r>
          </w:p>
        </w:tc>
        <w:tc>
          <w:tcPr>
            <w:tcW w:w="12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2,071,681</w:t>
            </w:r>
          </w:p>
        </w:tc>
        <w:tc>
          <w:tcPr>
            <w:tcW w:w="80" w:type="dxa"/>
            <w:vAlign w:val="bottom"/>
            <w:tcBorders>
              <w:top w:val="single" w:sz="8" w:color="CCEEFF"/>
              <w:bottom w:val="single" w:sz="8" w:color="CCEEFF"/>
            </w:tcBorders>
          </w:tcPr>
          <w:p>
            <w:pPr>
              <w:spacing w:after="0"/>
              <w:rPr>
                <w:sz w:val="14"/>
                <w:szCs w:val="14"/>
                <w:color w:val="auto"/>
              </w:rPr>
            </w:pPr>
          </w:p>
        </w:tc>
      </w:tr>
      <w:tr>
        <w:trPr>
          <w:trHeight w:val="208"/>
        </w:trPr>
        <w:tc>
          <w:tcPr>
            <w:tcW w:w="6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Loss from operations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(1,736,261</w:t>
            </w:r>
          </w:p>
        </w:tc>
        <w:tc>
          <w:tcPr>
            <w:tcW w:w="2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(1,736,261</w:t>
            </w:r>
          </w:p>
        </w:tc>
        <w:tc>
          <w:tcPr>
            <w:tcW w:w="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5 - Concentrations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Concentration of Credit Risk Arising From Cash Deposits in Excess of Insured Limits</w:t>
      </w:r>
    </w:p>
    <w:p>
      <w:pPr>
        <w:spacing w:after="0" w:line="180" w:lineRule="exact"/>
        <w:rPr>
          <w:sz w:val="20"/>
          <w:szCs w:val="20"/>
          <w:color w:val="auto"/>
        </w:rPr>
      </w:pPr>
    </w:p>
    <w:p>
      <w:pPr>
        <w:jc w:val="both"/>
        <w:ind w:right="20" w:firstLine="576"/>
        <w:spacing w:after="0" w:line="331" w:lineRule="auto"/>
        <w:rPr>
          <w:sz w:val="20"/>
          <w:szCs w:val="20"/>
          <w:color w:val="auto"/>
        </w:rPr>
      </w:pPr>
      <w:r>
        <w:rPr>
          <w:rFonts w:ascii="Times New Roman" w:cs="Times New Roman" w:eastAsia="Times New Roman" w:hAnsi="Times New Roman"/>
          <w:sz w:val="14"/>
          <w:szCs w:val="14"/>
          <w:color w:val="auto"/>
        </w:rPr>
        <w:t>The Company maintains a cash balance with a U.S. financial institution, in which the balance exceeds the FDIC insured limit of $250,000. As of June 30, 2025 and December 31, 2024, the Company’s cash balance held at the financial institution exceeded the FDIC limit. The Company has not experienced losses on this account</w:t>
      </w:r>
    </w:p>
    <w:p>
      <w:pPr>
        <w:sectPr>
          <w:pgSz w:w="11900" w:h="16840" w:orient="portrait"/>
          <w:cols w:equalWidth="0" w:num="1">
            <w:col w:w="10580"/>
          </w:cols>
          <w:pgMar w:left="660" w:top="557" w:right="660" w:bottom="102"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color w:val="auto"/>
        </w:rPr>
        <w:t>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Significant Customers</w:t>
      </w:r>
    </w:p>
    <w:p>
      <w:pPr>
        <w:spacing w:after="0" w:line="18" w:lineRule="exact"/>
        <w:rPr>
          <w:sz w:val="20"/>
          <w:szCs w:val="20"/>
          <w:color w:val="auto"/>
        </w:rPr>
      </w:pPr>
    </w:p>
    <w:p>
      <w:pPr>
        <w:jc w:val="both"/>
        <w:ind w:firstLine="612"/>
        <w:spacing w:after="0" w:line="237" w:lineRule="auto"/>
        <w:rPr>
          <w:sz w:val="20"/>
          <w:szCs w:val="20"/>
          <w:color w:val="auto"/>
        </w:rPr>
      </w:pPr>
      <w:r>
        <w:rPr>
          <w:rFonts w:ascii="Times New Roman" w:cs="Times New Roman" w:eastAsia="Times New Roman" w:hAnsi="Times New Roman"/>
          <w:sz w:val="16"/>
          <w:szCs w:val="16"/>
          <w:color w:val="auto"/>
        </w:rPr>
        <w:t>A significant customer is defined as one that accounts for at least 10% of the Company’s revenue. For the three months ended June 30, 2025 and 2024, the Company had sales to two customers and three customers, respectively, which accounted for approximately 96% and 100% of total revenues for those periods. For the six months ended June 30, 2025 and 2024, sales to one customer comprised approximately 94% and 92% of total revenues,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6 – Property and Equipment</w:t>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Property and equipment, net, as of June 30, 2025 and December 31, 2024,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Estimated</w:t>
            </w:r>
          </w:p>
        </w:tc>
        <w:tc>
          <w:tcPr>
            <w:tcW w:w="120" w:type="dxa"/>
            <w:vAlign w:val="bottom"/>
          </w:tcPr>
          <w:p>
            <w:pPr>
              <w:spacing w:after="0"/>
              <w:rPr>
                <w:sz w:val="16"/>
                <w:szCs w:val="16"/>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99"/>
        </w:trPr>
        <w:tc>
          <w:tcPr>
            <w:tcW w:w="68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useful life</w:t>
            </w:r>
          </w:p>
        </w:tc>
        <w:tc>
          <w:tcPr>
            <w:tcW w:w="1180" w:type="dxa"/>
            <w:vAlign w:val="bottom"/>
            <w:gridSpan w:val="2"/>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106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8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Equipment</w:t>
            </w:r>
          </w:p>
        </w:tc>
        <w:tc>
          <w:tcPr>
            <w:tcW w:w="116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5 years</w:t>
            </w:r>
          </w:p>
        </w:tc>
        <w:tc>
          <w:tcPr>
            <w:tcW w:w="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118,486</w:t>
            </w: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11,286</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88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(5,101)</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6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880" w:type="dxa"/>
            <w:vAlign w:val="bottom"/>
            <w:vMerge w:val="continue"/>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113,385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180" w:type="dxa"/>
            <w:vAlign w:val="bottom"/>
            <w:gridSpan w:val="4"/>
          </w:tcPr>
          <w:p>
            <w:pPr>
              <w:jc w:val="center"/>
              <w:ind w:left="69"/>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199"/>
        </w:trPr>
        <w:tc>
          <w:tcPr>
            <w:tcW w:w="32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462"/>
              <w:spacing w:after="0"/>
              <w:rPr>
                <w:sz w:val="20"/>
                <w:szCs w:val="20"/>
                <w:color w:val="auto"/>
              </w:rPr>
            </w:pPr>
            <w:r>
              <w:rPr>
                <w:rFonts w:ascii="Times New Roman" w:cs="Times New Roman" w:eastAsia="Times New Roman" w:hAnsi="Times New Roman"/>
                <w:sz w:val="16"/>
                <w:szCs w:val="16"/>
                <w:b w:val="1"/>
                <w:bCs w:val="1"/>
                <w:color w:val="auto"/>
                <w:w w:val="94"/>
              </w:rPr>
              <w:t>June 30,</w:t>
            </w:r>
          </w:p>
        </w:tc>
        <w:tc>
          <w:tcPr>
            <w:tcW w:w="1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3240" w:type="dxa"/>
            <w:vAlign w:val="bottom"/>
            <w:tcBorders>
              <w:bottom w:val="single" w:sz="8" w:color="CCEEFF"/>
            </w:tcBorders>
          </w:tcPr>
          <w:p>
            <w:pPr>
              <w:spacing w:after="0"/>
              <w:rPr>
                <w:sz w:val="17"/>
                <w:szCs w:val="17"/>
                <w:color w:val="auto"/>
              </w:rPr>
            </w:pPr>
          </w:p>
        </w:tc>
        <w:tc>
          <w:tcPr>
            <w:tcW w:w="23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r>
      <w:tr>
        <w:trPr>
          <w:trHeight w:val="180"/>
        </w:trPr>
        <w:tc>
          <w:tcPr>
            <w:tcW w:w="32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Depreciation expense</w:t>
            </w:r>
          </w:p>
        </w:tc>
        <w:tc>
          <w:tcPr>
            <w:tcW w:w="23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4"/>
              </w:rPr>
              <w:t>5,101</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5,101</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r>
      <w:tr>
        <w:trPr>
          <w:trHeight w:val="556"/>
        </w:trPr>
        <w:tc>
          <w:tcPr>
            <w:tcW w:w="3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2"/>
          </w:tcPr>
          <w:p>
            <w:pPr>
              <w:jc w:val="right"/>
              <w:ind w:right="809"/>
              <w:spacing w:after="0"/>
              <w:rPr>
                <w:sz w:val="20"/>
                <w:szCs w:val="20"/>
                <w:color w:val="auto"/>
              </w:rPr>
            </w:pPr>
            <w:r>
              <w:rPr>
                <w:rFonts w:ascii="Times New Roman" w:cs="Times New Roman" w:eastAsia="Times New Roman" w:hAnsi="Times New Roman"/>
                <w:sz w:val="16"/>
                <w:szCs w:val="16"/>
                <w:color w:val="auto"/>
              </w:rPr>
              <w:t>F-17</w:t>
            </w: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7 - Capitalized Software Development Costs</w:t>
      </w:r>
    </w:p>
    <w:p>
      <w:pPr>
        <w:spacing w:after="0" w:line="178"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 xml:space="preserve">The Company capitalizes eligible costs incurred in the development of internal-use software during the application development stage, in accordance with ASC 350-40, </w:t>
      </w:r>
      <w:r>
        <w:rPr>
          <w:rFonts w:ascii="Times New Roman" w:cs="Times New Roman" w:eastAsia="Times New Roman" w:hAnsi="Times New Roman"/>
          <w:sz w:val="16"/>
          <w:szCs w:val="16"/>
          <w:i w:val="1"/>
          <w:iCs w:val="1"/>
          <w:color w:val="auto"/>
        </w:rPr>
        <w:t>Internal -Use Software</w:t>
      </w:r>
      <w:r>
        <w:rPr>
          <w:rFonts w:ascii="Times New Roman" w:cs="Times New Roman" w:eastAsia="Times New Roman" w:hAnsi="Times New Roman"/>
          <w:sz w:val="16"/>
          <w:szCs w:val="16"/>
          <w:color w:val="auto"/>
        </w:rPr>
        <w:t>. Capitalized software development costs include direct labor, third-party services, and other direct costs associated with the development of new software or significant upgrades and enhancements to existing software. Costs incurred during the preliminary project stage and post-implementation/operational stage are expensed as incurred. Capitalized software development costs are amortized on a straight-line basis over the estimated useful life of the software, which is typically three to five years. The Company reviews the carrying value of capitalized software for impairment whenever events or changes in circumstances indicate the carrying amount may not be recoverable.</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Company capitalized software development costs of $2,397,994 and $1,761,396 as of June 30, 2025 and December 31, 2024, respectively.</w:t>
      </w:r>
    </w:p>
    <w:p>
      <w:pPr>
        <w:spacing w:after="0" w:line="176"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auto"/>
        </w:rPr>
        <w:t>For the three and six months ended June 30, 2025 and 2024, there was no amortization expense recorded on capitalized software development costs as the software was not substantially complete and ready for its intended use.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8 - SAFE Agreements and Fair Value Measurements</w:t>
      </w:r>
    </w:p>
    <w:p>
      <w:pPr>
        <w:spacing w:after="0" w:line="178"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Prior to the Closing, SEE ID had issued Simple Agreements for Future Equity (the “SAFE agreements”) to investors for proceeds totaling $8,480,217. Under the terms of these SAFE agreements, which had stated discount rates ranging from 67% to 80%, the following would happen upon the occurrence of these events (all capitalized terms are as defined in the SAFE agreements):</w:t>
      </w:r>
    </w:p>
    <w:p>
      <w:pPr>
        <w:spacing w:after="0" w:line="150" w:lineRule="exact"/>
        <w:rPr>
          <w:sz w:val="20"/>
          <w:szCs w:val="20"/>
          <w:color w:val="auto"/>
        </w:rPr>
      </w:pPr>
    </w:p>
    <w:p>
      <w:pPr>
        <w:ind w:left="880" w:right="20" w:hanging="298"/>
        <w:spacing w:after="0" w:line="262" w:lineRule="auto"/>
        <w:tabs>
          <w:tab w:leader="none" w:pos="88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Equity Financing </w:t>
      </w:r>
      <w:r>
        <w:rPr>
          <w:rFonts w:ascii="Times New Roman" w:cs="Times New Roman" w:eastAsia="Times New Roman" w:hAnsi="Times New Roman"/>
          <w:sz w:val="16"/>
          <w:szCs w:val="16"/>
          <w:color w:val="auto"/>
        </w:rPr>
        <w:t>- the SAFE agreements will automatically convert into the number of shares of Safe Preferred Stock equal to the Purchase Amount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divided by the Discount Price with certain SAFE agreements subject to a post-money valuation cap of $30,000,000.</w:t>
      </w:r>
    </w:p>
    <w:p>
      <w:pPr>
        <w:spacing w:after="0" w:line="138" w:lineRule="exact"/>
        <w:rPr>
          <w:rFonts w:ascii="Times New Roman" w:cs="Times New Roman" w:eastAsia="Times New Roman" w:hAnsi="Times New Roman"/>
          <w:sz w:val="16"/>
          <w:szCs w:val="16"/>
          <w:color w:val="auto"/>
        </w:rPr>
      </w:pPr>
    </w:p>
    <w:p>
      <w:pPr>
        <w:jc w:val="both"/>
        <w:ind w:left="880" w:hanging="298"/>
        <w:spacing w:after="0" w:line="248" w:lineRule="auto"/>
        <w:tabs>
          <w:tab w:leader="none" w:pos="88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Liquidity Event </w:t>
      </w:r>
      <w:r>
        <w:rPr>
          <w:rFonts w:ascii="Times New Roman" w:cs="Times New Roman" w:eastAsia="Times New Roman" w:hAnsi="Times New Roman"/>
          <w:sz w:val="16"/>
          <w:szCs w:val="16"/>
          <w:color w:val="auto"/>
        </w:rPr>
        <w:t>- the SAFE agreements will automatically be entitled to receive a portion of Proceeds, due and payable to the Investor immediately prior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or concurrent with, the consumption of such Liquidity Event, equal to the greater of (i) the Purchase Amount (the “Cash-Out Amount”) or (ii) the amount payable on the number of shares of Common Stock equal to the Purchase Amount divided by the Liquidity Price.</w:t>
      </w:r>
    </w:p>
    <w:p>
      <w:pPr>
        <w:spacing w:after="0" w:line="149" w:lineRule="exact"/>
        <w:rPr>
          <w:rFonts w:ascii="Times New Roman" w:cs="Times New Roman" w:eastAsia="Times New Roman" w:hAnsi="Times New Roman"/>
          <w:sz w:val="16"/>
          <w:szCs w:val="16"/>
          <w:color w:val="auto"/>
        </w:rPr>
      </w:pPr>
    </w:p>
    <w:p>
      <w:pPr>
        <w:ind w:left="880" w:right="20" w:hanging="298"/>
        <w:spacing w:after="0" w:line="262" w:lineRule="auto"/>
        <w:tabs>
          <w:tab w:leader="none" w:pos="88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Dissolution Event </w:t>
      </w:r>
      <w:r>
        <w:rPr>
          <w:rFonts w:ascii="Times New Roman" w:cs="Times New Roman" w:eastAsia="Times New Roman" w:hAnsi="Times New Roman"/>
          <w:sz w:val="16"/>
          <w:szCs w:val="16"/>
          <w:color w:val="auto"/>
        </w:rPr>
        <w:t>- the Investor will automatically be entitled to receive a portion of Proceeds equal to the Cash-Out Amount, due and payable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Investor immediately prior to the consummation of the Dissolution Event.</w:t>
      </w:r>
    </w:p>
    <w:p>
      <w:pPr>
        <w:spacing w:after="0" w:line="140"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In accordance with FASB ASC 815-40, Contracts in Entity’s Own Equity, the Company determined that the SAFE agreements represented freestanding financial instruments and, accordingly, classified them as derivative liabilities in the accompanying condensed consolidated balance sheets. The SAFE agreements were carried at estimated fair value, which was determined by the Company via a probability-weighted expected return method.</w:t>
      </w:r>
    </w:p>
    <w:p>
      <w:pPr>
        <w:spacing w:after="0" w:line="152" w:lineRule="exact"/>
        <w:rPr>
          <w:sz w:val="20"/>
          <w:szCs w:val="20"/>
          <w:color w:val="auto"/>
        </w:rPr>
      </w:pPr>
    </w:p>
    <w:p>
      <w:pPr>
        <w:jc w:val="both"/>
        <w:ind w:right="20" w:firstLine="576"/>
        <w:spacing w:after="0" w:line="243" w:lineRule="auto"/>
        <w:rPr>
          <w:sz w:val="20"/>
          <w:szCs w:val="20"/>
          <w:color w:val="auto"/>
        </w:rPr>
      </w:pPr>
      <w:r>
        <w:rPr>
          <w:rFonts w:ascii="Times New Roman" w:cs="Times New Roman" w:eastAsia="Times New Roman" w:hAnsi="Times New Roman"/>
          <w:sz w:val="16"/>
          <w:szCs w:val="16"/>
          <w:color w:val="auto"/>
        </w:rPr>
        <w:t>The Business Combination, which closed on June 18, 2025, as described in Note 3, qualified as an “Equity Financing” under the terms of the Company’s SAFE agreements. As a result, all outstanding SAFE notes were converted into 2,909,057 shares of Common Stock. The Company recognized a fair value change in the SAFE notes of $17,368,415, based on the fair value of the Common Stock at Closing of $14.00 per share. Accordingly, no SAFE notes remained outstanding as of June 30, 2025.</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For the three and six-months ended June 30, 2025 and 2024, the SAFE note activity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5"/>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80" w:type="dxa"/>
            <w:vAlign w:val="bottom"/>
          </w:tcPr>
          <w:p>
            <w:pPr>
              <w:spacing w:after="0"/>
              <w:rPr>
                <w:sz w:val="16"/>
                <w:szCs w:val="16"/>
                <w:color w:val="auto"/>
              </w:rPr>
            </w:pPr>
          </w:p>
        </w:tc>
        <w:tc>
          <w:tcPr>
            <w:tcW w:w="22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0" w:type="dxa"/>
            <w:vAlign w:val="bottom"/>
          </w:tcPr>
          <w:p>
            <w:pPr>
              <w:spacing w:after="0"/>
              <w:rPr>
                <w:sz w:val="1"/>
                <w:szCs w:val="1"/>
                <w:color w:val="auto"/>
              </w:rPr>
            </w:pPr>
          </w:p>
        </w:tc>
      </w:tr>
      <w:tr>
        <w:trPr>
          <w:trHeight w:val="199"/>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5"/>
          </w:tcPr>
          <w:p>
            <w:pPr>
              <w:jc w:val="right"/>
              <w:ind w:right="1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7"/>
                <w:szCs w:val="17"/>
                <w:color w:val="auto"/>
              </w:rPr>
            </w:pPr>
          </w:p>
        </w:tc>
        <w:tc>
          <w:tcPr>
            <w:tcW w:w="220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165"/>
        </w:trPr>
        <w:tc>
          <w:tcPr>
            <w:tcW w:w="56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22"/>
              <w:spacing w:after="0" w:line="165"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22"/>
              <w:spacing w:after="0" w:line="165"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8"/>
              </w:rPr>
              <w:t>(As restated)</w:t>
            </w:r>
          </w:p>
        </w:tc>
        <w:tc>
          <w:tcPr>
            <w:tcW w:w="180" w:type="dxa"/>
            <w:vAlign w:val="bottom"/>
          </w:tcPr>
          <w:p>
            <w:pPr>
              <w:spacing w:after="0"/>
              <w:rPr>
                <w:sz w:val="17"/>
                <w:szCs w:val="17"/>
                <w:color w:val="auto"/>
              </w:rPr>
            </w:pPr>
          </w:p>
        </w:tc>
        <w:tc>
          <w:tcPr>
            <w:tcW w:w="88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0" w:type="dxa"/>
            <w:vAlign w:val="bottom"/>
          </w:tcPr>
          <w:p>
            <w:pPr>
              <w:spacing w:after="0"/>
              <w:rPr>
                <w:sz w:val="1"/>
                <w:szCs w:val="1"/>
                <w:color w:val="auto"/>
              </w:rPr>
            </w:pPr>
          </w:p>
        </w:tc>
      </w:tr>
      <w:tr>
        <w:trPr>
          <w:trHeight w:val="180"/>
        </w:trPr>
        <w:tc>
          <w:tcPr>
            <w:tcW w:w="562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Fair Value - beginning of period</w:t>
            </w: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22,746,675</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18,904,905</w:t>
            </w: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23,334,626</w:t>
            </w: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4,602,950</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Addition</w:t>
            </w:r>
          </w:p>
        </w:tc>
        <w:tc>
          <w:tcPr>
            <w:tcW w:w="160" w:type="dxa"/>
            <w:vAlign w:val="bottom"/>
          </w:tcPr>
          <w:p>
            <w:pPr>
              <w:spacing w:after="0"/>
              <w:rPr>
                <w:sz w:val="15"/>
                <w:szCs w:val="15"/>
                <w:color w:val="auto"/>
              </w:rPr>
            </w:pPr>
          </w:p>
        </w:tc>
        <w:tc>
          <w:tcPr>
            <w:tcW w:w="11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1,634,500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23,752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3,134,500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Change in fair value</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17,980,118</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660,755</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17,368,415</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13,462,710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SAFE notes converted into shares</w:t>
            </w:r>
          </w:p>
        </w:tc>
        <w:tc>
          <w:tcPr>
            <w:tcW w:w="1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(40,726,793)</w:t>
            </w:r>
          </w:p>
        </w:tc>
        <w:tc>
          <w:tcPr>
            <w:tcW w:w="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(40,726,793)</w:t>
            </w:r>
          </w:p>
        </w:tc>
        <w:tc>
          <w:tcPr>
            <w:tcW w:w="10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5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 end of period</w:t>
            </w: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6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21,200,160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21,200,160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auto"/>
        </w:rPr>
        <w:t>Derivative Instruments: Derivative instruments that are not traded on an exchange are valued using conventional calculations/models that are primarily based on unobservable inputs such as private company unit price and volatilities, and therefore, such derivative instruments are included in Level 3.</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557" w:right="660" w:bottom="374" w:gutter="0" w:footer="0" w:header="0"/>
        </w:sectPr>
      </w:pPr>
    </w:p>
    <w:bookmarkStart w:id="90" w:name="page91"/>
    <w:bookmarkEnd w:id="90"/>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Upon the completion of the Business Combination, all outstanding derivatives were converted into shares of the Company’s Common Stock. The following table presents information about the Company’s assets and liabilities that are measured at fair value on a recurring basis as of June 30, 2025 and December 31, 2024, and indicates the fair value hierarchy of the valuation inputs the Company utilized to determine such fair value: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9"/>
        </w:trPr>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Pr>
          <w:p>
            <w:pPr>
              <w:spacing w:after="0"/>
              <w:rPr>
                <w:sz w:val="17"/>
                <w:szCs w:val="17"/>
                <w:color w:val="auto"/>
              </w:rPr>
            </w:pPr>
          </w:p>
        </w:tc>
        <w:tc>
          <w:tcPr>
            <w:tcW w:w="106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Level</w:t>
            </w:r>
          </w:p>
        </w:tc>
        <w:tc>
          <w:tcPr>
            <w:tcW w:w="116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r>
      <w:tr>
        <w:trPr>
          <w:trHeight w:val="180"/>
        </w:trPr>
        <w:tc>
          <w:tcPr>
            <w:tcW w:w="674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Derivative liabilities</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23,334,626</w:t>
            </w:r>
          </w:p>
        </w:tc>
        <w:tc>
          <w:tcPr>
            <w:tcW w:w="80" w:type="dxa"/>
            <w:vAlign w:val="bottom"/>
            <w:tcBorders>
              <w:top w:val="single" w:sz="8" w:color="CCEEFF"/>
            </w:tcBorders>
            <w:shd w:val="clear" w:color="auto" w:fill="CCEEFF"/>
          </w:tcPr>
          <w:p>
            <w:pPr>
              <w:spacing w:after="0"/>
              <w:rPr>
                <w:sz w:val="15"/>
                <w:szCs w:val="15"/>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9 - Equity Line of Credit:</w:t>
      </w:r>
    </w:p>
    <w:p>
      <w:pPr>
        <w:spacing w:after="0" w:line="178"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As part of its funding efforts, on June 18, 2025, the Company entered into a Share Purchase Agreement (“ELOC Agreement”) with New Circle Principal Investment LLC (“New Circle”), which provides the Company the right, but not the obligation, to direct New Circle from time to time to purchase up to $50 million of the Company’s Common Shares during the commitment period ending June 18, 2028, at a discount of the volume-weighted average price (VWAP) over a defined pricing period. Under the ELOC Agreement, the Company may sell shares to the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spacing w:after="0" w:line="161"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auto"/>
        </w:rPr>
        <w:t>The Company has the option to issue a variable number of shares of Common Stock or cash in satisfaction of the $350,000 commitment fee agreed upon in ELOC Agreement. The Company has not paid the commitment fee as of the date the unaudited condensed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10 – Shareholders’ Equity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Reverse Recapitalization</w:t>
      </w:r>
    </w:p>
    <w:p>
      <w:pPr>
        <w:spacing w:after="0" w:line="180" w:lineRule="exact"/>
        <w:rPr>
          <w:sz w:val="20"/>
          <w:szCs w:val="20"/>
          <w:color w:val="auto"/>
        </w:rPr>
      </w:pPr>
    </w:p>
    <w:p>
      <w:pPr>
        <w:jc w:val="both"/>
        <w:ind w:firstLine="576"/>
        <w:spacing w:after="0" w:line="247" w:lineRule="auto"/>
        <w:rPr>
          <w:sz w:val="20"/>
          <w:szCs w:val="20"/>
          <w:color w:val="auto"/>
        </w:rPr>
      </w:pPr>
      <w:r>
        <w:rPr>
          <w:rFonts w:ascii="Times New Roman" w:cs="Times New Roman" w:eastAsia="Times New Roman" w:hAnsi="Times New Roman"/>
          <w:sz w:val="16"/>
          <w:szCs w:val="16"/>
          <w:color w:val="auto"/>
        </w:rPr>
        <w:t>As described in Note 3, Business Combination and Reverse Recapitalization, all historical equity data, including stock option data, in these unaudited condensed consolidated financial statements has been retrospectively adjusted by the Exchange Ratio to reflect the reverse recapitalization that occurred on June 18,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Common Stock</w:t>
      </w:r>
    </w:p>
    <w:p>
      <w:pPr>
        <w:spacing w:after="0" w:line="180"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auto"/>
        </w:rPr>
        <w:t>As of June 30, 2025, the Company had authorized 300,000,000 shares of common stock, par value $0.0001 per share. As of June 30, 2025, 27,636,939 shares of common stock were issued and outstanding, and 272,363,061 shares of common stock were reserved for future issuance.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11 - Equity Incentive Plan</w:t>
      </w:r>
    </w:p>
    <w:p>
      <w:pPr>
        <w:spacing w:after="0" w:line="178" w:lineRule="exact"/>
        <w:rPr>
          <w:sz w:val="20"/>
          <w:szCs w:val="20"/>
          <w:color w:val="auto"/>
        </w:rPr>
      </w:pPr>
    </w:p>
    <w:p>
      <w:pPr>
        <w:jc w:val="both"/>
        <w:ind w:firstLine="576"/>
        <w:spacing w:after="0" w:line="278" w:lineRule="auto"/>
        <w:rPr>
          <w:sz w:val="20"/>
          <w:szCs w:val="20"/>
          <w:color w:val="auto"/>
        </w:rPr>
      </w:pPr>
      <w:r>
        <w:rPr>
          <w:rFonts w:ascii="Times New Roman" w:cs="Times New Roman" w:eastAsia="Times New Roman" w:hAnsi="Times New Roman"/>
          <w:sz w:val="14"/>
          <w:szCs w:val="14"/>
          <w:color w:val="auto"/>
        </w:rPr>
        <w:t>In January 2021, the Company adopted the 2021 Equity Inventive Plan (the “Incentive Plan”), which provides for grants of awards in the form of incentive stock options, non-qualified stock options, and restricted stock awards to selected employees, directors, and independent contractors of the Company and its affiliates, as defined in the Incentive Plan. The aggregate number of shares of the Company ’s common stock that may be issued under the Incentive Plan shall not exceed 4,672,506. The purpose of the Incentive Plan is to encourage and enable selected participants to acquire or to increase their holdings of the Company’s common stock and other equity-based interests in the Company in order to promote a closer identification of their interests with those of the Company and its stockholders. The Incentive Plan is administered by the Company’s Board of Directors, which determines the people to whom awards will be granted, the type of awards to be granted, the number of awards to be granted and the specific terms of each grant, including the vesting thereof, subject to the provisions of the Incentive Plan.</w:t>
      </w: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60"/>
        </w:trPr>
        <w:tc>
          <w:tcPr>
            <w:tcW w:w="68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Stock option activity for the six-months ended June 30, 2025 is as follows:</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5"/>
        </w:trPr>
        <w:tc>
          <w:tcPr>
            <w:tcW w:w="6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180"/>
        </w:trPr>
        <w:tc>
          <w:tcPr>
            <w:tcW w:w="6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4"/>
              </w:rPr>
              <w:t>Average</w:t>
            </w:r>
          </w:p>
        </w:tc>
      </w:tr>
      <w:tr>
        <w:trPr>
          <w:trHeight w:val="180"/>
        </w:trPr>
        <w:tc>
          <w:tcPr>
            <w:tcW w:w="6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Weighted-</w:t>
            </w:r>
          </w:p>
        </w:tc>
        <w:tc>
          <w:tcPr>
            <w:tcW w:w="114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Remaining</w:t>
            </w:r>
          </w:p>
        </w:tc>
      </w:tr>
      <w:tr>
        <w:trPr>
          <w:trHeight w:val="180"/>
        </w:trPr>
        <w:tc>
          <w:tcPr>
            <w:tcW w:w="6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14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Contractual</w:t>
            </w:r>
          </w:p>
        </w:tc>
      </w:tr>
      <w:tr>
        <w:trPr>
          <w:trHeight w:val="199"/>
        </w:trPr>
        <w:tc>
          <w:tcPr>
            <w:tcW w:w="688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Exercise Price</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Life (in years)</w:t>
            </w:r>
          </w:p>
        </w:tc>
      </w:tr>
      <w:tr>
        <w:trPr>
          <w:trHeight w:val="180"/>
        </w:trPr>
        <w:tc>
          <w:tcPr>
            <w:tcW w:w="68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Options outstanding at December 31, 2024</w:t>
            </w: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2,032,521</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0.009</w:t>
            </w: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6.22</w:t>
            </w:r>
          </w:p>
        </w:tc>
        <w:tc>
          <w:tcPr>
            <w:tcW w:w="80" w:type="dxa"/>
            <w:vAlign w:val="bottom"/>
            <w:tcBorders>
              <w:top w:val="single" w:sz="8" w:color="CCEEFF"/>
            </w:tcBorders>
            <w:shd w:val="clear" w:color="auto" w:fill="CCEEFF"/>
          </w:tcPr>
          <w:p>
            <w:pPr>
              <w:spacing w:after="0"/>
              <w:rPr>
                <w:sz w:val="15"/>
                <w:szCs w:val="15"/>
                <w:color w:val="auto"/>
              </w:rPr>
            </w:pPr>
          </w:p>
        </w:tc>
      </w:tr>
      <w:tr>
        <w:trPr>
          <w:trHeight w:val="180"/>
        </w:trPr>
        <w:tc>
          <w:tcPr>
            <w:tcW w:w="688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Options granted</w:t>
            </w: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n/a</w:t>
            </w:r>
          </w:p>
        </w:tc>
      </w:tr>
      <w:tr>
        <w:trPr>
          <w:trHeight w:val="180"/>
        </w:trPr>
        <w:tc>
          <w:tcPr>
            <w:tcW w:w="688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Options exercised</w:t>
            </w:r>
          </w:p>
        </w:tc>
        <w:tc>
          <w:tcPr>
            <w:tcW w:w="12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n/a</w:t>
            </w:r>
          </w:p>
        </w:tc>
      </w:tr>
      <w:tr>
        <w:trPr>
          <w:trHeight w:val="180"/>
        </w:trPr>
        <w:tc>
          <w:tcPr>
            <w:tcW w:w="688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Options cancelled</w:t>
            </w:r>
          </w:p>
        </w:tc>
        <w:tc>
          <w:tcPr>
            <w:tcW w:w="12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(170,715)</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0.014</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n/a</w:t>
            </w:r>
          </w:p>
        </w:tc>
      </w:tr>
      <w:tr>
        <w:trPr>
          <w:trHeight w:val="212"/>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outstanding as of June 30, 2025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1,861,806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0.009</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92"/>
        </w:trPr>
        <w:tc>
          <w:tcPr>
            <w:tcW w:w="6880" w:type="dxa"/>
            <w:vAlign w:val="bottom"/>
          </w:tcPr>
          <w:p>
            <w:pPr>
              <w:spacing w:after="0"/>
              <w:rPr>
                <w:sz w:val="20"/>
                <w:szCs w:val="20"/>
                <w:color w:val="auto"/>
              </w:rPr>
            </w:pPr>
            <w:r>
              <w:rPr>
                <w:rFonts w:ascii="Times New Roman" w:cs="Times New Roman" w:eastAsia="Times New Roman" w:hAnsi="Times New Roman"/>
                <w:sz w:val="16"/>
                <w:szCs w:val="16"/>
                <w:color w:val="auto"/>
              </w:rPr>
              <w:t>Total vested as of June 30, 2025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1,773,963</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0.007</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80" w:type="dxa"/>
            <w:vAlign w:val="bottom"/>
          </w:tcPr>
          <w:p>
            <w:pPr>
              <w:spacing w:after="0"/>
              <w:rPr>
                <w:sz w:val="16"/>
                <w:szCs w:val="16"/>
                <w:color w:val="auto"/>
              </w:rPr>
            </w:pPr>
          </w:p>
        </w:tc>
      </w:tr>
      <w:tr>
        <w:trPr>
          <w:trHeight w:val="20"/>
        </w:trPr>
        <w:tc>
          <w:tcPr>
            <w:tcW w:w="68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576"/>
        <w:spacing w:after="0" w:line="243" w:lineRule="auto"/>
        <w:rPr>
          <w:sz w:val="20"/>
          <w:szCs w:val="20"/>
          <w:color w:val="auto"/>
        </w:rPr>
      </w:pPr>
      <w:r>
        <w:rPr>
          <w:rFonts w:ascii="Times New Roman" w:cs="Times New Roman" w:eastAsia="Times New Roman" w:hAnsi="Times New Roman"/>
          <w:sz w:val="16"/>
          <w:szCs w:val="16"/>
          <w:color w:val="auto"/>
        </w:rPr>
        <w:t>For the three and six -months ended June 30, 2025, the Company recognized stock-based compensation expense relating to stock options totaling $9,737 and $19,742, respectively. For the three and six-months ended June 30, 2024, the Company recognized stock-based compensation relating to stock options totaling $3,454 and $71,594, respectively. Stock-based compensation expense relating to stock options is included in “General and administrative” in the accompanying consolidated statements of operations.</w:t>
      </w:r>
    </w:p>
    <w:p>
      <w:pPr>
        <w:spacing w:after="0" w:line="155"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auto"/>
        </w:rPr>
        <w:t>As of June 30, 2025, there was a total of approximately $23,614 of unrecognized stock-based compensation cost relating to outstanding stock options, which is expected to be recognized over a weighted-average period of 0.74 years.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Awards</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For the three and six-months ended June 30, 2025 and 2024, the Company did not grant any restricted stock awards.</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As of June 30, 2025 and December 31, 2024, there were no unvested restricted stock awards.</w:t>
      </w:r>
    </w:p>
    <w:p>
      <w:pPr>
        <w:spacing w:after="0" w:line="176" w:lineRule="exact"/>
        <w:rPr>
          <w:sz w:val="20"/>
          <w:szCs w:val="20"/>
          <w:color w:val="auto"/>
        </w:rPr>
      </w:pPr>
    </w:p>
    <w:p>
      <w:pPr>
        <w:jc w:val="both"/>
        <w:ind w:firstLine="576"/>
        <w:spacing w:after="0" w:line="243" w:lineRule="auto"/>
        <w:rPr>
          <w:sz w:val="20"/>
          <w:szCs w:val="20"/>
          <w:color w:val="auto"/>
        </w:rPr>
      </w:pPr>
      <w:r>
        <w:rPr>
          <w:rFonts w:ascii="Times New Roman" w:cs="Times New Roman" w:eastAsia="Times New Roman" w:hAnsi="Times New Roman"/>
          <w:sz w:val="16"/>
          <w:szCs w:val="16"/>
          <w:color w:val="auto"/>
        </w:rPr>
        <w:t>For the three and six-months ended June 30, 2025, the Company did not recognize any stock-based compensation relating to restricted stock awards. For the three and six months ended June 30, 2024, the Company recognized stock-based compensation relating to restricted stock awards totaling $17,266 and $100,874, respectively. Stock-based compensation relating to restricted stock awards is included in “General and administrative” in the accompanying consolidated statements of operations.</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As of June 30, 2025, there was no unrecognized stock-based compensation costs relating to restricted stock awards.</w:t>
      </w:r>
    </w:p>
    <w:p>
      <w:pPr>
        <w:sectPr>
          <w:pgSz w:w="11900" w:h="16840" w:orient="portrait"/>
          <w:cols w:equalWidth="0" w:num="1">
            <w:col w:w="10580"/>
          </w:cols>
          <w:pgMar w:left="660" w:top="737" w:right="660" w:bottom="5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12 - Net Loss Per Shar</w:t>
      </w:r>
      <w:r>
        <w:rPr>
          <w:rFonts w:ascii="Times New Roman" w:cs="Times New Roman" w:eastAsia="Times New Roman" w:hAnsi="Times New Roman"/>
          <w:sz w:val="16"/>
          <w:szCs w:val="16"/>
          <w:b w:val="1"/>
          <w:bCs w:val="1"/>
          <w:color w:val="auto"/>
        </w:rPr>
        <w:t>e</w:t>
      </w:r>
    </w:p>
    <w:p>
      <w:pPr>
        <w:spacing w:after="0" w:line="178" w:lineRule="exact"/>
        <w:rPr>
          <w:sz w:val="20"/>
          <w:szCs w:val="20"/>
          <w:color w:val="auto"/>
        </w:rPr>
      </w:pPr>
    </w:p>
    <w:p>
      <w:pPr>
        <w:jc w:val="both"/>
        <w:ind w:right="20" w:firstLine="576"/>
        <w:spacing w:after="0" w:line="239" w:lineRule="auto"/>
        <w:rPr>
          <w:sz w:val="20"/>
          <w:szCs w:val="20"/>
          <w:color w:val="auto"/>
        </w:rPr>
      </w:pPr>
      <w:r>
        <w:rPr>
          <w:rFonts w:ascii="Times New Roman" w:cs="Times New Roman" w:eastAsia="Times New Roman" w:hAnsi="Times New Roman"/>
          <w:sz w:val="16"/>
          <w:szCs w:val="16"/>
          <w:color w:val="auto"/>
        </w:rPr>
        <w:t>Earnings per share accounting requires the presentation of both basic and diluted earnings per share on the face of the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spacing w:after="0" w:line="2" w:lineRule="exact"/>
        <w:rPr>
          <w:sz w:val="20"/>
          <w:szCs w:val="20"/>
          <w:color w:val="auto"/>
        </w:rPr>
      </w:pPr>
    </w:p>
    <w:p>
      <w:pPr>
        <w:jc w:val="both"/>
        <w:ind w:firstLine="624"/>
        <w:spacing w:after="0" w:line="236" w:lineRule="auto"/>
        <w:rPr>
          <w:sz w:val="20"/>
          <w:szCs w:val="20"/>
          <w:color w:val="auto"/>
        </w:rPr>
      </w:pPr>
      <w:r>
        <w:rPr>
          <w:rFonts w:ascii="Times New Roman" w:cs="Times New Roman" w:eastAsia="Times New Roman" w:hAnsi="Times New Roman"/>
          <w:sz w:val="16"/>
          <w:szCs w:val="16"/>
          <w:color w:val="auto"/>
        </w:rPr>
        <w:t>For the six months ended June 30, 2025 and 2024, shares of Common Stock underlying stock options totaling 1,861,806 and 2,025,473, respectively, and unvested restricted stock awards totaling zero and 35,989, respectively, were excluded from the calculation of diluted net loss per share because they were antidilutive. In addition, 15,654,983 warrants outstanding as of June 30, 2025 were out of the money and also excluded from the calculation of diluted net loss per share for being antidilutive.</w:t>
      </w:r>
    </w:p>
    <w:p>
      <w:pPr>
        <w:spacing w:after="0" w:line="159"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auto"/>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13 - Leases</w:t>
      </w:r>
    </w:p>
    <w:p>
      <w:pPr>
        <w:spacing w:after="0" w:line="178" w:lineRule="exact"/>
        <w:rPr>
          <w:sz w:val="20"/>
          <w:szCs w:val="20"/>
          <w:color w:val="auto"/>
        </w:rPr>
      </w:pPr>
    </w:p>
    <w:p>
      <w:pPr>
        <w:jc w:val="both"/>
        <w:ind w:right="40" w:firstLine="576"/>
        <w:spacing w:after="0" w:line="247" w:lineRule="auto"/>
        <w:rPr>
          <w:sz w:val="20"/>
          <w:szCs w:val="20"/>
          <w:color w:val="auto"/>
        </w:rPr>
      </w:pPr>
      <w:r>
        <w:rPr>
          <w:rFonts w:ascii="Times New Roman" w:cs="Times New Roman" w:eastAsia="Times New Roman" w:hAnsi="Times New Roman"/>
          <w:sz w:val="16"/>
          <w:szCs w:val="16"/>
          <w:color w:val="auto"/>
        </w:rPr>
        <w:t>In June 2024, the Company entered into a non-cancelable operating lease agreement for a facility in Bethesda, Maryland. This lease commenced on July 1, 2024, has a term of 63 months, and has an initial base rent of approximately $7,000 that increases annually by three percent. Under the terms of this lease, the Company is also responsible for their proportionate share of expenses associated with the facility and its premises.</w:t>
      </w:r>
    </w:p>
    <w:p>
      <w:pPr>
        <w:spacing w:after="0" w:line="152" w:lineRule="exact"/>
        <w:rPr>
          <w:sz w:val="20"/>
          <w:szCs w:val="20"/>
          <w:color w:val="auto"/>
        </w:rPr>
      </w:pPr>
    </w:p>
    <w:p>
      <w:pPr>
        <w:jc w:val="both"/>
        <w:ind w:right="20" w:firstLine="576"/>
        <w:spacing w:after="0" w:line="241" w:lineRule="auto"/>
        <w:rPr>
          <w:sz w:val="20"/>
          <w:szCs w:val="20"/>
          <w:color w:val="auto"/>
        </w:rPr>
      </w:pPr>
      <w:r>
        <w:rPr>
          <w:rFonts w:ascii="Times New Roman" w:cs="Times New Roman" w:eastAsia="Times New Roman" w:hAnsi="Times New Roman"/>
          <w:sz w:val="16"/>
          <w:szCs w:val="16"/>
          <w:color w:val="auto"/>
        </w:rPr>
        <w:t>In January 2025, the Company entered into a noncancelable operating lease agreement with an unrelated third-party for a 16,000 square feet facility in Puerto Rico. This lease commenced on February 1, 2025 on a month- to-month basis and became a long- term lease with an initial term of 5 years on June 1, 2025. The initial base rent is $7.00 per square foot, or $9,333 per month, for the first two years, increasing to $7.50 per square for the third year and increases by 3% annually thereafter. Under the terms of this lease, the Company is also responsible for their own utilities and a proportionate share of the operating expenses of the premises, not to exceed $3.25 per square foot.</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components of lease expense were as follows for the three and six-months ended June 30, 2025 and 2024: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3"/>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99"/>
        </w:trPr>
        <w:tc>
          <w:tcPr>
            <w:tcW w:w="5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3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62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Operating lease cost</w:t>
            </w: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31,468</w:t>
            </w: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5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53,021</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Other short-term lease cost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30,667</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4"/>
              </w:rPr>
              <w:t>8,851</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63,668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6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62,135</w:t>
            </w:r>
          </w:p>
        </w:tc>
        <w:tc>
          <w:tcPr>
            <w:tcW w:w="920" w:type="dxa"/>
            <w:vAlign w:val="bottom"/>
            <w:gridSpan w:val="2"/>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4"/>
              </w:rPr>
              <w:t>8,851</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116,689</w:t>
            </w:r>
          </w:p>
        </w:tc>
        <w:tc>
          <w:tcPr>
            <w:tcW w:w="3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summarizes the operating lease asset and liabilities recorded as of June 30, 2025 and December 31, 2024: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6"/>
                <w:szCs w:val="16"/>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199"/>
        </w:trPr>
        <w:tc>
          <w:tcPr>
            <w:tcW w:w="532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r>
      <w:tr>
        <w:trPr>
          <w:trHeight w:val="180"/>
        </w:trPr>
        <w:tc>
          <w:tcPr>
            <w:tcW w:w="5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 gross</w:t>
            </w:r>
          </w:p>
        </w:tc>
        <w:tc>
          <w:tcPr>
            <w:tcW w:w="28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824,314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331,478</w:t>
            </w:r>
          </w:p>
        </w:tc>
        <w:tc>
          <w:tcPr>
            <w:tcW w:w="120" w:type="dxa"/>
            <w:vAlign w:val="bottom"/>
            <w:shd w:val="clear" w:color="auto" w:fill="CCEEFF"/>
          </w:tcPr>
          <w:p>
            <w:pPr>
              <w:spacing w:after="0"/>
              <w:rPr>
                <w:sz w:val="15"/>
                <w:szCs w:val="15"/>
                <w:color w:val="auto"/>
              </w:rPr>
            </w:pPr>
          </w:p>
        </w:tc>
      </w:tr>
      <w:tr>
        <w:trPr>
          <w:trHeight w:val="196"/>
        </w:trPr>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amortization</w:t>
            </w:r>
          </w:p>
        </w:tc>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(55,227)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(23,586)</w:t>
            </w:r>
          </w:p>
        </w:tc>
      </w:tr>
      <w:tr>
        <w:trPr>
          <w:trHeight w:val="180"/>
        </w:trPr>
        <w:tc>
          <w:tcPr>
            <w:tcW w:w="532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 net</w:t>
            </w:r>
          </w:p>
        </w:tc>
        <w:tc>
          <w:tcPr>
            <w:tcW w:w="28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769,087</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307,892</w:t>
            </w:r>
          </w:p>
        </w:tc>
        <w:tc>
          <w:tcPr>
            <w:tcW w:w="120" w:type="dxa"/>
            <w:vAlign w:val="bottom"/>
            <w:tcBorders>
              <w:top w:val="single" w:sz="8" w:color="CCEEFF"/>
            </w:tcBorders>
            <w:shd w:val="clear" w:color="auto" w:fill="CCEEFF"/>
          </w:tcPr>
          <w:p>
            <w:pPr>
              <w:spacing w:after="0"/>
              <w:rPr>
                <w:sz w:val="15"/>
                <w:szCs w:val="15"/>
                <w:color w:val="auto"/>
              </w:rPr>
            </w:pPr>
          </w:p>
        </w:tc>
      </w:tr>
    </w:tbl>
    <w:p>
      <w:pPr>
        <w:spacing w:after="0" w:line="167" w:lineRule="exact"/>
        <w:rPr>
          <w:sz w:val="20"/>
          <w:szCs w:val="20"/>
          <w:color w:val="auto"/>
        </w:rPr>
      </w:pPr>
    </w:p>
    <w:p>
      <w:pPr>
        <w:sectPr>
          <w:pgSz w:w="11900" w:h="16840" w:orient="portrait"/>
          <w:cols w:equalWidth="0" w:num="1">
            <w:col w:w="10600"/>
          </w:cols>
          <w:pgMar w:left="660" w:top="735" w:right="640" w:bottom="49" w:gutter="0" w:footer="0" w:header="0"/>
        </w:sectPr>
      </w:pPr>
    </w:p>
    <w:p>
      <w:pPr>
        <w:spacing w:after="0"/>
        <w:rPr>
          <w:sz w:val="20"/>
          <w:szCs w:val="20"/>
          <w:color w:val="auto"/>
        </w:rPr>
      </w:pPr>
      <w:r>
        <w:rPr>
          <w:rFonts w:ascii="Times New Roman" w:cs="Times New Roman" w:eastAsia="Times New Roman" w:hAnsi="Times New Roman"/>
          <w:sz w:val="16"/>
          <w:szCs w:val="16"/>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6707505" cy="1143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Long-term operating lease liabilities</w:t>
      </w: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6707505" cy="152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07505" cy="15240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Weighted average operating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6707505" cy="1143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Weighted average operating lease discount rate</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following table summarizes future minimum lease commitments as of June 30,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132,091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36,225</w:t>
            </w:r>
          </w:p>
        </w:tc>
        <w:tc>
          <w:tcPr>
            <w:tcW w:w="120" w:type="dxa"/>
            <w:vAlign w:val="bottom"/>
          </w:tcPr>
          <w:p>
            <w:pPr>
              <w:spacing w:after="0"/>
              <w:rPr>
                <w:sz w:val="16"/>
                <w:szCs w:val="16"/>
                <w:color w:val="auto"/>
              </w:rPr>
            </w:pPr>
          </w:p>
        </w:tc>
      </w:tr>
      <w:tr>
        <w:trPr>
          <w:trHeight w:val="197"/>
        </w:trPr>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649,718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265,413</w:t>
            </w:r>
          </w:p>
        </w:tc>
        <w:tc>
          <w:tcPr>
            <w:tcW w:w="120" w:type="dxa"/>
            <w:vAlign w:val="bottom"/>
          </w:tcPr>
          <w:p>
            <w:pPr>
              <w:spacing w:after="0"/>
              <w:rPr>
                <w:sz w:val="17"/>
                <w:szCs w:val="17"/>
                <w:color w:val="auto"/>
              </w:rPr>
            </w:pPr>
          </w:p>
        </w:tc>
      </w:tr>
      <w:tr>
        <w:trPr>
          <w:trHeight w:val="208"/>
        </w:trPr>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781,809</w:t>
            </w:r>
          </w:p>
        </w:tc>
        <w:tc>
          <w:tcPr>
            <w:tcW w:w="16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301,638</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3"/>
        </w:trPr>
        <w:tc>
          <w:tcPr>
            <w:tcW w:w="240" w:type="dxa"/>
            <w:vAlign w:val="bottom"/>
          </w:tcPr>
          <w:p>
            <w:pPr>
              <w:spacing w:after="0"/>
              <w:rPr>
                <w:sz w:val="24"/>
                <w:szCs w:val="24"/>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4.66 years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4.75 years</w:t>
            </w:r>
          </w:p>
        </w:tc>
      </w:tr>
      <w:tr>
        <w:trPr>
          <w:trHeight w:val="203"/>
        </w:trPr>
        <w:tc>
          <w:tcPr>
            <w:tcW w:w="240" w:type="dxa"/>
            <w:vAlign w:val="bottom"/>
          </w:tcPr>
          <w:p>
            <w:pPr>
              <w:spacing w:after="0"/>
              <w:rPr>
                <w:sz w:val="17"/>
                <w:szCs w:val="17"/>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9.55%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11.83%</w:t>
            </w:r>
          </w:p>
        </w:tc>
      </w:tr>
    </w:tbl>
    <w:p>
      <w:pPr>
        <w:spacing w:after="0" w:line="511" w:lineRule="exact"/>
        <w:rPr>
          <w:sz w:val="20"/>
          <w:szCs w:val="20"/>
          <w:color w:val="auto"/>
        </w:rPr>
      </w:pPr>
    </w:p>
    <w:p>
      <w:pPr>
        <w:sectPr>
          <w:pgSz w:w="11900" w:h="16840" w:orient="portrait"/>
          <w:cols w:equalWidth="0" w:num="2">
            <w:col w:w="7400" w:space="720"/>
            <w:col w:w="2480"/>
          </w:cols>
          <w:pgMar w:left="660" w:top="735" w:right="640" w:bottom="49"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0" w:type="dxa"/>
            <w:vAlign w:val="bottom"/>
          </w:tcPr>
          <w:p>
            <w:pPr>
              <w:spacing w:after="0"/>
              <w:rPr>
                <w:sz w:val="1"/>
                <w:szCs w:val="1"/>
                <w:color w:val="auto"/>
              </w:rPr>
            </w:pPr>
          </w:p>
        </w:tc>
      </w:tr>
      <w:tr>
        <w:trPr>
          <w:trHeight w:val="199"/>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0" w:type="dxa"/>
            <w:vAlign w:val="bottom"/>
          </w:tcPr>
          <w:p>
            <w:pPr>
              <w:spacing w:after="0"/>
              <w:rPr>
                <w:sz w:val="1"/>
                <w:szCs w:val="1"/>
                <w:color w:val="auto"/>
              </w:rPr>
            </w:pPr>
          </w:p>
        </w:tc>
      </w:tr>
      <w:tr>
        <w:trPr>
          <w:trHeight w:val="180"/>
        </w:trPr>
        <w:tc>
          <w:tcPr>
            <w:tcW w:w="356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2025 (remaining 6 months)</w:t>
            </w:r>
          </w:p>
        </w:tc>
        <w:tc>
          <w:tcPr>
            <w:tcW w:w="5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99,577</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200,462</w:t>
            </w:r>
          </w:p>
        </w:tc>
        <w:tc>
          <w:tcPr>
            <w:tcW w:w="0" w:type="dxa"/>
            <w:vAlign w:val="bottom"/>
          </w:tcPr>
          <w:p>
            <w:pPr>
              <w:spacing w:after="0"/>
              <w:rPr>
                <w:sz w:val="1"/>
                <w:szCs w:val="1"/>
                <w:color w:val="auto"/>
              </w:rPr>
            </w:pPr>
          </w:p>
        </w:tc>
      </w:tr>
      <w:tr>
        <w:trPr>
          <w:trHeight w:val="180"/>
        </w:trPr>
        <w:tc>
          <w:tcPr>
            <w:tcW w:w="35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5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207,783</w:t>
            </w:r>
          </w:p>
        </w:tc>
        <w:tc>
          <w:tcPr>
            <w:tcW w:w="0" w:type="dxa"/>
            <w:vAlign w:val="bottom"/>
          </w:tcPr>
          <w:p>
            <w:pPr>
              <w:spacing w:after="0"/>
              <w:rPr>
                <w:sz w:val="1"/>
                <w:szCs w:val="1"/>
                <w:color w:val="auto"/>
              </w:rPr>
            </w:pPr>
          </w:p>
        </w:tc>
      </w:tr>
      <w:tr>
        <w:trPr>
          <w:trHeight w:val="180"/>
        </w:trPr>
        <w:tc>
          <w:tcPr>
            <w:tcW w:w="3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215,950</w:t>
            </w:r>
          </w:p>
        </w:tc>
        <w:tc>
          <w:tcPr>
            <w:tcW w:w="0" w:type="dxa"/>
            <w:vAlign w:val="bottom"/>
          </w:tcPr>
          <w:p>
            <w:pPr>
              <w:spacing w:after="0"/>
              <w:rPr>
                <w:sz w:val="1"/>
                <w:szCs w:val="1"/>
                <w:color w:val="auto"/>
              </w:rPr>
            </w:pPr>
          </w:p>
        </w:tc>
      </w:tr>
      <w:tr>
        <w:trPr>
          <w:trHeight w:val="180"/>
        </w:trPr>
        <w:tc>
          <w:tcPr>
            <w:tcW w:w="35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5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197,905</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57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42,436</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5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Total lease payments</w:t>
            </w:r>
          </w:p>
        </w:tc>
        <w:tc>
          <w:tcPr>
            <w:tcW w:w="5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964,113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(182,304)</w:t>
            </w:r>
          </w:p>
        </w:tc>
        <w:tc>
          <w:tcPr>
            <w:tcW w:w="0" w:type="dxa"/>
            <w:vAlign w:val="bottom"/>
          </w:tcPr>
          <w:p>
            <w:pPr>
              <w:spacing w:after="0"/>
              <w:rPr>
                <w:sz w:val="1"/>
                <w:szCs w:val="1"/>
                <w:color w:val="auto"/>
              </w:rPr>
            </w:pPr>
          </w:p>
        </w:tc>
      </w:tr>
      <w:tr>
        <w:trPr>
          <w:trHeight w:val="24"/>
        </w:trPr>
        <w:tc>
          <w:tcPr>
            <w:tcW w:w="3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5860" w:type="dxa"/>
            <w:vAlign w:val="bottom"/>
            <w:gridSpan w:val="2"/>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560" w:type="dxa"/>
            <w:vAlign w:val="bottom"/>
            <w:vMerge w:val="continue"/>
            <w:shd w:val="clear" w:color="auto" w:fill="CCEEFF"/>
          </w:tcPr>
          <w:p>
            <w:pPr>
              <w:spacing w:after="0"/>
              <w:rPr>
                <w:sz w:val="18"/>
                <w:szCs w:val="18"/>
                <w:color w:val="auto"/>
              </w:rPr>
            </w:pPr>
          </w:p>
        </w:tc>
        <w:tc>
          <w:tcPr>
            <w:tcW w:w="5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781,809</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56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gridSpan w:val="3"/>
          </w:tcPr>
          <w:p>
            <w:pPr>
              <w:jc w:val="right"/>
              <w:ind w:right="4022"/>
              <w:spacing w:after="0"/>
              <w:rPr>
                <w:sz w:val="20"/>
                <w:szCs w:val="20"/>
                <w:color w:val="auto"/>
              </w:rPr>
            </w:pPr>
            <w:r>
              <w:rPr>
                <w:rFonts w:ascii="Times New Roman" w:cs="Times New Roman" w:eastAsia="Times New Roman" w:hAnsi="Times New Roman"/>
                <w:sz w:val="16"/>
                <w:szCs w:val="16"/>
                <w:color w:val="auto"/>
              </w:rPr>
              <w:t>F-21</w:t>
            </w: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14 - Related Party Transactions</w:t>
      </w:r>
    </w:p>
    <w:p>
      <w:pPr>
        <w:spacing w:after="0" w:line="178" w:lineRule="exact"/>
        <w:rPr>
          <w:sz w:val="20"/>
          <w:szCs w:val="20"/>
          <w:color w:val="auto"/>
        </w:rPr>
      </w:pPr>
    </w:p>
    <w:p>
      <w:pPr>
        <w:jc w:val="both"/>
        <w:ind w:right="40" w:firstLine="576"/>
        <w:spacing w:after="0" w:line="259" w:lineRule="auto"/>
        <w:rPr>
          <w:sz w:val="20"/>
          <w:szCs w:val="20"/>
          <w:color w:val="auto"/>
        </w:rPr>
      </w:pPr>
      <w:r>
        <w:rPr>
          <w:rFonts w:ascii="Times New Roman" w:cs="Times New Roman" w:eastAsia="Times New Roman" w:hAnsi="Times New Roman"/>
          <w:sz w:val="16"/>
          <w:szCs w:val="16"/>
          <w:color w:val="auto"/>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In August 2024, the Company entered into a $1,500,000 purchase order with Pope Technologies LLC for certain products, hardware, installation, programming,</w:t>
      </w:r>
    </w:p>
    <w:p>
      <w:pPr>
        <w:sectPr>
          <w:pgSz w:w="11900" w:h="16840" w:orient="portrait"/>
          <w:cols w:equalWidth="0" w:num="1">
            <w:col w:w="10600"/>
          </w:cols>
          <w:pgMar w:left="660" w:top="735" w:right="640" w:bottom="49" w:gutter="0" w:footer="0" w:header="0"/>
          <w:type w:val="continuous"/>
        </w:sectPr>
      </w:pPr>
    </w:p>
    <w:bookmarkStart w:id="92" w:name="page93"/>
    <w:bookmarkEnd w:id="92"/>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subscription, and training, of which $750,000 has been received by the Company and is reported as deferred revenue as of June 30, 2025 and December 31, 2024 in the accompanying condensed consolidated balance sheets. Pope Technologies LLC is owned by a director of the Company.</w:t>
      </w:r>
    </w:p>
    <w:p>
      <w:pPr>
        <w:spacing w:after="0" w:line="143"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$4,254 and $4,702 for the three months ended June 30, 2025 and 2024, respectively, and $8,591 and $8,533 for the six months ended June 30, 2025 and 2024, respectively. As of June 30, 2025 and December 31, 2024, amounts outstanding under this agreement were $4,254 and $1,164, respectively, and are included in “Accounts receivable” on the accompanying condensed consolidated balance sheets.</w:t>
      </w:r>
    </w:p>
    <w:p>
      <w:pPr>
        <w:spacing w:after="0" w:line="157" w:lineRule="exact"/>
        <w:rPr>
          <w:sz w:val="20"/>
          <w:szCs w:val="20"/>
          <w:color w:val="auto"/>
        </w:rPr>
      </w:pPr>
    </w:p>
    <w:p>
      <w:pPr>
        <w:jc w:val="both"/>
        <w:ind w:right="40" w:firstLine="576"/>
        <w:spacing w:after="0" w:line="247" w:lineRule="auto"/>
        <w:rPr>
          <w:sz w:val="20"/>
          <w:szCs w:val="20"/>
          <w:color w:val="auto"/>
        </w:rPr>
      </w:pPr>
      <w:r>
        <w:rPr>
          <w:rFonts w:ascii="Times New Roman" w:cs="Times New Roman" w:eastAsia="Times New Roman" w:hAnsi="Times New Roman"/>
          <w:sz w:val="16"/>
          <w:szCs w:val="16"/>
          <w:color w:val="auto"/>
        </w:rPr>
        <w:t>Beginning on August 1, 2024, the Company began subleasing an office/warehouse space in Las Vegas, Nevada from Pope Technologies LLC. The term of this sublease is for one year and the rent is $ 1,280 per month. Pope Technologies LLC is owned by a director of the Company. The rent expense was $3,840 and $7,680 for the three and six months ended June 30, 2025, respectively.</w:t>
      </w:r>
    </w:p>
    <w:p>
      <w:pPr>
        <w:spacing w:after="0" w:line="152" w:lineRule="exact"/>
        <w:rPr>
          <w:sz w:val="20"/>
          <w:szCs w:val="20"/>
          <w:color w:val="auto"/>
        </w:rPr>
      </w:pPr>
    </w:p>
    <w:p>
      <w:pPr>
        <w:jc w:val="both"/>
        <w:ind w:right="20" w:firstLine="576"/>
        <w:spacing w:after="0" w:line="243" w:lineRule="auto"/>
        <w:rPr>
          <w:sz w:val="20"/>
          <w:szCs w:val="20"/>
          <w:color w:val="auto"/>
        </w:rPr>
      </w:pPr>
      <w:r>
        <w:rPr>
          <w:rFonts w:ascii="Times New Roman" w:cs="Times New Roman" w:eastAsia="Times New Roman" w:hAnsi="Times New Roman"/>
          <w:sz w:val="16"/>
          <w:szCs w:val="16"/>
          <w:color w:val="auto"/>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$2,334 and $2,334 for the three and six months ended June 30, 2025, respectively. For the three and six months ended June 30, 2024, the rent expense was $1,167 and $4,668, respectively.</w:t>
      </w:r>
    </w:p>
    <w:p>
      <w:pPr>
        <w:spacing w:after="0" w:line="155" w:lineRule="exact"/>
        <w:rPr>
          <w:sz w:val="20"/>
          <w:szCs w:val="20"/>
          <w:color w:val="auto"/>
        </w:rPr>
      </w:pPr>
    </w:p>
    <w:p>
      <w:pPr>
        <w:jc w:val="both"/>
        <w:ind w:firstLine="576"/>
        <w:spacing w:after="0" w:line="299" w:lineRule="auto"/>
        <w:rPr>
          <w:sz w:val="20"/>
          <w:szCs w:val="20"/>
          <w:color w:val="auto"/>
        </w:rPr>
      </w:pPr>
      <w:r>
        <w:rPr>
          <w:rFonts w:ascii="Times New Roman" w:cs="Times New Roman" w:eastAsia="Times New Roman" w:hAnsi="Times New Roman"/>
          <w:sz w:val="14"/>
          <w:szCs w:val="14"/>
          <w:color w:val="auto"/>
        </w:rPr>
        <w:t>Beginning on March 1, 2025, the Company began subleasing an office space in Campo Alegre Manati, Puerto Rico from Enzymatic Holdings Corp. The term of this sublease was month-to-month lease, and the rent was $ 12,333 per month. This lease ended on May 31, 2025. The Company renewed the lease on June 1, 2025 for a term of five years. The rent expense for the short term lease expense was $24,666 and $36,999 for the three and six months ended June 30, 2025,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15 – Commitment and Contingencies</w:t>
      </w:r>
    </w:p>
    <w:p>
      <w:pPr>
        <w:spacing w:after="0" w:line="178" w:lineRule="exact"/>
        <w:rPr>
          <w:sz w:val="20"/>
          <w:szCs w:val="20"/>
          <w:color w:val="auto"/>
        </w:rPr>
      </w:pPr>
    </w:p>
    <w:p>
      <w:pPr>
        <w:jc w:val="both"/>
        <w:ind w:firstLine="576"/>
        <w:spacing w:after="0" w:line="289" w:lineRule="auto"/>
        <w:rPr>
          <w:sz w:val="20"/>
          <w:szCs w:val="20"/>
          <w:color w:val="auto"/>
        </w:rPr>
      </w:pPr>
      <w:r>
        <w:rPr>
          <w:rFonts w:ascii="Times New Roman" w:cs="Times New Roman" w:eastAsia="Times New Roman" w:hAnsi="Times New Roman"/>
          <w:sz w:val="14"/>
          <w:szCs w:val="14"/>
          <w:color w:val="auto"/>
        </w:rPr>
        <w:t>On June 18, 2025, the Company entered into a share subscription of line of credit agreement (the “ELOC”) with New Circle Principle Investments LLC (“New Circle”), under which the Company can access up to $50,000,000 in aggregate proceeds. The Company shall pay a commitment fee to New Circle in the form of shares of common stock of Holdings with an aggregate market value equal to $350,000, the market value of which shall be determined based on the closing price of such common stock on the date a Form S-1 is declared effective by the SEC. The Company is expected to pay the commitment fee in the third quarter of 2025.</w:t>
      </w:r>
    </w:p>
    <w:p>
      <w:pPr>
        <w:spacing w:after="0" w:line="125" w:lineRule="exact"/>
        <w:rPr>
          <w:sz w:val="20"/>
          <w:szCs w:val="20"/>
          <w:color w:val="auto"/>
        </w:rPr>
      </w:pPr>
    </w:p>
    <w:p>
      <w:pPr>
        <w:jc w:val="both"/>
        <w:ind w:right="20" w:firstLine="576"/>
        <w:spacing w:after="0" w:line="243" w:lineRule="auto"/>
        <w:rPr>
          <w:sz w:val="20"/>
          <w:szCs w:val="20"/>
          <w:color w:val="auto"/>
        </w:rPr>
      </w:pPr>
      <w:r>
        <w:rPr>
          <w:rFonts w:ascii="Times New Roman" w:cs="Times New Roman" w:eastAsia="Times New Roman" w:hAnsi="Times New Roman"/>
          <w:sz w:val="16"/>
          <w:szCs w:val="16"/>
          <w:color w:val="auto"/>
        </w:rPr>
        <w:t>On May 22, 2025, the Company terminated the employment of one of its founders, who also served as the Customer Experience Officer. The former employee holds 5,000,260 shares of the Company’s Common Stock. In connection with the termination, the employee is expected to forfeit 170,715 stock options that were exercisable at $0.176 per share after converting the $0.0143 per share by 8.1% stock option conversion ratio. The employee has not signed the termination agreement, and there is a potential for litigation arising from this matter.</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16 - Segment Reporting</w:t>
      </w:r>
    </w:p>
    <w:p>
      <w:pPr>
        <w:spacing w:after="0" w:line="178"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auto"/>
        </w:rPr>
        <w:t>The Company has a single reportable segment that derives revenues from the delivery of feasibility study reports to customers seeking to gain insight into how data driven tracking could improve their business.</w:t>
      </w:r>
    </w:p>
    <w:p>
      <w:pPr>
        <w:spacing w:after="0" w:line="143" w:lineRule="exact"/>
        <w:rPr>
          <w:sz w:val="20"/>
          <w:szCs w:val="20"/>
          <w:color w:val="auto"/>
        </w:rPr>
      </w:pPr>
    </w:p>
    <w:p>
      <w:pPr>
        <w:jc w:val="both"/>
        <w:ind w:right="20" w:firstLine="576"/>
        <w:spacing w:after="0" w:line="241" w:lineRule="auto"/>
        <w:rPr>
          <w:sz w:val="20"/>
          <w:szCs w:val="20"/>
          <w:color w:val="auto"/>
        </w:rPr>
      </w:pPr>
      <w:r>
        <w:rPr>
          <w:rFonts w:ascii="Times New Roman" w:cs="Times New Roman" w:eastAsia="Times New Roman" w:hAnsi="Times New Roman"/>
          <w:sz w:val="16"/>
          <w:szCs w:val="16"/>
          <w:color w:val="auto"/>
        </w:rPr>
        <w:t>The Company’s chief operating decision- makers (the “CODM”), which are the Company’s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goods sold, can be easily computed from the information provided. This segment measures of profitability are shown in the condensed consolidated statements of operations. The measure of segment assets is reported on the condensed consolidated balance sheets as total assets.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17 – Income Taxes</w:t>
      </w:r>
    </w:p>
    <w:p>
      <w:pPr>
        <w:spacing w:after="0" w:line="178" w:lineRule="exact"/>
        <w:rPr>
          <w:sz w:val="20"/>
          <w:szCs w:val="20"/>
          <w:color w:val="auto"/>
        </w:rPr>
      </w:pPr>
    </w:p>
    <w:p>
      <w:pPr>
        <w:jc w:val="both"/>
        <w:ind w:right="20" w:firstLine="576"/>
        <w:spacing w:after="0" w:line="241" w:lineRule="auto"/>
        <w:rPr>
          <w:sz w:val="20"/>
          <w:szCs w:val="20"/>
          <w:color w:val="auto"/>
        </w:rPr>
      </w:pPr>
      <w:r>
        <w:rPr>
          <w:rFonts w:ascii="Times New Roman" w:cs="Times New Roman" w:eastAsia="Times New Roman" w:hAnsi="Times New Roman"/>
          <w:sz w:val="16"/>
          <w:szCs w:val="16"/>
          <w:color w:val="auto"/>
        </w:rPr>
        <w:t>For the three and six months ended June 30, 2025, and 2024, the Company recorded no income tax expense or benefit due to pre-tax book losses. The Company’s effective tax rate for the three and six-month periods ended June 30, 2025 and 2024 was 0%. This rate differs from the statutory federal rate primarily due to the Company’s pre-tax losses, which generate deferred tax assets (DTAs) related to net operating loss (NOL) carryforwards. Based on the weight of available evidence, including the Company’s cumulative history of operating losses, management has determined that it is more likely than not that the deferred tax assets will not be realized. Accordingly, the Company has recorded a full valuation allowance against these assets.</w:t>
      </w:r>
    </w:p>
    <w:p>
      <w:pPr>
        <w:spacing w:after="0" w:line="157"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The Company continues to maintain a full valuation allowance on its U.S. deferred tax assets as of June 30, 2025, and believes a full valuation allowance will be required for the entire fiscal year. Therefore, the estimated annual effective tax rate for 2025 is 0%. The Company’s deferred tax assets, net of the valuation allowance, were $0 as of June 30, 2025.</w:t>
      </w:r>
    </w:p>
    <w:p>
      <w:pPr>
        <w:spacing w:after="0" w:line="152" w:lineRule="exact"/>
        <w:rPr>
          <w:sz w:val="20"/>
          <w:szCs w:val="20"/>
          <w:color w:val="auto"/>
        </w:rPr>
      </w:pPr>
    </w:p>
    <w:p>
      <w:pPr>
        <w:jc w:val="both"/>
        <w:ind w:right="20" w:firstLine="576"/>
        <w:spacing w:after="0" w:line="243" w:lineRule="auto"/>
        <w:rPr>
          <w:sz w:val="20"/>
          <w:szCs w:val="20"/>
          <w:color w:val="auto"/>
        </w:rPr>
      </w:pPr>
      <w:r>
        <w:rPr>
          <w:rFonts w:ascii="Times New Roman" w:cs="Times New Roman" w:eastAsia="Times New Roman" w:hAnsi="Times New Roman"/>
          <w:sz w:val="16"/>
          <w:szCs w:val="16"/>
          <w:color w:val="auto"/>
        </w:rPr>
        <w:t>On July 4, 2025, the One Big Beautiful Bill Act (“OBBBA”) was signed into law in the U.S., which contains a broad range of tax reform provisions affecting businesses. The Company is evaluating the full effects of the legislation on the Company, including the Company’s cash tax position, but the Company expects that the legislation will not have a material impact on the Company’s financial statements. As the legislation was signed into law after the second quarter, the financial impacts are not included within the Consolidated Statement of Income (Loss).</w:t>
      </w:r>
    </w:p>
    <w:p>
      <w:pPr>
        <w:spacing w:after="0" w:line="155" w:lineRule="exact"/>
        <w:rPr>
          <w:sz w:val="20"/>
          <w:szCs w:val="20"/>
          <w:color w:val="auto"/>
        </w:rPr>
      </w:pPr>
    </w:p>
    <w:p>
      <w:pPr>
        <w:jc w:val="both"/>
        <w:ind w:firstLine="576"/>
        <w:spacing w:after="0" w:line="247" w:lineRule="auto"/>
        <w:rPr>
          <w:sz w:val="20"/>
          <w:szCs w:val="20"/>
          <w:color w:val="auto"/>
        </w:rPr>
      </w:pPr>
      <w:r>
        <w:rPr>
          <w:rFonts w:ascii="Times New Roman" w:cs="Times New Roman" w:eastAsia="Times New Roman" w:hAnsi="Times New Roman"/>
          <w:sz w:val="16"/>
          <w:szCs w:val="16"/>
          <w:color w:val="auto"/>
        </w:rPr>
        <w:t>In connection with the Business Combination, the Company assumed an excise tax liability of $3,905,240 and a franchise tax liability of $8,428, both incurred prior to the Closing and recorded as assumed obligations from the reverse recapitalization transaction. The Company also had a $1,977 sales tax receivable as of June 30, 2025, and reported a total accrued tax liability of $3,911,691 as of that date.</w:t>
      </w:r>
    </w:p>
    <w:p>
      <w:pPr>
        <w:spacing w:after="0" w:line="152" w:lineRule="exact"/>
        <w:rPr>
          <w:sz w:val="20"/>
          <w:szCs w:val="20"/>
          <w:color w:val="auto"/>
        </w:rPr>
      </w:pPr>
    </w:p>
    <w:p>
      <w:pPr>
        <w:jc w:val="both"/>
        <w:ind w:right="20" w:firstLine="576"/>
        <w:spacing w:after="0" w:line="241" w:lineRule="auto"/>
        <w:rPr>
          <w:sz w:val="20"/>
          <w:szCs w:val="20"/>
          <w:color w:val="auto"/>
        </w:rPr>
      </w:pPr>
      <w:r>
        <w:rPr>
          <w:rFonts w:ascii="Times New Roman" w:cs="Times New Roman" w:eastAsia="Times New Roman" w:hAnsi="Times New Roman"/>
          <w:sz w:val="16"/>
          <w:szCs w:val="16"/>
          <w:color w:val="auto"/>
        </w:rPr>
        <w:t>The Company is subject to taxation in the U.S. and various state jurisdictions. The Company is not subject to taxation in foreign countries. The Company’s effective tax rate is calculated quarterly based upon current assumptions relating to the full year’s estimated operating results and various tax-related items. Each quarter, an estimate of the annual effective tax rate is updated should the Company revise its forecast of earnings based upon its operating results. If there is a change in the estimated effective annual tax rate, a cumulative adjustment is made. The Company’s effective tax rate was 0% for each of the three and six months ended June 30, 2025 and 2024.</w:t>
      </w:r>
    </w:p>
    <w:p>
      <w:pPr>
        <w:spacing w:after="0" w:line="157" w:lineRule="exact"/>
        <w:rPr>
          <w:sz w:val="20"/>
          <w:szCs w:val="20"/>
          <w:color w:val="auto"/>
        </w:rPr>
      </w:pPr>
    </w:p>
    <w:p>
      <w:pPr>
        <w:jc w:val="both"/>
        <w:ind w:firstLine="576"/>
        <w:spacing w:after="0" w:line="259" w:lineRule="auto"/>
        <w:rPr>
          <w:sz w:val="20"/>
          <w:szCs w:val="20"/>
          <w:color w:val="auto"/>
        </w:rPr>
      </w:pPr>
      <w:r>
        <w:rPr>
          <w:rFonts w:ascii="Times New Roman" w:cs="Times New Roman" w:eastAsia="Times New Roman" w:hAnsi="Times New Roman"/>
          <w:sz w:val="16"/>
          <w:szCs w:val="16"/>
          <w:color w:val="auto"/>
        </w:rPr>
        <w:t>The difference between the effective tax rate of 0% and the U.S. federal statutory rate of 21% for each of the three and nine months ended June 30, 2025 and 2024 was primarily due to changes in deferred tax balances, fully offset by valuation allowances.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18 - Subsequent Events</w:t>
      </w:r>
    </w:p>
    <w:p>
      <w:pPr>
        <w:spacing w:after="0" w:line="16" w:lineRule="exact"/>
        <w:rPr>
          <w:sz w:val="20"/>
          <w:szCs w:val="20"/>
          <w:color w:val="auto"/>
        </w:rPr>
      </w:pPr>
    </w:p>
    <w:p>
      <w:pPr>
        <w:jc w:val="both"/>
        <w:ind w:right="20" w:firstLine="36"/>
        <w:spacing w:after="0" w:line="238" w:lineRule="auto"/>
        <w:rPr>
          <w:sz w:val="20"/>
          <w:szCs w:val="20"/>
          <w:color w:val="auto"/>
        </w:rPr>
      </w:pPr>
      <w:r>
        <w:rPr>
          <w:rFonts w:ascii="Times New Roman" w:cs="Times New Roman" w:eastAsia="Times New Roman" w:hAnsi="Times New Roman"/>
          <w:sz w:val="16"/>
          <w:szCs w:val="16"/>
          <w:color w:val="auto"/>
        </w:rPr>
        <w:t>The Company has evaluated subsequent events through the date the financial statements were issued and has determined that there are no subsequent events requiring adjustment to or disclosure in the condensed consolidated financial statements.</w:t>
      </w:r>
    </w:p>
    <w:p>
      <w:pPr>
        <w:sectPr>
          <w:pgSz w:w="11900" w:h="16840" w:orient="portrait"/>
          <w:cols w:equalWidth="0" w:num="1">
            <w:col w:w="10580"/>
          </w:cols>
          <w:pgMar w:left="660" w:top="557" w:right="660" w:bottom="49"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670750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80"/>
          </w:cols>
          <w:pgMar w:left="660" w:top="557" w:right="660" w:bottom="49" w:gutter="0" w:footer="0" w:header="0"/>
          <w:type w:val="continuous"/>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SEE ID, INC. AND SUBSIDIARY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gridSpan w:val="2"/>
          </w:tcPr>
          <w:p>
            <w:pPr>
              <w:jc w:val="center"/>
              <w:ind w:right="3560"/>
              <w:spacing w:after="0"/>
              <w:rPr>
                <w:sz w:val="20"/>
                <w:szCs w:val="20"/>
                <w:color w:val="auto"/>
              </w:rPr>
            </w:pPr>
            <w:r>
              <w:rPr>
                <w:rFonts w:ascii="Times New Roman" w:cs="Times New Roman" w:eastAsia="Times New Roman" w:hAnsi="Times New Roman"/>
                <w:sz w:val="16"/>
                <w:szCs w:val="16"/>
                <w:color w:val="auto"/>
                <w:w w:val="99"/>
              </w:rPr>
              <w:t>F-24</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8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60" w:type="dxa"/>
            <w:vAlign w:val="bottom"/>
            <w:gridSpan w:val="5"/>
          </w:tcPr>
          <w:p>
            <w:pPr>
              <w:jc w:val="center"/>
              <w:ind w:right="2100"/>
              <w:spacing w:after="0"/>
              <w:rPr>
                <w:sz w:val="20"/>
                <w:szCs w:val="20"/>
                <w:color w:val="auto"/>
              </w:rPr>
            </w:pPr>
            <w:r>
              <w:rPr>
                <w:rFonts w:ascii="Times New Roman" w:cs="Times New Roman" w:eastAsia="Times New Roman" w:hAnsi="Times New Roman"/>
                <w:sz w:val="16"/>
                <w:szCs w:val="16"/>
                <w:color w:val="auto"/>
                <w:w w:val="97"/>
              </w:rPr>
              <w:t>SEE ID, INC. AND SUBSIDIARY</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40" w:type="dxa"/>
            <w:vAlign w:val="bottom"/>
            <w:gridSpan w:val="4"/>
          </w:tcPr>
          <w:p>
            <w:pPr>
              <w:jc w:val="center"/>
              <w:ind w:right="3440"/>
              <w:spacing w:after="0"/>
              <w:rPr>
                <w:sz w:val="20"/>
                <w:szCs w:val="20"/>
                <w:color w:val="auto"/>
              </w:rPr>
            </w:pPr>
            <w:r>
              <w:rPr>
                <w:rFonts w:ascii="Times New Roman" w:cs="Times New Roman" w:eastAsia="Times New Roman" w:hAnsi="Times New Roman"/>
                <w:sz w:val="16"/>
                <w:szCs w:val="16"/>
                <w:color w:val="auto"/>
                <w:w w:val="97"/>
              </w:rPr>
              <w:t>TABLE OF CONTENTS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344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PAGE</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9500" w:type="dxa"/>
            <w:vAlign w:val="bottom"/>
            <w:gridSpan w:val="11"/>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Consolidated financial statements:</w:t>
            </w: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500" w:type="dxa"/>
            <w:vAlign w:val="bottom"/>
            <w:gridSpan w:val="11"/>
            <w:shd w:val="clear" w:color="auto" w:fill="CCEEFF"/>
          </w:tcPr>
          <w:p>
            <w:pPr>
              <w:ind w:left="140"/>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Report of Independent Registered Public Accountant (PCAOB ID: 52</w:t>
              </w:r>
            </w:hyperlink>
            <w:r>
              <w:rPr>
                <w:rFonts w:ascii="Times New Roman" w:cs="Times New Roman" w:eastAsia="Times New Roman" w:hAnsi="Times New Roman"/>
                <w:sz w:val="16"/>
                <w:szCs w:val="16"/>
                <w:color w:val="0000EE"/>
              </w:rPr>
              <w:t>)</w:t>
            </w:r>
          </w:p>
        </w:tc>
        <w:tc>
          <w:tcPr>
            <w:tcW w:w="104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6"/>
                <w:szCs w:val="16"/>
                <w:color w:val="auto"/>
                <w:w w:val="92"/>
              </w:rPr>
              <w:t>F-26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7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34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500" w:type="dxa"/>
            <w:vAlign w:val="bottom"/>
            <w:gridSpan w:val="11"/>
            <w:shd w:val="clear" w:color="auto" w:fill="CCEEFF"/>
          </w:tcPr>
          <w:p>
            <w:pPr>
              <w:ind w:left="140"/>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Report of Independent Registered Public Accountant (PCAOB ID: 392)</w:t>
              </w:r>
            </w:hyperlink>
          </w:p>
        </w:tc>
        <w:tc>
          <w:tcPr>
            <w:tcW w:w="104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6"/>
                <w:szCs w:val="16"/>
                <w:color w:val="auto"/>
                <w:w w:val="92"/>
              </w:rPr>
              <w:t>F-27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7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34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500" w:type="dxa"/>
            <w:vAlign w:val="bottom"/>
            <w:gridSpan w:val="11"/>
            <w:shd w:val="clear" w:color="auto" w:fill="CCEEFF"/>
          </w:tcPr>
          <w:p>
            <w:pPr>
              <w:ind w:left="140"/>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balance sheets</w:t>
              </w:r>
            </w:hyperlink>
          </w:p>
        </w:tc>
        <w:tc>
          <w:tcPr>
            <w:tcW w:w="104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6"/>
                <w:szCs w:val="16"/>
                <w:color w:val="auto"/>
                <w:w w:val="97"/>
              </w:rPr>
              <w:t>F-28 - F-29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760" w:type="dxa"/>
            <w:vAlign w:val="bottom"/>
            <w:tcBorders>
              <w:top w:val="single" w:sz="8" w:color="0000EE"/>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34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500" w:type="dxa"/>
            <w:vAlign w:val="bottom"/>
            <w:gridSpan w:val="11"/>
            <w:shd w:val="clear" w:color="auto" w:fill="CCEEFF"/>
          </w:tcPr>
          <w:p>
            <w:pPr>
              <w:ind w:left="140"/>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statements of operations</w:t>
              </w:r>
            </w:hyperlink>
          </w:p>
        </w:tc>
        <w:tc>
          <w:tcPr>
            <w:tcW w:w="104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6"/>
                <w:szCs w:val="16"/>
                <w:color w:val="auto"/>
                <w:w w:val="92"/>
              </w:rPr>
              <w:t>F-30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7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34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500" w:type="dxa"/>
            <w:vAlign w:val="bottom"/>
            <w:gridSpan w:val="11"/>
            <w:shd w:val="clear" w:color="auto" w:fill="CCEEFF"/>
          </w:tcPr>
          <w:p>
            <w:pPr>
              <w:ind w:left="140"/>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statements of stockholders’ deficit</w:t>
              </w:r>
            </w:hyperlink>
          </w:p>
        </w:tc>
        <w:tc>
          <w:tcPr>
            <w:tcW w:w="104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6"/>
                <w:szCs w:val="16"/>
                <w:color w:val="auto"/>
                <w:w w:val="92"/>
              </w:rPr>
              <w:t>F-31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7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34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500" w:type="dxa"/>
            <w:vAlign w:val="bottom"/>
            <w:gridSpan w:val="11"/>
            <w:shd w:val="clear" w:color="auto" w:fill="CCEEFF"/>
          </w:tcPr>
          <w:p>
            <w:pPr>
              <w:ind w:left="140"/>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statements of cash flows</w:t>
              </w:r>
            </w:hyperlink>
          </w:p>
        </w:tc>
        <w:tc>
          <w:tcPr>
            <w:tcW w:w="104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6"/>
                <w:szCs w:val="16"/>
                <w:color w:val="auto"/>
                <w:w w:val="92"/>
              </w:rPr>
              <w:t>F-32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7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34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500" w:type="dxa"/>
            <w:vAlign w:val="bottom"/>
            <w:gridSpan w:val="11"/>
            <w:shd w:val="clear" w:color="auto" w:fill="CCEEFF"/>
          </w:tcPr>
          <w:p>
            <w:pPr>
              <w:ind w:left="140"/>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Notes to consolidated financial statements</w:t>
              </w:r>
            </w:hyperlink>
          </w:p>
        </w:tc>
        <w:tc>
          <w:tcPr>
            <w:tcW w:w="104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6"/>
                <w:szCs w:val="16"/>
                <w:color w:val="auto"/>
                <w:w w:val="97"/>
              </w:rPr>
              <w:t>F-33 - F-53</w:t>
            </w:r>
          </w:p>
        </w:tc>
        <w:tc>
          <w:tcPr>
            <w:tcW w:w="0" w:type="dxa"/>
            <w:vAlign w:val="bottom"/>
          </w:tcPr>
          <w:p>
            <w:pPr>
              <w:spacing w:after="0"/>
              <w:rPr>
                <w:sz w:val="1"/>
                <w:szCs w:val="1"/>
                <w:color w:val="auto"/>
              </w:rPr>
            </w:pPr>
          </w:p>
        </w:tc>
      </w:tr>
      <w:tr>
        <w:trPr>
          <w:trHeight w:val="556"/>
        </w:trPr>
        <w:tc>
          <w:tcPr>
            <w:tcW w:w="20" w:type="dxa"/>
            <w:vAlign w:val="bottom"/>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76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13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900" w:type="dxa"/>
            <w:vAlign w:val="bottom"/>
            <w:tcBorders>
              <w:top w:val="single" w:sz="8" w:color="CCEEFF"/>
              <w:bottom w:val="single" w:sz="8" w:color="auto"/>
            </w:tcBorders>
            <w:gridSpan w:val="2"/>
          </w:tcPr>
          <w:p>
            <w:pPr>
              <w:jc w:val="center"/>
              <w:ind w:right="3560"/>
              <w:spacing w:after="0"/>
              <w:rPr>
                <w:sz w:val="20"/>
                <w:szCs w:val="20"/>
                <w:color w:val="auto"/>
              </w:rPr>
            </w:pPr>
            <w:r>
              <w:rPr>
                <w:rFonts w:ascii="Times New Roman" w:cs="Times New Roman" w:eastAsia="Times New Roman" w:hAnsi="Times New Roman"/>
                <w:sz w:val="16"/>
                <w:szCs w:val="16"/>
                <w:color w:val="auto"/>
                <w:w w:val="99"/>
              </w:rPr>
              <w:t>F-25</w:t>
            </w:r>
          </w:p>
        </w:tc>
        <w:tc>
          <w:tcPr>
            <w:tcW w:w="10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REPORT OF INDEPENDENT REGISTERED PUBLIC ACCOUNTING FIRM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Stockholders of SEE ID, Inc. dba Dot Ai</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7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 of SEE ID, Inc. dba Dot Ai (the “Company”) as of December 31, 2024, and the related consolidated statements of operations,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Substantial Doubt about the Company’s Ability to Continue as a Going Concern</w:t>
      </w:r>
    </w:p>
    <w:p>
      <w:pPr>
        <w:spacing w:after="0" w:line="17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assuming that the Company will continue as a going concern. As discussed in Note 1 to the consolidated financial statements, the Company has suffered recurring losses from operations, has a working capital deficiency, and accumulated deficit that raise substantial doubt about its ability to continue as a going concern. Management’s plans in regard to these matters also are described in Note 1. The consolidated financial statements do not include any adjustments that might result from the outcome of this uncertainty.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w:t>
      </w:r>
    </w:p>
    <w:p>
      <w:pPr>
        <w:sectPr>
          <w:pgSz w:w="11900" w:h="16840" w:orient="portrait"/>
          <w:cols w:equalWidth="0" w:num="1">
            <w:col w:w="10580"/>
          </w:cols>
          <w:pgMar w:left="660" w:top="1440" w:right="660" w:bottom="102" w:gutter="0" w:footer="0" w:header="0"/>
        </w:sectPr>
      </w:pPr>
    </w:p>
    <w:bookmarkStart w:id="94" w:name="page95"/>
    <w:bookmarkEnd w:id="94"/>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Berkowitz Pollack Brant Advisors + CPAs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25, 2025</w:t>
      </w:r>
    </w:p>
    <w:p>
      <w:pPr>
        <w:spacing w:after="0" w:line="3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of SEE ID, Inc.: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78" w:lineRule="exact"/>
        <w:rPr>
          <w:sz w:val="20"/>
          <w:szCs w:val="20"/>
          <w:color w:val="auto"/>
        </w:rPr>
      </w:pPr>
    </w:p>
    <w:p>
      <w:pPr>
        <w:jc w:val="both"/>
        <w:ind w:right="40" w:firstLine="384"/>
        <w:spacing w:after="0" w:line="243" w:lineRule="auto"/>
        <w:rPr>
          <w:sz w:val="20"/>
          <w:szCs w:val="20"/>
          <w:color w:val="auto"/>
        </w:rPr>
      </w:pPr>
      <w:r>
        <w:rPr>
          <w:rFonts w:ascii="Times New Roman" w:cs="Times New Roman" w:eastAsia="Times New Roman" w:hAnsi="Times New Roman"/>
          <w:sz w:val="16"/>
          <w:szCs w:val="16"/>
          <w:color w:val="auto"/>
        </w:rPr>
        <w:t>We have audited the accompanying balance sheet of SEE ID, Inc. (the “Company”) as of December 31, 2023, and the related statements of operations, changes in stockholders’ deficit and cash flows for the year then ended, and the related notes to the financial statements (collectively, the “financial statements”). In our opinion, the financial statements present fairly, in all material respects, the financial position of the Company as of December 31, 2023, and the results of its operations and its cash flows for the year then ended, in conformity with accounting principles generally accepted in the United States of America.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Emphasis of a Matter Regarding Going Concern</w:t>
      </w:r>
    </w:p>
    <w:p>
      <w:pPr>
        <w:spacing w:after="0" w:line="178" w:lineRule="exact"/>
        <w:rPr>
          <w:sz w:val="20"/>
          <w:szCs w:val="20"/>
          <w:color w:val="auto"/>
        </w:rPr>
      </w:pPr>
    </w:p>
    <w:p>
      <w:pPr>
        <w:jc w:val="both"/>
        <w:ind w:right="40" w:firstLine="384"/>
        <w:spacing w:after="0" w:line="243" w:lineRule="auto"/>
        <w:rPr>
          <w:sz w:val="20"/>
          <w:szCs w:val="20"/>
          <w:color w:val="auto"/>
        </w:rPr>
      </w:pPr>
      <w:r>
        <w:rPr>
          <w:rFonts w:ascii="Times New Roman" w:cs="Times New Roman" w:eastAsia="Times New Roman" w:hAnsi="Times New Roman"/>
          <w:sz w:val="16"/>
          <w:szCs w:val="16"/>
          <w:color w:val="auto"/>
        </w:rPr>
        <w:t>The accompanying financial statements have been prepared assuming that the Company will continue as a going concern. As discussed in Note 1 to the financial statements, the Company has recurring losses from operations and an accumulated deficit that raise substantial doubt about the Company’s ability to continue as a going concern. Management’s plans in regard to these matters also are described in Note 1. The financial statements do not include any adjustments that might result from the outcome of this uncertainty.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78" w:lineRule="exact"/>
        <w:rPr>
          <w:sz w:val="20"/>
          <w:szCs w:val="20"/>
          <w:color w:val="auto"/>
        </w:rPr>
      </w:pPr>
    </w:p>
    <w:p>
      <w:pPr>
        <w:jc w:val="both"/>
        <w:ind w:right="40" w:firstLine="384"/>
        <w:spacing w:after="0" w:line="24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7"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Wolf &amp; Company, P.C.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2023.</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Massachusetts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15, 2024, except for Note 10, as to which the date is July 1, 2024</w:t>
      </w:r>
    </w:p>
    <w:p>
      <w:pPr>
        <w:spacing w:after="0" w:line="3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December 31,</w:t>
            </w:r>
          </w:p>
        </w:tc>
        <w:tc>
          <w:tcPr>
            <w:tcW w:w="7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ASSETS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w w:val="93"/>
              </w:rPr>
              <w:t>2023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000" w:type="dxa"/>
            <w:vAlign w:val="bottom"/>
            <w:gridSpan w:val="2"/>
            <w:vMerge w:val="continue"/>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880" w:type="dxa"/>
            <w:vAlign w:val="bottom"/>
            <w:tcBorders>
              <w:top w:val="single" w:sz="8" w:color="auto"/>
            </w:tcBorders>
          </w:tcPr>
          <w:p>
            <w:pPr>
              <w:spacing w:after="0"/>
              <w:rPr>
                <w:sz w:val="2"/>
                <w:szCs w:val="2"/>
                <w:color w:val="auto"/>
              </w:rPr>
            </w:pPr>
          </w:p>
        </w:tc>
        <w:tc>
          <w:tcPr>
            <w:tcW w:w="4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5000" w:type="dxa"/>
            <w:vAlign w:val="bottom"/>
            <w:gridSpan w:val="2"/>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Cash</w:t>
            </w:r>
          </w:p>
        </w:tc>
        <w:tc>
          <w:tcPr>
            <w:tcW w:w="338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721,032</w:t>
            </w:r>
          </w:p>
        </w:tc>
        <w:tc>
          <w:tcPr>
            <w:tcW w:w="460" w:type="dxa"/>
            <w:vAlign w:val="bottom"/>
            <w:gridSpan w:val="2"/>
            <w:shd w:val="clear" w:color="auto" w:fill="CCEEFF"/>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605,760</w:t>
            </w:r>
          </w:p>
        </w:tc>
        <w:tc>
          <w:tcPr>
            <w:tcW w:w="0" w:type="dxa"/>
            <w:vAlign w:val="bottom"/>
          </w:tcPr>
          <w:p>
            <w:pPr>
              <w:spacing w:after="0"/>
              <w:rPr>
                <w:sz w:val="1"/>
                <w:szCs w:val="1"/>
                <w:color w:val="auto"/>
              </w:rPr>
            </w:pPr>
          </w:p>
        </w:tc>
      </w:tr>
      <w:tr>
        <w:trPr>
          <w:trHeight w:val="180"/>
        </w:trPr>
        <w:tc>
          <w:tcPr>
            <w:tcW w:w="5000" w:type="dxa"/>
            <w:vAlign w:val="bottom"/>
            <w:gridSpan w:val="2"/>
          </w:tcPr>
          <w:p>
            <w:pPr>
              <w:ind w:left="160"/>
              <w:spacing w:after="0" w:line="180" w:lineRule="exact"/>
              <w:rPr>
                <w:sz w:val="20"/>
                <w:szCs w:val="20"/>
                <w:color w:val="auto"/>
              </w:rPr>
            </w:pPr>
            <w:r>
              <w:rPr>
                <w:rFonts w:ascii="Times New Roman" w:cs="Times New Roman" w:eastAsia="Times New Roman" w:hAnsi="Times New Roman"/>
                <w:sz w:val="16"/>
                <w:szCs w:val="16"/>
                <w:color w:val="auto"/>
              </w:rPr>
              <w:t>Accounts receivable</w:t>
            </w:r>
          </w:p>
        </w:tc>
        <w:tc>
          <w:tcPr>
            <w:tcW w:w="5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50,264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4,778</w:t>
            </w:r>
          </w:p>
        </w:tc>
        <w:tc>
          <w:tcPr>
            <w:tcW w:w="0" w:type="dxa"/>
            <w:vAlign w:val="bottom"/>
          </w:tcPr>
          <w:p>
            <w:pPr>
              <w:spacing w:after="0"/>
              <w:rPr>
                <w:sz w:val="1"/>
                <w:szCs w:val="1"/>
                <w:color w:val="auto"/>
              </w:rPr>
            </w:pPr>
          </w:p>
        </w:tc>
      </w:tr>
      <w:tr>
        <w:trPr>
          <w:trHeight w:val="180"/>
        </w:trPr>
        <w:tc>
          <w:tcPr>
            <w:tcW w:w="5000" w:type="dxa"/>
            <w:vAlign w:val="bottom"/>
            <w:gridSpan w:val="2"/>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Inventory</w:t>
            </w:r>
          </w:p>
        </w:tc>
        <w:tc>
          <w:tcPr>
            <w:tcW w:w="5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65,248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000" w:type="dxa"/>
            <w:vAlign w:val="bottom"/>
            <w:gridSpan w:val="2"/>
          </w:tcPr>
          <w:p>
            <w:pPr>
              <w:ind w:left="160"/>
              <w:spacing w:after="0" w:line="180" w:lineRule="exact"/>
              <w:rPr>
                <w:sz w:val="20"/>
                <w:szCs w:val="20"/>
                <w:color w:val="auto"/>
              </w:rPr>
            </w:pPr>
            <w:r>
              <w:rPr>
                <w:rFonts w:ascii="Times New Roman" w:cs="Times New Roman" w:eastAsia="Times New Roman" w:hAnsi="Times New Roman"/>
                <w:sz w:val="16"/>
                <w:szCs w:val="16"/>
                <w:color w:val="auto"/>
              </w:rPr>
              <w:t>Advances to supplier</w:t>
            </w:r>
          </w:p>
        </w:tc>
        <w:tc>
          <w:tcPr>
            <w:tcW w:w="5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33,576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0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w:t>
            </w:r>
          </w:p>
        </w:tc>
        <w:tc>
          <w:tcPr>
            <w:tcW w:w="560" w:type="dxa"/>
            <w:vAlign w:val="bottom"/>
            <w:tcBorders>
              <w:bottom w:val="single" w:sz="8" w:color="CCEEFF"/>
            </w:tcBorders>
            <w:shd w:val="clear" w:color="auto" w:fill="CCEEFF"/>
          </w:tcPr>
          <w:p>
            <w:pPr>
              <w:spacing w:after="0"/>
              <w:rPr>
                <w:sz w:val="18"/>
                <w:szCs w:val="18"/>
                <w:color w:val="auto"/>
              </w:rPr>
            </w:pPr>
          </w:p>
        </w:tc>
        <w:tc>
          <w:tcPr>
            <w:tcW w:w="25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133,975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155,845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00" w:type="dxa"/>
            <w:vAlign w:val="bottom"/>
            <w:gridSpan w:val="2"/>
          </w:tcPr>
          <w:p>
            <w:pPr>
              <w:ind w:left="300"/>
              <w:spacing w:after="0" w:line="175" w:lineRule="exact"/>
              <w:rPr>
                <w:sz w:val="20"/>
                <w:szCs w:val="20"/>
                <w:color w:val="auto"/>
              </w:rPr>
            </w:pPr>
            <w:r>
              <w:rPr>
                <w:rFonts w:ascii="Times New Roman" w:cs="Times New Roman" w:eastAsia="Times New Roman" w:hAnsi="Times New Roman"/>
                <w:sz w:val="16"/>
                <w:szCs w:val="16"/>
                <w:color w:val="auto"/>
              </w:rPr>
              <w:t>Total current assets</w:t>
            </w:r>
          </w:p>
        </w:tc>
        <w:tc>
          <w:tcPr>
            <w:tcW w:w="5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1,004,095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766,383</w:t>
            </w:r>
          </w:p>
        </w:tc>
        <w:tc>
          <w:tcPr>
            <w:tcW w:w="0" w:type="dxa"/>
            <w:vAlign w:val="bottom"/>
          </w:tcPr>
          <w:p>
            <w:pPr>
              <w:spacing w:after="0"/>
              <w:rPr>
                <w:sz w:val="1"/>
                <w:szCs w:val="1"/>
                <w:color w:val="auto"/>
              </w:rPr>
            </w:pPr>
          </w:p>
        </w:tc>
      </w:tr>
      <w:tr>
        <w:trPr>
          <w:trHeight w:val="53"/>
        </w:trPr>
        <w:tc>
          <w:tcPr>
            <w:tcW w:w="880" w:type="dxa"/>
            <w:vAlign w:val="bottom"/>
          </w:tcPr>
          <w:p>
            <w:pPr>
              <w:spacing w:after="0"/>
              <w:rPr>
                <w:sz w:val="4"/>
                <w:szCs w:val="4"/>
                <w:color w:val="auto"/>
              </w:rPr>
            </w:pPr>
          </w:p>
        </w:tc>
        <w:tc>
          <w:tcPr>
            <w:tcW w:w="4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880" w:type="dxa"/>
            <w:vAlign w:val="bottom"/>
            <w:tcBorders>
              <w:top w:val="single" w:sz="8" w:color="CCEEFF"/>
            </w:tcBorders>
            <w:shd w:val="clear" w:color="auto" w:fill="CCEEFF"/>
          </w:tcPr>
          <w:p>
            <w:pPr>
              <w:spacing w:after="0"/>
              <w:rPr>
                <w:sz w:val="16"/>
                <w:szCs w:val="16"/>
                <w:color w:val="auto"/>
              </w:rPr>
            </w:pPr>
          </w:p>
        </w:tc>
        <w:tc>
          <w:tcPr>
            <w:tcW w:w="4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840" w:orient="portrait"/>
          <w:cols w:equalWidth="0" w:num="1">
            <w:col w:w="10600"/>
          </w:cols>
          <w:pgMar w:left="660" w:top="557" w:right="640" w:bottom="137"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7940" w:type="dxa"/>
            <w:vAlign w:val="bottom"/>
            <w:gridSpan w:val="6"/>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Right-of-use asset - operating lease</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1"/>
              <w:spacing w:after="0" w:line="180" w:lineRule="exact"/>
              <w:rPr>
                <w:sz w:val="20"/>
                <w:szCs w:val="20"/>
                <w:color w:val="auto"/>
              </w:rPr>
            </w:pPr>
            <w:r>
              <w:rPr>
                <w:rFonts w:ascii="Times New Roman" w:cs="Times New Roman" w:eastAsia="Times New Roman" w:hAnsi="Times New Roman"/>
                <w:sz w:val="16"/>
                <w:szCs w:val="16"/>
                <w:color w:val="auto"/>
              </w:rPr>
              <w:t>307,892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40" w:type="dxa"/>
            <w:vAlign w:val="bottom"/>
            <w:gridSpan w:val="6"/>
          </w:tcPr>
          <w:p>
            <w:pPr>
              <w:ind w:left="140"/>
              <w:spacing w:after="0" w:line="180" w:lineRule="exact"/>
              <w:rPr>
                <w:sz w:val="20"/>
                <w:szCs w:val="20"/>
                <w:color w:val="auto"/>
              </w:rPr>
            </w:pPr>
            <w:r>
              <w:rPr>
                <w:rFonts w:ascii="Times New Roman" w:cs="Times New Roman" w:eastAsia="Times New Roman" w:hAnsi="Times New Roman"/>
                <w:sz w:val="16"/>
                <w:szCs w:val="16"/>
                <w:color w:val="auto"/>
              </w:rPr>
              <w:t>Capitalized software development costs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1,761,396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927,176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940" w:type="dxa"/>
            <w:vAlign w:val="bottom"/>
            <w:tcBorders>
              <w:top w:val="single" w:sz="8" w:color="CCEEFF"/>
              <w:bottom w:val="single" w:sz="8" w:color="CCEEFF"/>
            </w:tcBorders>
            <w:gridSpan w:val="6"/>
          </w:tcPr>
          <w:p>
            <w:pPr>
              <w:ind w:left="280"/>
              <w:spacing w:after="0" w:line="165" w:lineRule="exact"/>
              <w:rPr>
                <w:sz w:val="20"/>
                <w:szCs w:val="20"/>
                <w:color w:val="auto"/>
              </w:rPr>
            </w:pPr>
            <w:r>
              <w:rPr>
                <w:rFonts w:ascii="Times New Roman" w:cs="Times New Roman" w:eastAsia="Times New Roman" w:hAnsi="Times New Roman"/>
                <w:sz w:val="16"/>
                <w:szCs w:val="16"/>
                <w:color w:val="auto"/>
              </w:rPr>
              <w:t>Total other assets</w:t>
            </w:r>
          </w:p>
        </w:tc>
        <w:tc>
          <w:tcPr>
            <w:tcW w:w="18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2,092,677</w:t>
            </w:r>
          </w:p>
        </w:tc>
        <w:tc>
          <w:tcPr>
            <w:tcW w:w="1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927,176</w:t>
            </w:r>
          </w:p>
        </w:tc>
        <w:tc>
          <w:tcPr>
            <w:tcW w:w="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40" w:type="dxa"/>
            <w:vAlign w:val="bottom"/>
            <w:gridSpan w:val="6"/>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3,096,772</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1,693,559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bottom w:val="single" w:sz="8" w:color="CCEEFF"/>
            </w:tcBorders>
            <w:gridSpan w:val="3"/>
            <w:vMerge w:val="restart"/>
          </w:tcPr>
          <w:p>
            <w:pPr>
              <w:jc w:val="center"/>
              <w:ind w:left="1202"/>
              <w:spacing w:after="0"/>
              <w:rPr>
                <w:sz w:val="20"/>
                <w:szCs w:val="20"/>
                <w:color w:val="auto"/>
              </w:rPr>
            </w:pPr>
            <w:r>
              <w:rPr>
                <w:rFonts w:ascii="Times New Roman" w:cs="Times New Roman" w:eastAsia="Times New Roman" w:hAnsi="Times New Roman"/>
                <w:sz w:val="16"/>
                <w:szCs w:val="16"/>
                <w:color w:val="auto"/>
                <w:w w:val="97"/>
              </w:rPr>
              <w:t>See accompanying notes to consolidated financial statements.</w:t>
            </w: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jc w:val="center"/>
              <w:ind w:right="1060"/>
              <w:spacing w:after="0"/>
              <w:rPr>
                <w:sz w:val="20"/>
                <w:szCs w:val="20"/>
                <w:color w:val="auto"/>
              </w:rPr>
            </w:pPr>
            <w:r>
              <w:rPr>
                <w:rFonts w:ascii="Times New Roman" w:cs="Times New Roman" w:eastAsia="Times New Roman" w:hAnsi="Times New Roman"/>
                <w:sz w:val="16"/>
                <w:szCs w:val="16"/>
                <w:color w:val="auto"/>
                <w:w w:val="99"/>
              </w:rPr>
              <w:t>F-28</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6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280" w:type="dxa"/>
            <w:vAlign w:val="bottom"/>
            <w:gridSpan w:val="2"/>
          </w:tcPr>
          <w:p>
            <w:pPr>
              <w:jc w:val="center"/>
              <w:ind w:right="1060"/>
              <w:spacing w:after="0"/>
              <w:rPr>
                <w:sz w:val="20"/>
                <w:szCs w:val="20"/>
                <w:color w:val="auto"/>
              </w:rPr>
            </w:pPr>
            <w:r>
              <w:rPr>
                <w:rFonts w:ascii="Times New Roman" w:cs="Times New Roman" w:eastAsia="Times New Roman" w:hAnsi="Times New Roman"/>
                <w:sz w:val="16"/>
                <w:szCs w:val="16"/>
                <w:color w:val="auto"/>
                <w:w w:val="97"/>
              </w:rPr>
              <w:t>SEE ID, INC. AND SUBSIDIARY</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280" w:type="dxa"/>
            <w:vAlign w:val="bottom"/>
            <w:gridSpan w:val="2"/>
          </w:tcPr>
          <w:p>
            <w:pPr>
              <w:jc w:val="center"/>
              <w:ind w:right="1060"/>
              <w:spacing w:after="0"/>
              <w:rPr>
                <w:sz w:val="20"/>
                <w:szCs w:val="20"/>
                <w:color w:val="auto"/>
              </w:rPr>
            </w:pPr>
            <w:r>
              <w:rPr>
                <w:rFonts w:ascii="Times New Roman" w:cs="Times New Roman" w:eastAsia="Times New Roman" w:hAnsi="Times New Roman"/>
                <w:sz w:val="16"/>
                <w:szCs w:val="16"/>
                <w:color w:val="auto"/>
                <w:w w:val="97"/>
              </w:rPr>
              <w:t>Consolidated Balance Sheets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December 31,</w:t>
            </w: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0" w:type="dxa"/>
            <w:vAlign w:val="bottom"/>
            <w:gridSpan w:val="3"/>
            <w:vMerge w:val="restart"/>
          </w:tcPr>
          <w:p>
            <w:pPr>
              <w:jc w:val="center"/>
              <w:ind w:left="1182"/>
              <w:spacing w:after="0"/>
              <w:rPr>
                <w:sz w:val="20"/>
                <w:szCs w:val="20"/>
                <w:color w:val="auto"/>
              </w:rPr>
            </w:pPr>
            <w:r>
              <w:rPr>
                <w:rFonts w:ascii="Times New Roman" w:cs="Times New Roman" w:eastAsia="Times New Roman" w:hAnsi="Times New Roman"/>
                <w:sz w:val="16"/>
                <w:szCs w:val="16"/>
                <w:color w:val="auto"/>
                <w:w w:val="97"/>
              </w:rPr>
              <w:t>LIABILITIES AND STOCKHOLDERS’ DEFICIT</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w w:val="93"/>
              </w:rPr>
              <w:t>2023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6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220" w:type="dxa"/>
            <w:vAlign w:val="bottom"/>
            <w:tcBorders>
              <w:top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7940" w:type="dxa"/>
            <w:vAlign w:val="bottom"/>
            <w:gridSpan w:val="6"/>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81"/>
              <w:spacing w:after="0" w:line="180" w:lineRule="exact"/>
              <w:rPr>
                <w:sz w:val="20"/>
                <w:szCs w:val="20"/>
                <w:color w:val="auto"/>
              </w:rPr>
            </w:pPr>
            <w:r>
              <w:rPr>
                <w:rFonts w:ascii="Times New Roman" w:cs="Times New Roman" w:eastAsia="Times New Roman" w:hAnsi="Times New Roman"/>
                <w:sz w:val="16"/>
                <w:szCs w:val="16"/>
                <w:color w:val="auto"/>
              </w:rPr>
              <w:t>770,276</w:t>
            </w:r>
          </w:p>
        </w:tc>
        <w:tc>
          <w:tcPr>
            <w:tcW w:w="440" w:type="dxa"/>
            <w:vAlign w:val="bottom"/>
            <w:gridSpan w:val="2"/>
            <w:shd w:val="clear" w:color="auto" w:fill="CCEEFF"/>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1,734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40" w:type="dxa"/>
            <w:vAlign w:val="bottom"/>
            <w:gridSpan w:val="6"/>
          </w:tcPr>
          <w:p>
            <w:pPr>
              <w:ind w:left="140"/>
              <w:spacing w:after="0" w:line="180" w:lineRule="exact"/>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24,219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23,505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40" w:type="dxa"/>
            <w:vAlign w:val="bottom"/>
            <w:gridSpan w:val="6"/>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Payroll liabilities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1"/>
              <w:spacing w:after="0" w:line="180" w:lineRule="exact"/>
              <w:rPr>
                <w:sz w:val="20"/>
                <w:szCs w:val="20"/>
                <w:color w:val="auto"/>
              </w:rPr>
            </w:pPr>
            <w:r>
              <w:rPr>
                <w:rFonts w:ascii="Times New Roman" w:cs="Times New Roman" w:eastAsia="Times New Roman" w:hAnsi="Times New Roman"/>
                <w:sz w:val="16"/>
                <w:szCs w:val="16"/>
                <w:color w:val="auto"/>
              </w:rPr>
              <w:t>246,720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18,868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40" w:type="dxa"/>
            <w:vAlign w:val="bottom"/>
            <w:gridSpan w:val="6"/>
          </w:tcPr>
          <w:p>
            <w:pPr>
              <w:ind w:left="140"/>
              <w:spacing w:after="0" w:line="180" w:lineRule="exact"/>
              <w:rPr>
                <w:sz w:val="20"/>
                <w:szCs w:val="20"/>
                <w:color w:val="auto"/>
              </w:rPr>
            </w:pPr>
            <w:r>
              <w:rPr>
                <w:rFonts w:ascii="Times New Roman" w:cs="Times New Roman" w:eastAsia="Times New Roman" w:hAnsi="Times New Roman"/>
                <w:sz w:val="16"/>
                <w:szCs w:val="16"/>
                <w:color w:val="auto"/>
              </w:rPr>
              <w:t>Deferred revenue, current portion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1,142,643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liability, current portion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940" w:type="dxa"/>
            <w:vAlign w:val="bottom"/>
            <w:tcBorders>
              <w:top w:val="single" w:sz="8" w:color="CCEEFF"/>
              <w:bottom w:val="single" w:sz="8" w:color="CCEEFF"/>
            </w:tcBorders>
            <w:gridSpan w:val="6"/>
          </w:tcPr>
          <w:p>
            <w:pPr>
              <w:ind w:left="280"/>
              <w:spacing w:after="0" w:line="165" w:lineRule="exact"/>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2,220,083</w:t>
            </w:r>
          </w:p>
        </w:tc>
        <w:tc>
          <w:tcPr>
            <w:tcW w:w="1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44,107</w:t>
            </w:r>
          </w:p>
        </w:tc>
        <w:tc>
          <w:tcPr>
            <w:tcW w:w="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7940" w:type="dxa"/>
            <w:vAlign w:val="bottom"/>
            <w:gridSpan w:val="6"/>
          </w:tcPr>
          <w:p>
            <w:pPr>
              <w:spacing w:after="0" w:line="156" w:lineRule="exact"/>
              <w:rPr>
                <w:sz w:val="20"/>
                <w:szCs w:val="20"/>
                <w:color w:val="auto"/>
              </w:rPr>
            </w:pPr>
            <w:r>
              <w:rPr>
                <w:rFonts w:ascii="Times New Roman" w:cs="Times New Roman" w:eastAsia="Times New Roman" w:hAnsi="Times New Roman"/>
                <w:sz w:val="16"/>
                <w:szCs w:val="16"/>
                <w:color w:val="auto"/>
              </w:rPr>
              <w:t>Long-term liabilities: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tcBorders>
              <w:top w:val="single" w:sz="8" w:color="auto"/>
              <w:right w:val="single" w:sz="8" w:color="CCEEFF"/>
            </w:tcBorders>
            <w:gridSpan w:val="3"/>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w w:val="99"/>
              </w:rPr>
              <w:t>SAFE agreements</w:t>
            </w:r>
          </w:p>
        </w:tc>
        <w:tc>
          <w:tcPr>
            <w:tcW w:w="6600" w:type="dxa"/>
            <w:vAlign w:val="bottom"/>
            <w:gridSpan w:val="3"/>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23,334,626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4,602,950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40" w:type="dxa"/>
            <w:vAlign w:val="bottom"/>
            <w:gridSpan w:val="6"/>
          </w:tcPr>
          <w:p>
            <w:pPr>
              <w:ind w:left="140"/>
              <w:spacing w:after="0" w:line="180" w:lineRule="exact"/>
              <w:rPr>
                <w:sz w:val="20"/>
                <w:szCs w:val="20"/>
                <w:color w:val="auto"/>
              </w:rPr>
            </w:pPr>
            <w:r>
              <w:rPr>
                <w:rFonts w:ascii="Times New Roman" w:cs="Times New Roman" w:eastAsia="Times New Roman" w:hAnsi="Times New Roman"/>
                <w:sz w:val="16"/>
                <w:szCs w:val="16"/>
                <w:color w:val="auto"/>
              </w:rPr>
              <w:t>Deferred revenue, net of current portion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1,570,572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liability, net of current portion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265,413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940" w:type="dxa"/>
            <w:vAlign w:val="bottom"/>
            <w:tcBorders>
              <w:top w:val="single" w:sz="8" w:color="CCEEFF"/>
              <w:bottom w:val="single" w:sz="8" w:color="CCEEFF"/>
            </w:tcBorders>
            <w:gridSpan w:val="6"/>
          </w:tcPr>
          <w:p>
            <w:pPr>
              <w:ind w:left="280"/>
              <w:spacing w:after="0" w:line="165" w:lineRule="exact"/>
              <w:rPr>
                <w:sz w:val="20"/>
                <w:szCs w:val="20"/>
                <w:color w:val="auto"/>
              </w:rPr>
            </w:pPr>
            <w:r>
              <w:rPr>
                <w:rFonts w:ascii="Times New Roman" w:cs="Times New Roman" w:eastAsia="Times New Roman" w:hAnsi="Times New Roman"/>
                <w:sz w:val="16"/>
                <w:szCs w:val="16"/>
                <w:color w:val="auto"/>
              </w:rPr>
              <w:t>Total long-term liabilities</w:t>
            </w:r>
          </w:p>
        </w:tc>
        <w:tc>
          <w:tcPr>
            <w:tcW w:w="18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25,170,611</w:t>
            </w:r>
          </w:p>
        </w:tc>
        <w:tc>
          <w:tcPr>
            <w:tcW w:w="1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4,602,950</w:t>
            </w:r>
          </w:p>
        </w:tc>
        <w:tc>
          <w:tcPr>
            <w:tcW w:w="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40" w:type="dxa"/>
            <w:vAlign w:val="bottom"/>
            <w:tcBorders>
              <w:bottom w:val="single" w:sz="8" w:color="CCEEFF"/>
            </w:tcBorders>
            <w:gridSpan w:val="6"/>
            <w:shd w:val="clear" w:color="auto" w:fill="CCEEFF"/>
          </w:tcPr>
          <w:p>
            <w:pPr>
              <w:ind w:left="420"/>
              <w:spacing w:after="0" w:line="180" w:lineRule="exact"/>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27,390,694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4,647,057</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940" w:type="dxa"/>
            <w:vAlign w:val="bottom"/>
            <w:gridSpan w:val="6"/>
          </w:tcPr>
          <w:p>
            <w:pPr>
              <w:spacing w:after="0" w:line="165" w:lineRule="exact"/>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340" w:type="dxa"/>
            <w:vAlign w:val="bottom"/>
            <w:tcBorders>
              <w:bottom w:val="single" w:sz="8" w:color="auto"/>
            </w:tcBorders>
            <w:gridSpan w:val="3"/>
          </w:tcPr>
          <w:p>
            <w:pPr>
              <w:spacing w:after="0" w:line="156" w:lineRule="exact"/>
              <w:rPr>
                <w:sz w:val="20"/>
                <w:szCs w:val="20"/>
                <w:color w:val="auto"/>
              </w:rPr>
            </w:pPr>
            <w:r>
              <w:rPr>
                <w:rFonts w:ascii="Times New Roman" w:cs="Times New Roman" w:eastAsia="Times New Roman" w:hAnsi="Times New Roman"/>
                <w:sz w:val="16"/>
                <w:szCs w:val="16"/>
                <w:color w:val="auto"/>
                <w:w w:val="94"/>
              </w:rPr>
              <w:t>Stockholders’ deficit:</w:t>
            </w:r>
          </w:p>
        </w:tc>
        <w:tc>
          <w:tcPr>
            <w:tcW w:w="660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940" w:type="dxa"/>
            <w:vAlign w:val="bottom"/>
            <w:gridSpan w:val="6"/>
            <w:shd w:val="clear" w:color="auto" w:fill="CCEEFF"/>
          </w:tcPr>
          <w:p>
            <w:pPr>
              <w:ind w:left="140"/>
              <w:spacing w:after="0" w:line="167" w:lineRule="exact"/>
              <w:rPr>
                <w:sz w:val="20"/>
                <w:szCs w:val="20"/>
                <w:color w:val="auto"/>
              </w:rPr>
            </w:pPr>
            <w:r>
              <w:rPr>
                <w:rFonts w:ascii="Times New Roman" w:cs="Times New Roman" w:eastAsia="Times New Roman" w:hAnsi="Times New Roman"/>
                <w:sz w:val="16"/>
                <w:szCs w:val="16"/>
                <w:color w:val="auto"/>
                <w:w w:val="99"/>
              </w:rPr>
              <w:t>Common stock, $0.001 par value, 200,000,000 shares authorized; 108,975,000 shares issued and outstanding at December</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40" w:type="dxa"/>
            <w:vAlign w:val="bottom"/>
            <w:gridSpan w:val="6"/>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31, 2024 and 2023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108,975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108,975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40" w:type="dxa"/>
            <w:vAlign w:val="bottom"/>
            <w:gridSpan w:val="6"/>
          </w:tcPr>
          <w:p>
            <w:pPr>
              <w:ind w:left="140"/>
              <w:spacing w:after="0" w:line="180" w:lineRule="exact"/>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81"/>
              <w:spacing w:after="0" w:line="180" w:lineRule="exact"/>
              <w:rPr>
                <w:sz w:val="20"/>
                <w:szCs w:val="20"/>
                <w:color w:val="auto"/>
              </w:rPr>
            </w:pPr>
            <w:r>
              <w:rPr>
                <w:rFonts w:ascii="Times New Roman" w:cs="Times New Roman" w:eastAsia="Times New Roman" w:hAnsi="Times New Roman"/>
                <w:sz w:val="16"/>
                <w:szCs w:val="16"/>
                <w:color w:val="auto"/>
              </w:rPr>
              <w:t>330,366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133,360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4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(24,733,263)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6"/>
              </w:rPr>
              <w:t>(3,195,833)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940" w:type="dxa"/>
            <w:vAlign w:val="bottom"/>
            <w:tcBorders>
              <w:top w:val="single" w:sz="8" w:color="CCEEFF"/>
              <w:bottom w:val="single" w:sz="8" w:color="CCEEFF"/>
            </w:tcBorders>
            <w:gridSpan w:val="6"/>
          </w:tcPr>
          <w:p>
            <w:pPr>
              <w:ind w:left="280"/>
              <w:spacing w:after="0" w:line="165" w:lineRule="exact"/>
              <w:rPr>
                <w:sz w:val="20"/>
                <w:szCs w:val="20"/>
                <w:color w:val="auto"/>
              </w:rPr>
            </w:pPr>
            <w:r>
              <w:rPr>
                <w:rFonts w:ascii="Times New Roman" w:cs="Times New Roman" w:eastAsia="Times New Roman" w:hAnsi="Times New Roman"/>
                <w:sz w:val="16"/>
                <w:szCs w:val="16"/>
                <w:color w:val="auto"/>
              </w:rPr>
              <w:t>Total stockholders’ deficit</w:t>
            </w:r>
          </w:p>
        </w:tc>
        <w:tc>
          <w:tcPr>
            <w:tcW w:w="18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(24,293,922</w:t>
            </w:r>
          </w:p>
        </w:tc>
        <w:tc>
          <w:tcPr>
            <w:tcW w:w="120" w:type="dxa"/>
            <w:vAlign w:val="bottom"/>
            <w:tcBorders>
              <w:top w:val="single" w:sz="8" w:color="CCEEFF"/>
              <w:bottom w:val="single" w:sz="8" w:color="CCEEFF"/>
            </w:tcBorders>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w w:val="98"/>
              </w:rPr>
              <w:t>(2,953,498</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40" w:type="dxa"/>
            <w:vAlign w:val="bottom"/>
            <w:gridSpan w:val="6"/>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3,096,772</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1,693,559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bottom w:val="single" w:sz="8" w:color="CCEEFF"/>
            </w:tcBorders>
            <w:gridSpan w:val="3"/>
            <w:vMerge w:val="restart"/>
          </w:tcPr>
          <w:p>
            <w:pPr>
              <w:jc w:val="center"/>
              <w:ind w:left="1202"/>
              <w:spacing w:after="0"/>
              <w:rPr>
                <w:sz w:val="20"/>
                <w:szCs w:val="20"/>
                <w:color w:val="auto"/>
              </w:rPr>
            </w:pPr>
            <w:r>
              <w:rPr>
                <w:rFonts w:ascii="Times New Roman" w:cs="Times New Roman" w:eastAsia="Times New Roman" w:hAnsi="Times New Roman"/>
                <w:sz w:val="16"/>
                <w:szCs w:val="16"/>
                <w:color w:val="auto"/>
                <w:w w:val="97"/>
              </w:rPr>
              <w:t>See accompanying notes to consolidated financial statements.</w:t>
            </w: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jc w:val="center"/>
              <w:ind w:right="1060"/>
              <w:spacing w:after="0"/>
              <w:rPr>
                <w:sz w:val="20"/>
                <w:szCs w:val="20"/>
                <w:color w:val="auto"/>
              </w:rPr>
            </w:pPr>
            <w:r>
              <w:rPr>
                <w:rFonts w:ascii="Times New Roman" w:cs="Times New Roman" w:eastAsia="Times New Roman" w:hAnsi="Times New Roman"/>
                <w:sz w:val="16"/>
                <w:szCs w:val="16"/>
                <w:color w:val="auto"/>
                <w:w w:val="99"/>
              </w:rPr>
              <w:t>F-29</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6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280" w:type="dxa"/>
            <w:vAlign w:val="bottom"/>
            <w:gridSpan w:val="2"/>
          </w:tcPr>
          <w:p>
            <w:pPr>
              <w:jc w:val="center"/>
              <w:ind w:right="1060"/>
              <w:spacing w:after="0"/>
              <w:rPr>
                <w:sz w:val="20"/>
                <w:szCs w:val="20"/>
                <w:color w:val="auto"/>
              </w:rPr>
            </w:pPr>
            <w:r>
              <w:rPr>
                <w:rFonts w:ascii="Times New Roman" w:cs="Times New Roman" w:eastAsia="Times New Roman" w:hAnsi="Times New Roman"/>
                <w:sz w:val="16"/>
                <w:szCs w:val="16"/>
                <w:color w:val="auto"/>
                <w:w w:val="97"/>
              </w:rPr>
              <w:t>SEE ID, INC. AND SUBSIDIARY</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280" w:type="dxa"/>
            <w:vAlign w:val="bottom"/>
            <w:gridSpan w:val="2"/>
          </w:tcPr>
          <w:p>
            <w:pPr>
              <w:jc w:val="center"/>
              <w:ind w:right="1080"/>
              <w:spacing w:after="0"/>
              <w:rPr>
                <w:sz w:val="20"/>
                <w:szCs w:val="20"/>
                <w:color w:val="auto"/>
              </w:rPr>
            </w:pPr>
            <w:r>
              <w:rPr>
                <w:rFonts w:ascii="Times New Roman" w:cs="Times New Roman" w:eastAsia="Times New Roman" w:hAnsi="Times New Roman"/>
                <w:sz w:val="16"/>
                <w:szCs w:val="16"/>
                <w:color w:val="auto"/>
                <w:w w:val="97"/>
              </w:rPr>
              <w:t>Consolidated Statements of Operations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6"/>
          </w:tcPr>
          <w:p>
            <w:pPr>
              <w:jc w:val="right"/>
              <w:ind w:right="161"/>
              <w:spacing w:after="0"/>
              <w:rPr>
                <w:sz w:val="20"/>
                <w:szCs w:val="20"/>
                <w:color w:val="auto"/>
              </w:rPr>
            </w:pPr>
            <w:r>
              <w:rPr>
                <w:rFonts w:ascii="Times New Roman" w:cs="Times New Roman" w:eastAsia="Times New Roman" w:hAnsi="Times New Roman"/>
                <w:sz w:val="16"/>
                <w:szCs w:val="16"/>
                <w:color w:val="auto"/>
                <w:w w:val="97"/>
              </w:rPr>
              <w:t>For the year ended 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320" w:type="dxa"/>
            <w:vAlign w:val="bottom"/>
            <w:tcBorders>
              <w:bottom w:val="single" w:sz="8" w:color="CCEEFF"/>
            </w:tcBorders>
          </w:tcPr>
          <w:p>
            <w:pPr>
              <w:spacing w:after="0"/>
              <w:rPr>
                <w:sz w:val="17"/>
                <w:szCs w:val="17"/>
                <w:color w:val="auto"/>
              </w:rPr>
            </w:pPr>
          </w:p>
        </w:tc>
        <w:tc>
          <w:tcPr>
            <w:tcW w:w="32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w w:val="93"/>
              </w:rPr>
              <w:t>2023</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40" w:type="dxa"/>
            <w:vAlign w:val="bottom"/>
            <w:gridSpan w:val="6"/>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Sales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172,661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439,640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343,889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940" w:type="dxa"/>
            <w:vAlign w:val="bottom"/>
            <w:tcBorders>
              <w:top w:val="single" w:sz="8" w:color="CCEEFF"/>
              <w:bottom w:val="single" w:sz="8" w:color="CCEEFF"/>
            </w:tcBorders>
            <w:gridSpan w:val="6"/>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Gross profit (loss)</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(171,228</w:t>
            </w:r>
          </w:p>
        </w:tc>
        <w:tc>
          <w:tcPr>
            <w:tcW w:w="12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352,752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940" w:type="dxa"/>
            <w:vAlign w:val="bottom"/>
            <w:gridSpan w:val="6"/>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7940" w:type="dxa"/>
            <w:vAlign w:val="bottom"/>
            <w:gridSpan w:val="6"/>
          </w:tcPr>
          <w:p>
            <w:pPr>
              <w:ind w:left="140"/>
              <w:spacing w:after="0" w:line="180" w:lineRule="exact"/>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3,588,548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742,041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40" w:type="dxa"/>
            <w:vAlign w:val="bottom"/>
            <w:gridSpan w:val="6"/>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2,524,930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449,936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gridSpan w:val="6"/>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759,967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837,453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40" w:type="dxa"/>
            <w:vAlign w:val="bottom"/>
            <w:tcBorders>
              <w:top w:val="single" w:sz="8" w:color="CCEEFF"/>
              <w:bottom w:val="single" w:sz="8" w:color="CCEEFF"/>
            </w:tcBorders>
            <w:gridSpan w:val="6"/>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6,873,445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2,029,430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940" w:type="dxa"/>
            <w:vAlign w:val="bottom"/>
            <w:tcBorders>
              <w:bottom w:val="single" w:sz="8" w:color="CCEEFF"/>
            </w:tcBorders>
            <w:gridSpan w:val="6"/>
          </w:tcPr>
          <w:p>
            <w:pPr>
              <w:ind w:left="420"/>
              <w:spacing w:after="0" w:line="165" w:lineRule="exact"/>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(7,044,673</w:t>
            </w:r>
          </w:p>
        </w:tc>
        <w:tc>
          <w:tcPr>
            <w:tcW w:w="12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w w:val="98"/>
              </w:rPr>
              <w:t>(1,676,678</w:t>
            </w:r>
          </w:p>
        </w:tc>
        <w:tc>
          <w:tcPr>
            <w:tcW w:w="8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940" w:type="dxa"/>
            <w:vAlign w:val="bottom"/>
            <w:gridSpan w:val="6"/>
          </w:tcPr>
          <w:p>
            <w:pPr>
              <w:spacing w:after="0" w:line="156" w:lineRule="exact"/>
              <w:rPr>
                <w:sz w:val="20"/>
                <w:szCs w:val="20"/>
                <w:color w:val="auto"/>
              </w:rPr>
            </w:pPr>
            <w:r>
              <w:rPr>
                <w:rFonts w:ascii="Times New Roman" w:cs="Times New Roman" w:eastAsia="Times New Roman" w:hAnsi="Times New Roman"/>
                <w:sz w:val="16"/>
                <w:szCs w:val="16"/>
                <w:color w:val="auto"/>
              </w:rPr>
              <w:t>Other expense:</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tcBorders>
              <w:bottom w:val="single" w:sz="8" w:color="CCEEFF"/>
            </w:tcBorders>
            <w:gridSpan w:val="6"/>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SAFE agreements</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14,492,176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263,239</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0" w:orient="portrait"/>
          <w:cols w:equalWidth="0" w:num="1">
            <w:col w:w="10560"/>
          </w:cols>
          <w:pgMar w:left="660" w:top="542" w:right="680" w:bottom="206" w:gutter="0" w:footer="0" w:header="0"/>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6707505" cy="1143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Provision for income taxes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707505" cy="1600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07505"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jc w:val="both"/>
        <w:ind w:left="320"/>
        <w:spacing w:after="0"/>
        <w:tabs>
          <w:tab w:leader="none" w:pos="1640" w:val="left"/>
        </w:tabs>
        <w:rPr>
          <w:sz w:val="20"/>
          <w:szCs w:val="20"/>
          <w:color w:val="auto"/>
        </w:rPr>
      </w:pPr>
      <w:r>
        <w:rPr>
          <w:rFonts w:ascii="Times New Roman" w:cs="Times New Roman" w:eastAsia="Times New Roman" w:hAnsi="Times New Roman"/>
          <w:sz w:val="16"/>
          <w:szCs w:val="16"/>
          <w:color w:val="auto"/>
        </w:rPr>
        <w:t>(21,536,849)</w:t>
      </w:r>
      <w:r>
        <w:rPr>
          <w:sz w:val="20"/>
          <w:szCs w:val="20"/>
          <w:color w:val="auto"/>
        </w:rPr>
        <w:tab/>
      </w:r>
      <w:r>
        <w:rPr>
          <w:rFonts w:ascii="Times New Roman" w:cs="Times New Roman" w:eastAsia="Times New Roman" w:hAnsi="Times New Roman"/>
          <w:sz w:val="16"/>
          <w:szCs w:val="16"/>
          <w:color w:val="auto"/>
        </w:rPr>
        <w:t>(1,939,917)</w:t>
      </w:r>
    </w:p>
    <w:p>
      <w:pPr>
        <w:spacing w:after="0" w:line="19" w:lineRule="exact"/>
        <w:rPr>
          <w:sz w:val="20"/>
          <w:szCs w:val="20"/>
          <w:color w:val="auto"/>
        </w:rPr>
      </w:pPr>
    </w:p>
    <w:p>
      <w:pPr>
        <w:ind w:left="2280" w:hanging="1447"/>
        <w:spacing w:after="0"/>
        <w:tabs>
          <w:tab w:leader="none" w:pos="228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   (21,537,430</w:t>
      </w:r>
      <w:r>
        <w:rPr>
          <w:rFonts w:ascii="Times New Roman" w:cs="Times New Roman" w:eastAsia="Times New Roman" w:hAnsi="Times New Roman"/>
          <w:sz w:val="16"/>
          <w:szCs w:val="16"/>
          <w:color w:val="auto"/>
        </w:rPr>
        <w:t>)  $</w:t>
      </w:r>
      <w:r>
        <w:rPr>
          <w:rFonts w:ascii="Times New Roman" w:cs="Times New Roman" w:eastAsia="Times New Roman" w:hAnsi="Times New Roman"/>
          <w:sz w:val="14"/>
          <w:szCs w:val="14"/>
          <w:color w:val="auto"/>
        </w:rPr>
        <w:t>(1,939,917)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1478915"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78915" cy="1524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7420" w:space="720"/>
            <w:col w:w="2420"/>
          </w:cols>
          <w:pgMar w:left="660" w:top="542" w:right="680" w:bottom="206" w:gutter="0" w:footer="0" w:header="0"/>
          <w:type w:val="continuous"/>
        </w:sectPr>
      </w:pP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20"/>
                <w:szCs w:val="20"/>
                <w:color w:val="auto"/>
              </w:rPr>
            </w:pPr>
            <w:r>
              <w:rPr>
                <w:rFonts w:ascii="Times New Roman" w:cs="Times New Roman" w:eastAsia="Times New Roman" w:hAnsi="Times New Roman"/>
                <w:sz w:val="16"/>
                <w:szCs w:val="16"/>
                <w:u w:val="single" w:color="auto"/>
                <w:color w:val="auto"/>
              </w:rPr>
              <w:t>Net loss per share</w:t>
            </w:r>
            <w:r>
              <w:rPr>
                <w:rFonts w:ascii="Times New Roman" w:cs="Times New Roman" w:eastAsia="Times New Roman" w:hAnsi="Times New Roman"/>
                <w:sz w:val="16"/>
                <w:szCs w:val="16"/>
                <w:color w:val="auto"/>
              </w:rPr>
              <w:t>:</w:t>
            </w:r>
          </w:p>
        </w:tc>
        <w:tc>
          <w:tcPr>
            <w:tcW w:w="3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5"/>
        </w:trPr>
        <w:tc>
          <w:tcPr>
            <w:tcW w:w="4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Basic and diluted</w:t>
            </w:r>
          </w:p>
        </w:tc>
        <w:tc>
          <w:tcPr>
            <w:tcW w:w="380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(0.20)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-241935</wp:posOffset>
            </wp:positionV>
            <wp:extent cx="6707505" cy="1143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295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Weighted-average number of shares</w:t>
      </w:r>
      <w:r>
        <w:rPr>
          <w:rFonts w:ascii="Times New Roman" w:cs="Times New Roman" w:eastAsia="Times New Roman" w:hAnsi="Times New Roman"/>
          <w:sz w:val="16"/>
          <w:szCs w:val="16"/>
          <w:color w:val="auto"/>
        </w:rPr>
        <w:t>:</w:t>
      </w:r>
    </w:p>
    <w:p>
      <w:pPr>
        <w:sectPr>
          <w:pgSz w:w="11900" w:h="16840" w:orient="portrait"/>
          <w:cols w:equalWidth="0" w:num="1">
            <w:col w:w="10560"/>
          </w:cols>
          <w:pgMar w:left="660" w:top="542" w:right="680" w:bottom="206"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196"/>
        </w:trPr>
        <w:tc>
          <w:tcPr>
            <w:tcW w:w="81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Basic and diluted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108,203,788</w:t>
            </w: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95,983,188</w:t>
            </w:r>
          </w:p>
        </w:tc>
        <w:tc>
          <w:tcPr>
            <w:tcW w:w="80" w:type="dxa"/>
            <w:vAlign w:val="bottom"/>
            <w:tcBorders>
              <w:bottom w:val="single" w:sz="8" w:color="CCEEFF"/>
            </w:tcBorders>
            <w:shd w:val="clear" w:color="auto" w:fill="CCEEFF"/>
          </w:tcPr>
          <w:p>
            <w:pPr>
              <w:spacing w:after="0"/>
              <w:rPr>
                <w:sz w:val="17"/>
                <w:szCs w:val="17"/>
                <w:color w:val="auto"/>
              </w:rPr>
            </w:pPr>
          </w:p>
        </w:tc>
      </w:tr>
    </w:tbl>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570" w:right="680" w:bottom="2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900"/>
        <w:spacing w:after="0" w:line="247" w:lineRule="auto"/>
        <w:rPr>
          <w:sz w:val="20"/>
          <w:szCs w:val="20"/>
          <w:color w:val="auto"/>
        </w:rPr>
      </w:pPr>
      <w:r>
        <w:rPr>
          <w:rFonts w:ascii="Times New Roman" w:cs="Times New Roman" w:eastAsia="Times New Roman" w:hAnsi="Times New Roman"/>
          <w:sz w:val="16"/>
          <w:szCs w:val="16"/>
          <w:color w:val="auto"/>
        </w:rPr>
        <w:t>Balances at January 1, 2023 Stock-based compensation Net loss</w:t>
      </w:r>
    </w:p>
    <w:p>
      <w:pPr>
        <w:spacing w:after="0" w:line="8" w:lineRule="exact"/>
        <w:rPr>
          <w:sz w:val="20"/>
          <w:szCs w:val="20"/>
          <w:color w:val="auto"/>
        </w:rPr>
      </w:pPr>
    </w:p>
    <w:p>
      <w:pPr>
        <w:ind w:right="680"/>
        <w:spacing w:after="0" w:line="245" w:lineRule="auto"/>
        <w:rPr>
          <w:sz w:val="20"/>
          <w:szCs w:val="20"/>
          <w:color w:val="auto"/>
        </w:rPr>
      </w:pPr>
      <w:r>
        <w:rPr>
          <w:rFonts w:ascii="Times New Roman" w:cs="Times New Roman" w:eastAsia="Times New Roman" w:hAnsi="Times New Roman"/>
          <w:sz w:val="16"/>
          <w:szCs w:val="16"/>
          <w:color w:val="auto"/>
        </w:rPr>
        <w:t>Balances at December 31, 2023 Stock-based compensation 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Balances at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360"/>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0" w:lineRule="exact"/>
        <w:rPr>
          <w:sz w:val="20"/>
          <w:szCs w:val="20"/>
          <w:color w:val="auto"/>
        </w:rPr>
      </w:pPr>
    </w:p>
    <w:p>
      <w:pPr>
        <w:jc w:val="center"/>
        <w:ind w:right="3360"/>
        <w:spacing w:after="0"/>
        <w:rPr>
          <w:sz w:val="20"/>
          <w:szCs w:val="20"/>
          <w:color w:val="auto"/>
        </w:rPr>
      </w:pPr>
      <w:r>
        <w:rPr>
          <w:rFonts w:ascii="Times New Roman" w:cs="Times New Roman" w:eastAsia="Times New Roman" w:hAnsi="Times New Roman"/>
          <w:sz w:val="16"/>
          <w:szCs w:val="16"/>
          <w:color w:val="auto"/>
        </w:rPr>
        <w:t>Consolidated Statements of Stockholders’ Deficit</w:t>
      </w:r>
    </w:p>
    <w:p>
      <w:pPr>
        <w:jc w:val="center"/>
        <w:ind w:right="3320"/>
        <w:spacing w:after="0"/>
        <w:rPr>
          <w:sz w:val="20"/>
          <w:szCs w:val="20"/>
          <w:color w:val="auto"/>
        </w:rPr>
      </w:pPr>
      <w:r>
        <w:rPr>
          <w:rFonts w:ascii="Times New Roman" w:cs="Times New Roman" w:eastAsia="Times New Roman" w:hAnsi="Times New Roman"/>
          <w:sz w:val="16"/>
          <w:szCs w:val="16"/>
          <w:color w:val="auto"/>
        </w:rPr>
        <w:t>For the Years Ended December 31, 2024 and 2023</w:t>
      </w:r>
    </w:p>
    <w:p>
      <w:pPr>
        <w:spacing w:after="0" w:line="154"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Additional</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60" w:type="dxa"/>
            <w:vAlign w:val="bottom"/>
            <w:gridSpan w:val="5"/>
          </w:tcPr>
          <w:p>
            <w:pPr>
              <w:jc w:val="right"/>
              <w:ind w:right="900"/>
              <w:spacing w:after="0"/>
              <w:rPr>
                <w:sz w:val="20"/>
                <w:szCs w:val="20"/>
                <w:color w:val="auto"/>
              </w:rPr>
            </w:pPr>
            <w:r>
              <w:rPr>
                <w:rFonts w:ascii="Times New Roman" w:cs="Times New Roman" w:eastAsia="Times New Roman" w:hAnsi="Times New Roman"/>
                <w:sz w:val="16"/>
                <w:szCs w:val="16"/>
                <w:color w:val="auto"/>
              </w:rPr>
              <w:t>Common Stock</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Paid-in</w:t>
            </w:r>
          </w:p>
        </w:tc>
        <w:tc>
          <w:tcPr>
            <w:tcW w:w="80" w:type="dxa"/>
            <w:vAlign w:val="bottom"/>
          </w:tcPr>
          <w:p>
            <w:pPr>
              <w:spacing w:after="0"/>
              <w:rPr>
                <w:sz w:val="18"/>
                <w:szCs w:val="18"/>
                <w:color w:val="auto"/>
              </w:rPr>
            </w:pPr>
          </w:p>
        </w:tc>
        <w:tc>
          <w:tcPr>
            <w:tcW w:w="108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w w:val="98"/>
              </w:rPr>
              <w:t>Accumulated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8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Shares</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rPr>
              <w:t>Amount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Capital</w:t>
            </w:r>
          </w:p>
        </w:tc>
        <w:tc>
          <w:tcPr>
            <w:tcW w:w="80" w:type="dxa"/>
            <w:vAlign w:val="bottom"/>
          </w:tcPr>
          <w:p>
            <w:pPr>
              <w:spacing w:after="0"/>
              <w:rPr>
                <w:sz w:val="17"/>
                <w:szCs w:val="17"/>
                <w:color w:val="auto"/>
              </w:rPr>
            </w:pPr>
          </w:p>
        </w:tc>
        <w:tc>
          <w:tcPr>
            <w:tcW w:w="1080" w:type="dxa"/>
            <w:vAlign w:val="bottom"/>
            <w:gridSpan w:val="2"/>
          </w:tcPr>
          <w:p>
            <w:pPr>
              <w:jc w:val="right"/>
              <w:ind w:right="381"/>
              <w:spacing w:after="0"/>
              <w:rPr>
                <w:sz w:val="20"/>
                <w:szCs w:val="20"/>
                <w:color w:val="auto"/>
              </w:rPr>
            </w:pPr>
            <w:r>
              <w:rPr>
                <w:rFonts w:ascii="Times New Roman" w:cs="Times New Roman" w:eastAsia="Times New Roman" w:hAnsi="Times New Roman"/>
                <w:sz w:val="16"/>
                <w:szCs w:val="16"/>
                <w:color w:val="auto"/>
              </w:rPr>
              <w:t>Deficit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361"/>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67"/>
        </w:trPr>
        <w:tc>
          <w:tcPr>
            <w:tcW w:w="106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108,975,000</w:t>
            </w:r>
          </w:p>
        </w:tc>
        <w:tc>
          <w:tcPr>
            <w:tcW w:w="220" w:type="dxa"/>
            <w:vAlign w:val="bottom"/>
          </w:tcPr>
          <w:p>
            <w:pPr>
              <w:spacing w:after="0"/>
              <w:rPr>
                <w:sz w:val="14"/>
                <w:szCs w:val="14"/>
                <w:color w:val="auto"/>
              </w:rPr>
            </w:pPr>
          </w:p>
        </w:tc>
        <w:tc>
          <w:tcPr>
            <w:tcW w:w="180" w:type="dxa"/>
            <w:vAlign w:val="bottom"/>
            <w:tcBorders>
              <w:top w:val="single" w:sz="8" w:color="auto"/>
            </w:tcBorders>
          </w:tcPr>
          <w:p>
            <w:pPr>
              <w:jc w:val="right"/>
              <w:ind w:right="22"/>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108,975</w:t>
            </w:r>
          </w:p>
        </w:tc>
        <w:tc>
          <w:tcPr>
            <w:tcW w:w="220" w:type="dxa"/>
            <w:vAlign w:val="bottom"/>
          </w:tcPr>
          <w:p>
            <w:pPr>
              <w:spacing w:after="0"/>
              <w:rPr>
                <w:sz w:val="14"/>
                <w:szCs w:val="14"/>
                <w:color w:val="auto"/>
              </w:rPr>
            </w:pPr>
          </w:p>
        </w:tc>
        <w:tc>
          <w:tcPr>
            <w:tcW w:w="14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71,543</w:t>
            </w:r>
          </w:p>
        </w:tc>
        <w:tc>
          <w:tcPr>
            <w:tcW w:w="2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(1,255,916)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top w:val="single" w:sz="8" w:color="auto"/>
            </w:tcBorders>
          </w:tcPr>
          <w:p>
            <w:pPr>
              <w:jc w:val="right"/>
              <w:ind w:right="42"/>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(1,075,398)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61,817</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81"/>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61,817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(1,939,917)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(1,939,917)</w:t>
            </w:r>
          </w:p>
        </w:tc>
        <w:tc>
          <w:tcPr>
            <w:tcW w:w="0" w:type="dxa"/>
            <w:vAlign w:val="bottom"/>
          </w:tcPr>
          <w:p>
            <w:pPr>
              <w:spacing w:after="0"/>
              <w:rPr>
                <w:sz w:val="1"/>
                <w:szCs w:val="1"/>
                <w:color w:val="auto"/>
              </w:rPr>
            </w:pPr>
          </w:p>
        </w:tc>
      </w:tr>
      <w:tr>
        <w:trPr>
          <w:trHeight w:val="167"/>
        </w:trPr>
        <w:tc>
          <w:tcPr>
            <w:tcW w:w="106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108,975,000</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108,975</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133,360</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(3,195,833)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(2,953,498)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197,006</w:t>
            </w:r>
          </w:p>
        </w:tc>
        <w:tc>
          <w:tcPr>
            <w:tcW w:w="80" w:type="dxa"/>
            <w:vAlign w:val="bottom"/>
          </w:tcPr>
          <w:p>
            <w:pPr>
              <w:spacing w:after="0"/>
              <w:rPr>
                <w:sz w:val="15"/>
                <w:szCs w:val="15"/>
                <w:color w:val="auto"/>
              </w:rPr>
            </w:pPr>
          </w:p>
        </w:tc>
        <w:tc>
          <w:tcPr>
            <w:tcW w:w="1080" w:type="dxa"/>
            <w:vAlign w:val="bottom"/>
            <w:gridSpan w:val="2"/>
          </w:tcPr>
          <w:p>
            <w:pPr>
              <w:jc w:val="right"/>
              <w:ind w:right="81"/>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197,006</w:t>
            </w:r>
          </w:p>
        </w:tc>
        <w:tc>
          <w:tcPr>
            <w:tcW w:w="0" w:type="dxa"/>
            <w:vAlign w:val="bottom"/>
          </w:tcPr>
          <w:p>
            <w:pPr>
              <w:spacing w:after="0"/>
              <w:rPr>
                <w:sz w:val="1"/>
                <w:szCs w:val="1"/>
                <w:color w:val="auto"/>
              </w:rPr>
            </w:pPr>
          </w:p>
        </w:tc>
      </w:tr>
      <w:tr>
        <w:trPr>
          <w:trHeight w:val="205"/>
        </w:trPr>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(21,537,430)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(21,537,430)</w:t>
            </w:r>
          </w:p>
        </w:tc>
        <w:tc>
          <w:tcPr>
            <w:tcW w:w="0" w:type="dxa"/>
            <w:vAlign w:val="bottom"/>
          </w:tcPr>
          <w:p>
            <w:pPr>
              <w:spacing w:after="0"/>
              <w:rPr>
                <w:sz w:val="1"/>
                <w:szCs w:val="1"/>
                <w:color w:val="auto"/>
              </w:rPr>
            </w:pPr>
          </w:p>
        </w:tc>
      </w:tr>
      <w:tr>
        <w:trPr>
          <w:trHeight w:val="24"/>
        </w:trPr>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vMerge w:val="restart"/>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08"/>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108,975,000</w:t>
            </w:r>
          </w:p>
        </w:tc>
        <w:tc>
          <w:tcPr>
            <w:tcW w:w="220" w:type="dxa"/>
            <w:vAlign w:val="bottom"/>
          </w:tcPr>
          <w:p>
            <w:pPr>
              <w:spacing w:after="0"/>
              <w:rPr>
                <w:sz w:val="18"/>
                <w:szCs w:val="18"/>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108,975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330,366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(24,733,263</w:t>
            </w:r>
          </w:p>
        </w:tc>
        <w:tc>
          <w:tcPr>
            <w:tcW w:w="120" w:type="dxa"/>
            <w:vAlign w:val="bottom"/>
            <w:vMerge w:val="continue"/>
          </w:tcPr>
          <w:p>
            <w:pPr>
              <w:spacing w:after="0"/>
              <w:rPr>
                <w:sz w:val="18"/>
                <w:szCs w:val="18"/>
                <w:color w:val="auto"/>
              </w:rPr>
            </w:pPr>
          </w:p>
        </w:tc>
        <w:tc>
          <w:tcPr>
            <w:tcW w:w="2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(24,293,922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-906145</wp:posOffset>
            </wp:positionV>
            <wp:extent cx="6707505" cy="1219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-669925</wp:posOffset>
            </wp:positionV>
            <wp:extent cx="6707505" cy="1295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-418465</wp:posOffset>
            </wp:positionV>
            <wp:extent cx="6707505" cy="1143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-174625</wp:posOffset>
            </wp:positionV>
            <wp:extent cx="6707505" cy="152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07505" cy="15240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36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5715</wp:posOffset>
            </wp:positionV>
            <wp:extent cx="670750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2660" w:space="720"/>
            <w:col w:w="7180"/>
          </w:cols>
          <w:pgMar w:left="660" w:top="570" w:right="680" w:bottom="256"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5"/>
          </w:tcPr>
          <w:p>
            <w:pPr>
              <w:jc w:val="right"/>
              <w:ind w:right="161"/>
              <w:spacing w:after="0"/>
              <w:rPr>
                <w:sz w:val="20"/>
                <w:szCs w:val="20"/>
                <w:color w:val="auto"/>
              </w:rPr>
            </w:pPr>
            <w:r>
              <w:rPr>
                <w:rFonts w:ascii="Times New Roman" w:cs="Times New Roman" w:eastAsia="Times New Roman" w:hAnsi="Times New Roman"/>
                <w:sz w:val="16"/>
                <w:szCs w:val="16"/>
                <w:color w:val="auto"/>
                <w:w w:val="97"/>
              </w:rPr>
              <w:t>For the year ended December 31,</w:t>
            </w:r>
          </w:p>
        </w:tc>
        <w:tc>
          <w:tcPr>
            <w:tcW w:w="0" w:type="dxa"/>
            <w:vAlign w:val="bottom"/>
          </w:tcPr>
          <w:p>
            <w:pPr>
              <w:spacing w:after="0"/>
              <w:rPr>
                <w:sz w:val="1"/>
                <w:szCs w:val="1"/>
                <w:color w:val="auto"/>
              </w:rPr>
            </w:pPr>
          </w:p>
        </w:tc>
      </w:tr>
      <w:tr>
        <w:trPr>
          <w:trHeight w:val="196"/>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7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6440" w:type="dxa"/>
            <w:vAlign w:val="bottom"/>
            <w:gridSpan w:val="2"/>
            <w:vMerge w:val="continue"/>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320" w:type="dxa"/>
            <w:vAlign w:val="bottom"/>
            <w:tcBorders>
              <w:top w:val="single" w:sz="8" w:color="auto"/>
            </w:tcBorders>
          </w:tcPr>
          <w:p>
            <w:pPr>
              <w:spacing w:after="0"/>
              <w:rPr>
                <w:sz w:val="2"/>
                <w:szCs w:val="2"/>
                <w:color w:val="auto"/>
              </w:rPr>
            </w:pPr>
          </w:p>
        </w:tc>
        <w:tc>
          <w:tcPr>
            <w:tcW w:w="4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1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(21,537,430)  $</w:t>
            </w:r>
          </w:p>
        </w:tc>
        <w:tc>
          <w:tcPr>
            <w:tcW w:w="9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(1,939,917)</w:t>
            </w:r>
          </w:p>
        </w:tc>
        <w:tc>
          <w:tcPr>
            <w:tcW w:w="0" w:type="dxa"/>
            <w:vAlign w:val="bottom"/>
          </w:tcPr>
          <w:p>
            <w:pPr>
              <w:spacing w:after="0"/>
              <w:rPr>
                <w:sz w:val="1"/>
                <w:szCs w:val="1"/>
                <w:color w:val="auto"/>
              </w:rPr>
            </w:pPr>
          </w:p>
        </w:tc>
      </w:tr>
      <w:tr>
        <w:trPr>
          <w:trHeight w:val="164"/>
        </w:trPr>
        <w:tc>
          <w:tcPr>
            <w:tcW w:w="6440" w:type="dxa"/>
            <w:vAlign w:val="bottom"/>
            <w:tcBorders>
              <w:top w:val="single" w:sz="8" w:color="CCEEFF"/>
            </w:tcBorders>
            <w:gridSpan w:val="2"/>
          </w:tcPr>
          <w:p>
            <w:pPr>
              <w:ind w:left="160"/>
              <w:spacing w:after="0" w:line="165" w:lineRule="exact"/>
              <w:rPr>
                <w:sz w:val="20"/>
                <w:szCs w:val="20"/>
                <w:color w:val="auto"/>
              </w:rPr>
            </w:pPr>
            <w:r>
              <w:rPr>
                <w:rFonts w:ascii="Times New Roman" w:cs="Times New Roman" w:eastAsia="Times New Roman" w:hAnsi="Times New Roman"/>
                <w:sz w:val="16"/>
                <w:szCs w:val="16"/>
                <w:color w:val="auto"/>
              </w:rPr>
              <w:t>Adjustments to reconcile net loss to net cash used by operating activities:</w:t>
            </w:r>
          </w:p>
        </w:tc>
        <w:tc>
          <w:tcPr>
            <w:tcW w:w="17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440" w:type="dxa"/>
            <w:vAlign w:val="bottom"/>
            <w:gridSpan w:val="2"/>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color w:val="auto"/>
              </w:rPr>
              <w:t>Change in fair value of SAFE agreements</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14,492,176</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263,239</w:t>
            </w:r>
          </w:p>
        </w:tc>
        <w:tc>
          <w:tcPr>
            <w:tcW w:w="0" w:type="dxa"/>
            <w:vAlign w:val="bottom"/>
          </w:tcPr>
          <w:p>
            <w:pPr>
              <w:spacing w:after="0"/>
              <w:rPr>
                <w:sz w:val="1"/>
                <w:szCs w:val="1"/>
                <w:color w:val="auto"/>
              </w:rPr>
            </w:pPr>
          </w:p>
        </w:tc>
      </w:tr>
      <w:tr>
        <w:trPr>
          <w:trHeight w:val="180"/>
        </w:trPr>
        <w:tc>
          <w:tcPr>
            <w:tcW w:w="6440" w:type="dxa"/>
            <w:vAlign w:val="bottom"/>
            <w:gridSpan w:val="2"/>
          </w:tcPr>
          <w:p>
            <w:pPr>
              <w:ind w:left="300"/>
              <w:spacing w:after="0" w:line="180" w:lineRule="exact"/>
              <w:rPr>
                <w:sz w:val="20"/>
                <w:szCs w:val="20"/>
                <w:color w:val="auto"/>
              </w:rPr>
            </w:pPr>
            <w:r>
              <w:rPr>
                <w:rFonts w:ascii="Times New Roman" w:cs="Times New Roman" w:eastAsia="Times New Roman" w:hAnsi="Times New Roman"/>
                <w:sz w:val="16"/>
                <w:szCs w:val="16"/>
                <w:color w:val="auto"/>
              </w:rPr>
              <w:t>Stock-based compensation</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61"/>
              <w:spacing w:after="0" w:line="180" w:lineRule="exact"/>
              <w:rPr>
                <w:sz w:val="20"/>
                <w:szCs w:val="20"/>
                <w:color w:val="auto"/>
              </w:rPr>
            </w:pPr>
            <w:r>
              <w:rPr>
                <w:rFonts w:ascii="Times New Roman" w:cs="Times New Roman" w:eastAsia="Times New Roman" w:hAnsi="Times New Roman"/>
                <w:sz w:val="16"/>
                <w:szCs w:val="16"/>
                <w:color w:val="auto"/>
              </w:rPr>
              <w:t>197,006</w:t>
            </w:r>
          </w:p>
        </w:tc>
        <w:tc>
          <w:tcPr>
            <w:tcW w:w="2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61,817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gridSpan w:val="2"/>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color w:val="auto"/>
              </w:rPr>
              <w:t>Amortization of right-of-use asset</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23,586</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440" w:type="dxa"/>
            <w:vAlign w:val="bottom"/>
            <w:gridSpan w:val="2"/>
          </w:tcPr>
          <w:p>
            <w:pPr>
              <w:ind w:left="300"/>
              <w:spacing w:after="0" w:line="180" w:lineRule="exact"/>
              <w:rPr>
                <w:sz w:val="20"/>
                <w:szCs w:val="20"/>
                <w:color w:val="auto"/>
              </w:rPr>
            </w:pPr>
            <w:r>
              <w:rPr>
                <w:rFonts w:ascii="Times New Roman" w:cs="Times New Roman" w:eastAsia="Times New Roman" w:hAnsi="Times New Roman"/>
                <w:sz w:val="16"/>
                <w:szCs w:val="16"/>
                <w:color w:val="auto"/>
              </w:rPr>
              <w:t>Operating lease payments</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14,103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440" w:type="dxa"/>
            <w:vAlign w:val="bottom"/>
            <w:gridSpan w:val="2"/>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gridSpan w:val="2"/>
          </w:tcPr>
          <w:p>
            <w:pPr>
              <w:ind w:left="440"/>
              <w:spacing w:after="0" w:line="180" w:lineRule="exact"/>
              <w:rPr>
                <w:sz w:val="20"/>
                <w:szCs w:val="20"/>
                <w:color w:val="auto"/>
              </w:rPr>
            </w:pPr>
            <w:r>
              <w:rPr>
                <w:rFonts w:ascii="Times New Roman" w:cs="Times New Roman" w:eastAsia="Times New Roman" w:hAnsi="Times New Roman"/>
                <w:sz w:val="16"/>
                <w:szCs w:val="16"/>
                <w:color w:val="auto"/>
              </w:rPr>
              <w:t>Accounts receivable</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21"/>
              <w:spacing w:after="0" w:line="180" w:lineRule="exact"/>
              <w:rPr>
                <w:sz w:val="20"/>
                <w:szCs w:val="20"/>
                <w:color w:val="auto"/>
              </w:rPr>
            </w:pPr>
            <w:r>
              <w:rPr>
                <w:rFonts w:ascii="Times New Roman" w:cs="Times New Roman" w:eastAsia="Times New Roman" w:hAnsi="Times New Roman"/>
                <w:sz w:val="16"/>
                <w:szCs w:val="16"/>
                <w:color w:val="auto"/>
              </w:rPr>
              <w:t>(45,486)</w:t>
            </w:r>
          </w:p>
        </w:tc>
        <w:tc>
          <w:tcPr>
            <w:tcW w:w="240" w:type="dxa"/>
            <w:vAlign w:val="bottom"/>
          </w:tcPr>
          <w:p>
            <w:pPr>
              <w:spacing w:after="0"/>
              <w:rPr>
                <w:sz w:val="15"/>
                <w:szCs w:val="15"/>
                <w:color w:val="auto"/>
              </w:rPr>
            </w:pPr>
          </w:p>
        </w:tc>
        <w:tc>
          <w:tcPr>
            <w:tcW w:w="90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108,008</w:t>
            </w:r>
          </w:p>
        </w:tc>
        <w:tc>
          <w:tcPr>
            <w:tcW w:w="0" w:type="dxa"/>
            <w:vAlign w:val="bottom"/>
          </w:tcPr>
          <w:p>
            <w:pPr>
              <w:spacing w:after="0"/>
              <w:rPr>
                <w:sz w:val="1"/>
                <w:szCs w:val="1"/>
                <w:color w:val="auto"/>
              </w:rPr>
            </w:pPr>
          </w:p>
        </w:tc>
      </w:tr>
      <w:tr>
        <w:trPr>
          <w:trHeight w:val="180"/>
        </w:trPr>
        <w:tc>
          <w:tcPr>
            <w:tcW w:w="6440" w:type="dxa"/>
            <w:vAlign w:val="bottom"/>
            <w:gridSpan w:val="2"/>
            <w:shd w:val="clear" w:color="auto" w:fill="CCEEFF"/>
          </w:tcPr>
          <w:p>
            <w:pPr>
              <w:ind w:left="440"/>
              <w:spacing w:after="0" w:line="180" w:lineRule="exact"/>
              <w:rPr>
                <w:sz w:val="20"/>
                <w:szCs w:val="20"/>
                <w:color w:val="auto"/>
              </w:rPr>
            </w:pPr>
            <w:r>
              <w:rPr>
                <w:rFonts w:ascii="Times New Roman" w:cs="Times New Roman" w:eastAsia="Times New Roman" w:hAnsi="Times New Roman"/>
                <w:sz w:val="16"/>
                <w:szCs w:val="16"/>
                <w:color w:val="auto"/>
              </w:rPr>
              <w:t>Inventory</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1"/>
              <w:spacing w:after="0" w:line="180" w:lineRule="exact"/>
              <w:rPr>
                <w:sz w:val="20"/>
                <w:szCs w:val="20"/>
                <w:color w:val="auto"/>
              </w:rPr>
            </w:pPr>
            <w:r>
              <w:rPr>
                <w:rFonts w:ascii="Times New Roman" w:cs="Times New Roman" w:eastAsia="Times New Roman" w:hAnsi="Times New Roman"/>
                <w:sz w:val="16"/>
                <w:szCs w:val="16"/>
                <w:color w:val="auto"/>
              </w:rPr>
              <w:t>(65,248)</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440" w:type="dxa"/>
            <w:vAlign w:val="bottom"/>
            <w:gridSpan w:val="2"/>
          </w:tcPr>
          <w:p>
            <w:pPr>
              <w:ind w:left="440"/>
              <w:spacing w:after="0" w:line="180" w:lineRule="exact"/>
              <w:rPr>
                <w:sz w:val="20"/>
                <w:szCs w:val="20"/>
                <w:color w:val="auto"/>
              </w:rPr>
            </w:pPr>
            <w:r>
              <w:rPr>
                <w:rFonts w:ascii="Times New Roman" w:cs="Times New Roman" w:eastAsia="Times New Roman" w:hAnsi="Times New Roman"/>
                <w:sz w:val="16"/>
                <w:szCs w:val="16"/>
                <w:color w:val="auto"/>
              </w:rPr>
              <w:t>Advances to supplier</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21"/>
              <w:spacing w:after="0" w:line="180" w:lineRule="exact"/>
              <w:rPr>
                <w:sz w:val="20"/>
                <w:szCs w:val="20"/>
                <w:color w:val="auto"/>
              </w:rPr>
            </w:pPr>
            <w:r>
              <w:rPr>
                <w:rFonts w:ascii="Times New Roman" w:cs="Times New Roman" w:eastAsia="Times New Roman" w:hAnsi="Times New Roman"/>
                <w:sz w:val="16"/>
                <w:szCs w:val="16"/>
                <w:color w:val="auto"/>
              </w:rPr>
              <w:t>(33,576)</w:t>
            </w:r>
          </w:p>
        </w:tc>
        <w:tc>
          <w:tcPr>
            <w:tcW w:w="240" w:type="dxa"/>
            <w:vAlign w:val="bottom"/>
          </w:tcPr>
          <w:p>
            <w:pPr>
              <w:spacing w:after="0"/>
              <w:rPr>
                <w:sz w:val="15"/>
                <w:szCs w:val="15"/>
                <w:color w:val="auto"/>
              </w:rPr>
            </w:pPr>
          </w:p>
        </w:tc>
        <w:tc>
          <w:tcPr>
            <w:tcW w:w="90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440" w:type="dxa"/>
            <w:vAlign w:val="bottom"/>
            <w:gridSpan w:val="2"/>
            <w:shd w:val="clear" w:color="auto" w:fill="CCEEFF"/>
          </w:tcPr>
          <w:p>
            <w:pPr>
              <w:ind w:left="440"/>
              <w:spacing w:after="0" w:line="180" w:lineRule="exact"/>
              <w:rPr>
                <w:sz w:val="20"/>
                <w:szCs w:val="20"/>
                <w:color w:val="auto"/>
              </w:rPr>
            </w:pPr>
            <w:r>
              <w:rPr>
                <w:rFonts w:ascii="Times New Roman" w:cs="Times New Roman" w:eastAsia="Times New Roman" w:hAnsi="Times New Roman"/>
                <w:sz w:val="16"/>
                <w:szCs w:val="16"/>
                <w:color w:val="auto"/>
              </w:rPr>
              <w:t>Prepaid expenses</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21,870</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(155,323)</w:t>
            </w:r>
          </w:p>
        </w:tc>
        <w:tc>
          <w:tcPr>
            <w:tcW w:w="0" w:type="dxa"/>
            <w:vAlign w:val="bottom"/>
          </w:tcPr>
          <w:p>
            <w:pPr>
              <w:spacing w:after="0"/>
              <w:rPr>
                <w:sz w:val="1"/>
                <w:szCs w:val="1"/>
                <w:color w:val="auto"/>
              </w:rPr>
            </w:pPr>
          </w:p>
        </w:tc>
      </w:tr>
      <w:tr>
        <w:trPr>
          <w:trHeight w:val="180"/>
        </w:trPr>
        <w:tc>
          <w:tcPr>
            <w:tcW w:w="6440" w:type="dxa"/>
            <w:vAlign w:val="bottom"/>
            <w:gridSpan w:val="2"/>
          </w:tcPr>
          <w:p>
            <w:pPr>
              <w:ind w:left="440"/>
              <w:spacing w:after="0" w:line="180" w:lineRule="exact"/>
              <w:rPr>
                <w:sz w:val="20"/>
                <w:szCs w:val="20"/>
                <w:color w:val="auto"/>
              </w:rPr>
            </w:pPr>
            <w:r>
              <w:rPr>
                <w:rFonts w:ascii="Times New Roman" w:cs="Times New Roman" w:eastAsia="Times New Roman" w:hAnsi="Times New Roman"/>
                <w:sz w:val="16"/>
                <w:szCs w:val="16"/>
                <w:color w:val="auto"/>
              </w:rPr>
              <w:t>Other noncurrent assets</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21"/>
              <w:spacing w:after="0" w:line="180" w:lineRule="exact"/>
              <w:rPr>
                <w:sz w:val="20"/>
                <w:szCs w:val="20"/>
                <w:color w:val="auto"/>
              </w:rPr>
            </w:pPr>
            <w:r>
              <w:rPr>
                <w:rFonts w:ascii="Times New Roman" w:cs="Times New Roman" w:eastAsia="Times New Roman" w:hAnsi="Times New Roman"/>
                <w:sz w:val="16"/>
                <w:szCs w:val="16"/>
                <w:color w:val="auto"/>
              </w:rPr>
              <w:t>(23,389)</w:t>
            </w:r>
          </w:p>
        </w:tc>
        <w:tc>
          <w:tcPr>
            <w:tcW w:w="240" w:type="dxa"/>
            <w:vAlign w:val="bottom"/>
          </w:tcPr>
          <w:p>
            <w:pPr>
              <w:spacing w:after="0"/>
              <w:rPr>
                <w:sz w:val="15"/>
                <w:szCs w:val="15"/>
                <w:color w:val="auto"/>
              </w:rPr>
            </w:pPr>
          </w:p>
        </w:tc>
        <w:tc>
          <w:tcPr>
            <w:tcW w:w="90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440" w:type="dxa"/>
            <w:vAlign w:val="bottom"/>
            <w:gridSpan w:val="2"/>
            <w:shd w:val="clear" w:color="auto" w:fill="CCEEFF"/>
          </w:tcPr>
          <w:p>
            <w:pPr>
              <w:ind w:left="440"/>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1"/>
              <w:spacing w:after="0" w:line="180" w:lineRule="exact"/>
              <w:rPr>
                <w:sz w:val="20"/>
                <w:szCs w:val="20"/>
                <w:color w:val="auto"/>
              </w:rPr>
            </w:pPr>
            <w:r>
              <w:rPr>
                <w:rFonts w:ascii="Times New Roman" w:cs="Times New Roman" w:eastAsia="Times New Roman" w:hAnsi="Times New Roman"/>
                <w:sz w:val="16"/>
                <w:szCs w:val="16"/>
                <w:color w:val="auto"/>
              </w:rPr>
              <w:t>768,542</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(10,707)</w:t>
            </w:r>
          </w:p>
        </w:tc>
        <w:tc>
          <w:tcPr>
            <w:tcW w:w="0" w:type="dxa"/>
            <w:vAlign w:val="bottom"/>
          </w:tcPr>
          <w:p>
            <w:pPr>
              <w:spacing w:after="0"/>
              <w:rPr>
                <w:sz w:val="1"/>
                <w:szCs w:val="1"/>
                <w:color w:val="auto"/>
              </w:rPr>
            </w:pPr>
          </w:p>
        </w:tc>
      </w:tr>
      <w:tr>
        <w:trPr>
          <w:trHeight w:val="180"/>
        </w:trPr>
        <w:tc>
          <w:tcPr>
            <w:tcW w:w="6440" w:type="dxa"/>
            <w:vAlign w:val="bottom"/>
            <w:gridSpan w:val="2"/>
          </w:tcPr>
          <w:p>
            <w:pPr>
              <w:ind w:left="440"/>
              <w:spacing w:after="0" w:line="180" w:lineRule="exact"/>
              <w:rPr>
                <w:sz w:val="20"/>
                <w:szCs w:val="20"/>
                <w:color w:val="auto"/>
              </w:rPr>
            </w:pPr>
            <w:r>
              <w:rPr>
                <w:rFonts w:ascii="Times New Roman" w:cs="Times New Roman" w:eastAsia="Times New Roman" w:hAnsi="Times New Roman"/>
                <w:sz w:val="16"/>
                <w:szCs w:val="16"/>
                <w:color w:val="auto"/>
              </w:rPr>
              <w:t>Accrued expenses</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714</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20,207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gridSpan w:val="2"/>
            <w:shd w:val="clear" w:color="auto" w:fill="CCEEFF"/>
          </w:tcPr>
          <w:p>
            <w:pPr>
              <w:ind w:left="440"/>
              <w:spacing w:after="0" w:line="180" w:lineRule="exact"/>
              <w:rPr>
                <w:sz w:val="20"/>
                <w:szCs w:val="20"/>
                <w:color w:val="auto"/>
              </w:rPr>
            </w:pPr>
            <w:r>
              <w:rPr>
                <w:rFonts w:ascii="Times New Roman" w:cs="Times New Roman" w:eastAsia="Times New Roman" w:hAnsi="Times New Roman"/>
                <w:sz w:val="16"/>
                <w:szCs w:val="16"/>
                <w:color w:val="auto"/>
              </w:rPr>
              <w:t>Payroll liabilities</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1"/>
              <w:spacing w:after="0" w:line="180" w:lineRule="exact"/>
              <w:rPr>
                <w:sz w:val="20"/>
                <w:szCs w:val="20"/>
                <w:color w:val="auto"/>
              </w:rPr>
            </w:pPr>
            <w:r>
              <w:rPr>
                <w:rFonts w:ascii="Times New Roman" w:cs="Times New Roman" w:eastAsia="Times New Roman" w:hAnsi="Times New Roman"/>
                <w:sz w:val="16"/>
                <w:szCs w:val="16"/>
                <w:color w:val="auto"/>
              </w:rPr>
              <w:t>227,852</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(15,827)</w:t>
            </w:r>
          </w:p>
        </w:tc>
        <w:tc>
          <w:tcPr>
            <w:tcW w:w="0" w:type="dxa"/>
            <w:vAlign w:val="bottom"/>
          </w:tcPr>
          <w:p>
            <w:pPr>
              <w:spacing w:after="0"/>
              <w:rPr>
                <w:sz w:val="1"/>
                <w:szCs w:val="1"/>
                <w:color w:val="auto"/>
              </w:rPr>
            </w:pPr>
          </w:p>
        </w:tc>
      </w:tr>
      <w:tr>
        <w:trPr>
          <w:trHeight w:val="180"/>
        </w:trPr>
        <w:tc>
          <w:tcPr>
            <w:tcW w:w="6440" w:type="dxa"/>
            <w:vAlign w:val="bottom"/>
            <w:gridSpan w:val="2"/>
          </w:tcPr>
          <w:p>
            <w:pPr>
              <w:ind w:left="440"/>
              <w:spacing w:after="0" w:line="180" w:lineRule="exact"/>
              <w:rPr>
                <w:sz w:val="20"/>
                <w:szCs w:val="20"/>
                <w:color w:val="auto"/>
              </w:rPr>
            </w:pPr>
            <w:r>
              <w:rPr>
                <w:rFonts w:ascii="Times New Roman" w:cs="Times New Roman" w:eastAsia="Times New Roman" w:hAnsi="Times New Roman"/>
                <w:sz w:val="16"/>
                <w:szCs w:val="16"/>
                <w:color w:val="auto"/>
              </w:rPr>
              <w:t>Deferred revenue</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2,713,215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4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Lease liabilities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(43,943)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6440" w:type="dxa"/>
            <w:vAlign w:val="bottom"/>
            <w:tcBorders>
              <w:top w:val="single" w:sz="8" w:color="CCEEFF"/>
              <w:bottom w:val="single" w:sz="8" w:color="CCEEFF"/>
            </w:tcBorders>
            <w:gridSpan w:val="2"/>
          </w:tcPr>
          <w:p>
            <w:pPr>
              <w:ind w:left="580"/>
              <w:spacing w:after="0" w:line="165" w:lineRule="exact"/>
              <w:rPr>
                <w:sz w:val="20"/>
                <w:szCs w:val="20"/>
                <w:color w:val="auto"/>
              </w:rPr>
            </w:pPr>
            <w:r>
              <w:rPr>
                <w:rFonts w:ascii="Times New Roman" w:cs="Times New Roman" w:eastAsia="Times New Roman" w:hAnsi="Times New Roman"/>
                <w:sz w:val="16"/>
                <w:szCs w:val="16"/>
                <w:color w:val="auto"/>
              </w:rPr>
              <w:t>Total adjustments</w:t>
            </w:r>
          </w:p>
        </w:tc>
        <w:tc>
          <w:tcPr>
            <w:tcW w:w="170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18,247,422</w:t>
            </w:r>
          </w:p>
        </w:tc>
        <w:tc>
          <w:tcPr>
            <w:tcW w:w="20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271,414</w:t>
            </w:r>
          </w:p>
        </w:tc>
        <w:tc>
          <w:tcPr>
            <w:tcW w:w="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440" w:type="dxa"/>
            <w:vAlign w:val="bottom"/>
            <w:tcBorders>
              <w:bottom w:val="single" w:sz="8" w:color="CCEEFF"/>
            </w:tcBorders>
            <w:gridSpan w:val="2"/>
            <w:shd w:val="clear" w:color="auto" w:fill="CCEEFF"/>
          </w:tcPr>
          <w:p>
            <w:pPr>
              <w:ind w:left="720"/>
              <w:spacing w:after="0" w:line="180" w:lineRule="exact"/>
              <w:rPr>
                <w:sz w:val="20"/>
                <w:szCs w:val="20"/>
                <w:color w:val="auto"/>
              </w:rPr>
            </w:pPr>
            <w:r>
              <w:rPr>
                <w:rFonts w:ascii="Times New Roman" w:cs="Times New Roman" w:eastAsia="Times New Roman" w:hAnsi="Times New Roman"/>
                <w:sz w:val="16"/>
                <w:szCs w:val="16"/>
                <w:color w:val="auto"/>
              </w:rPr>
              <w:t>Net cash used by operating activities</w:t>
            </w:r>
          </w:p>
        </w:tc>
        <w:tc>
          <w:tcPr>
            <w:tcW w:w="1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(3,290,008</w:t>
            </w:r>
          </w:p>
        </w:tc>
        <w:tc>
          <w:tcPr>
            <w:tcW w:w="20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(1,668,503</w:t>
            </w:r>
          </w:p>
        </w:tc>
        <w:tc>
          <w:tcPr>
            <w:tcW w:w="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bl>
    <w:p>
      <w:pPr>
        <w:spacing w:after="0" w:line="167" w:lineRule="exact"/>
        <w:rPr>
          <w:sz w:val="20"/>
          <w:szCs w:val="20"/>
          <w:color w:val="auto"/>
        </w:rPr>
      </w:pPr>
    </w:p>
    <w:p>
      <w:pPr>
        <w:sectPr>
          <w:pgSz w:w="11900" w:h="16840" w:orient="portrait"/>
          <w:cols w:equalWidth="0" w:num="1">
            <w:col w:w="10560"/>
          </w:cols>
          <w:pgMar w:left="660" w:top="570" w:right="680" w:bottom="256" w:gutter="0" w:footer="0" w:header="0"/>
          <w:type w:val="continuous"/>
        </w:sectPr>
      </w:pPr>
    </w:p>
    <w:p>
      <w:pPr>
        <w:spacing w:after="0"/>
        <w:rPr>
          <w:sz w:val="20"/>
          <w:szCs w:val="20"/>
          <w:color w:val="auto"/>
        </w:rPr>
      </w:pPr>
      <w:r>
        <w:rPr>
          <w:rFonts w:ascii="Times New Roman" w:cs="Times New Roman" w:eastAsia="Times New Roman" w:hAnsi="Times New Roman"/>
          <w:sz w:val="16"/>
          <w:szCs w:val="16"/>
          <w:u w:val="single" w:color="auto"/>
          <w:color w:val="auto"/>
        </w:rPr>
        <w:t>Cash flows used by investing activities:</w:t>
      </w:r>
    </w:p>
    <w:p>
      <w:pPr>
        <w:spacing w:after="0" w:line="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Capitalized software development costs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Cash flows provided by financing activities:</w:t>
      </w:r>
    </w:p>
    <w:p>
      <w:pPr>
        <w:spacing w:after="0" w:line="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Proceeds from issuance of SAFE agreements</w:t>
      </w:r>
    </w:p>
    <w:p>
      <w:pPr>
        <w:spacing w:after="0" w:line="217" w:lineRule="exact"/>
        <w:rPr>
          <w:sz w:val="20"/>
          <w:szCs w:val="20"/>
          <w:color w:val="auto"/>
        </w:rPr>
      </w:pPr>
    </w:p>
    <w:p>
      <w:pPr>
        <w:ind w:right="1020"/>
        <w:spacing w:after="0" w:line="250" w:lineRule="auto"/>
        <w:rPr>
          <w:sz w:val="20"/>
          <w:szCs w:val="20"/>
          <w:color w:val="auto"/>
        </w:rPr>
      </w:pPr>
      <w:r>
        <w:rPr>
          <w:rFonts w:ascii="Times New Roman" w:cs="Times New Roman" w:eastAsia="Times New Roman" w:hAnsi="Times New Roman"/>
          <w:sz w:val="16"/>
          <w:szCs w:val="16"/>
          <w:color w:val="auto"/>
        </w:rPr>
        <w:t>Net increase (decrease) in cash Cash, beginning of 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end of year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right"/>
        <w:ind w:right="40"/>
        <w:spacing w:after="0"/>
        <w:tabs>
          <w:tab w:leader="none" w:pos="600" w:val="left"/>
        </w:tabs>
        <w:rPr>
          <w:sz w:val="20"/>
          <w:szCs w:val="20"/>
          <w:color w:val="auto"/>
        </w:rPr>
      </w:pPr>
      <w:r>
        <w:rPr>
          <w:rFonts w:ascii="Times New Roman" w:cs="Times New Roman" w:eastAsia="Times New Roman" w:hAnsi="Times New Roman"/>
          <w:sz w:val="16"/>
          <w:szCs w:val="16"/>
          <w:color w:val="auto"/>
        </w:rPr>
        <w:t>(834,220)</w:t>
      </w:r>
      <w:r>
        <w:rPr>
          <w:sz w:val="20"/>
          <w:szCs w:val="20"/>
          <w:color w:val="auto"/>
        </w:rPr>
        <w:tab/>
      </w:r>
      <w:r>
        <w:rPr>
          <w:rFonts w:ascii="Times New Roman" w:cs="Times New Roman" w:eastAsia="Times New Roman" w:hAnsi="Times New Roman"/>
          <w:sz w:val="14"/>
          <w:szCs w:val="14"/>
          <w:color w:val="auto"/>
        </w:rPr>
        <w:t>(672,319)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-222250</wp:posOffset>
            </wp:positionV>
            <wp:extent cx="6707505" cy="1143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13335</wp:posOffset>
            </wp:positionV>
            <wp:extent cx="6707505" cy="1295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384" w:lineRule="exact"/>
        <w:rPr>
          <w:sz w:val="20"/>
          <w:szCs w:val="20"/>
          <w:color w:val="auto"/>
        </w:rPr>
      </w:pPr>
    </w:p>
    <w:p>
      <w:pPr>
        <w:ind w:left="5200"/>
        <w:spacing w:after="0"/>
        <w:tabs>
          <w:tab w:leader="none" w:pos="6440" w:val="left"/>
        </w:tabs>
        <w:rPr>
          <w:sz w:val="20"/>
          <w:szCs w:val="20"/>
          <w:color w:val="auto"/>
        </w:rPr>
      </w:pPr>
      <w:r>
        <w:rPr>
          <w:rFonts w:ascii="Times New Roman" w:cs="Times New Roman" w:eastAsia="Times New Roman" w:hAnsi="Times New Roman"/>
          <w:sz w:val="16"/>
          <w:szCs w:val="16"/>
          <w:color w:val="auto"/>
        </w:rPr>
        <w:t>4,239,500</w:t>
      </w:r>
      <w:r>
        <w:rPr>
          <w:sz w:val="20"/>
          <w:szCs w:val="20"/>
          <w:color w:val="auto"/>
        </w:rPr>
        <w:tab/>
      </w:r>
      <w:r>
        <w:rPr>
          <w:rFonts w:ascii="Times New Roman" w:cs="Times New Roman" w:eastAsia="Times New Roman" w:hAnsi="Times New Roman"/>
          <w:sz w:val="16"/>
          <w:szCs w:val="16"/>
          <w:color w:val="auto"/>
        </w:rPr>
        <w:t>2,120,000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-115570</wp:posOffset>
            </wp:positionV>
            <wp:extent cx="6707505"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spacing w:after="0" w:line="180" w:lineRule="exact"/>
        <w:rPr>
          <w:sz w:val="20"/>
          <w:szCs w:val="20"/>
          <w:color w:val="auto"/>
        </w:rPr>
      </w:pPr>
    </w:p>
    <w:p>
      <w:pPr>
        <w:jc w:val="both"/>
        <w:ind w:left="5320"/>
        <w:spacing w:after="0"/>
        <w:tabs>
          <w:tab w:leader="none" w:pos="6500" w:val="left"/>
        </w:tabs>
        <w:rPr>
          <w:sz w:val="20"/>
          <w:szCs w:val="20"/>
          <w:color w:val="auto"/>
        </w:rPr>
      </w:pPr>
      <w:r>
        <w:rPr>
          <w:rFonts w:ascii="Times New Roman" w:cs="Times New Roman" w:eastAsia="Times New Roman" w:hAnsi="Times New Roman"/>
          <w:sz w:val="16"/>
          <w:szCs w:val="16"/>
          <w:color w:val="auto"/>
        </w:rPr>
        <w:t>115,272</w:t>
      </w:r>
      <w:r>
        <w:rPr>
          <w:sz w:val="20"/>
          <w:szCs w:val="20"/>
          <w:color w:val="auto"/>
        </w:rPr>
        <w:tab/>
      </w:r>
      <w:r>
        <w:rPr>
          <w:rFonts w:ascii="Times New Roman" w:cs="Times New Roman" w:eastAsia="Times New Roman" w:hAnsi="Times New Roman"/>
          <w:sz w:val="16"/>
          <w:szCs w:val="16"/>
          <w:color w:val="auto"/>
        </w:rPr>
        <w:t>(220,822)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-107950</wp:posOffset>
            </wp:positionV>
            <wp:extent cx="6707505" cy="1143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jc w:val="both"/>
        <w:ind w:left="5320"/>
        <w:spacing w:after="0"/>
        <w:tabs>
          <w:tab w:leader="none" w:pos="6560" w:val="left"/>
        </w:tabs>
        <w:rPr>
          <w:sz w:val="20"/>
          <w:szCs w:val="20"/>
          <w:color w:val="auto"/>
        </w:rPr>
      </w:pPr>
      <w:r>
        <w:rPr>
          <w:rFonts w:ascii="Times New Roman" w:cs="Times New Roman" w:eastAsia="Times New Roman" w:hAnsi="Times New Roman"/>
          <w:sz w:val="16"/>
          <w:szCs w:val="16"/>
          <w:color w:val="auto"/>
        </w:rPr>
        <w:t>605,760</w:t>
      </w:r>
      <w:r>
        <w:rPr>
          <w:sz w:val="20"/>
          <w:szCs w:val="20"/>
          <w:color w:val="auto"/>
        </w:rPr>
        <w:tab/>
      </w:r>
      <w:r>
        <w:rPr>
          <w:rFonts w:ascii="Times New Roman" w:cs="Times New Roman" w:eastAsia="Times New Roman" w:hAnsi="Times New Roman"/>
          <w:sz w:val="16"/>
          <w:szCs w:val="16"/>
          <w:color w:val="auto"/>
        </w:rPr>
        <w:t>826,582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-635</wp:posOffset>
            </wp:positionV>
            <wp:extent cx="6707505" cy="1600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07505" cy="160020"/>
                    </a:xfrm>
                    <a:prstGeom prst="rect">
                      <a:avLst/>
                    </a:prstGeom>
                    <a:noFill/>
                  </pic:spPr>
                </pic:pic>
              </a:graphicData>
            </a:graphic>
          </wp:anchor>
        </w:drawing>
      </w:r>
    </w:p>
    <w:p>
      <w:pPr>
        <w:spacing w:after="0" w:line="13" w:lineRule="exact"/>
        <w:rPr>
          <w:sz w:val="20"/>
          <w:szCs w:val="20"/>
          <w:color w:val="auto"/>
        </w:rPr>
      </w:pPr>
    </w:p>
    <w:p>
      <w:pPr>
        <w:jc w:val="both"/>
        <w:ind w:left="4760"/>
        <w:spacing w:after="0"/>
        <w:tabs>
          <w:tab w:leader="none" w:pos="5300" w:val="left"/>
          <w:tab w:leader="none" w:pos="6020" w:val="left"/>
          <w:tab w:leader="none" w:pos="65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721,032</w:t>
        <w:tab/>
        <w:t>$</w:t>
      </w:r>
      <w:r>
        <w:rPr>
          <w:sz w:val="20"/>
          <w:szCs w:val="20"/>
          <w:color w:val="auto"/>
        </w:rPr>
        <w:tab/>
      </w:r>
      <w:r>
        <w:rPr>
          <w:rFonts w:ascii="Times New Roman" w:cs="Times New Roman" w:eastAsia="Times New Roman" w:hAnsi="Times New Roman"/>
          <w:sz w:val="16"/>
          <w:szCs w:val="16"/>
          <w:color w:val="auto"/>
        </w:rPr>
        <w:t>605,760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28575</wp:posOffset>
            </wp:positionV>
            <wp:extent cx="147891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78915" cy="1524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4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5715</wp:posOffset>
            </wp:positionV>
            <wp:extent cx="670750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2960" w:space="420"/>
            <w:col w:w="7180"/>
          </w:cols>
          <w:pgMar w:left="660" w:top="570" w:right="680" w:bottom="256"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1 - Organization and Description of the Business</w:t>
      </w:r>
    </w:p>
    <w:p>
      <w:pPr>
        <w:sectPr>
          <w:pgSz w:w="11900" w:h="16840" w:orient="portrait"/>
          <w:cols w:equalWidth="0" w:num="1">
            <w:col w:w="10560"/>
          </w:cols>
          <w:pgMar w:left="660" w:top="570" w:right="680" w:bottom="256"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auto"/>
        </w:rPr>
        <w:t>Nature of Operations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SEE ID, Inc. dba Dot AI (“SEE ID”) was incorporated in the state of Nevada on December 8, 2020 to help businesses transform their operations by optimizing safety, security and efficiency of operations through real -time tracking of resources. Through SEE ID’s extensive research and development initiatives, SEE ID’s main focus includes areas such as Industrial IoT, Indoor and Outdoor tracking with seamless transitions, Passive RFID (including Bluetooth and 5G), Collision Avoidance, real-time locating systems, Dolly Management, and related supported software applications.</w:t>
      </w:r>
    </w:p>
    <w:p>
      <w:pPr>
        <w:spacing w:after="0" w:line="15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SEE ID is the developer of an asset tracking platform intended to push the limits of real- time precision-based location technology. SEE ID’s platform leverages the technologies, including the patented passive and active RFID tracking solutions, low power edge camera platforms utilizing artificial intelligence, enabling users to give accuracy to have in transit visibility of their material flow. Through its technological solutions, SEE ID serves multiple industries including aviation, construction, delivery, military, mining, retail, sea ports, medical logistics, warehousing and manufacturing.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ID’s corporate headquarters is in Las Vegas, Nevada and SEE ID has offices in Massachusetts and Maryland.</w:t>
      </w:r>
    </w:p>
    <w:p>
      <w:pPr>
        <w:spacing w:after="0" w:line="176"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In July 2024, SEE ID incorporated Dot Works, Inc. (“Dot Works”), a Puerto Rico corporation, as a wholly-owned subsidiary Dot Works, based in Puerto Rico, serves as the primary manufacturing facility for Dot Ai, producing smart hardware devices and embedded technology components used in AI-driven enterprise solutions (ZIM Bridges and Smart Industrial TAGS). Activities include assembly, quality control, and packaging of proprietary systems.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Principles of Consolidation:</w:t>
      </w:r>
    </w:p>
    <w:p>
      <w:pPr>
        <w:spacing w:after="0" w:line="176"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the accounts of SEE ID and its wholly-owned subsidiary, Dot Works, which are collectively referred to as the “Company” in these consolidated financial statements. All intercompany balances and transactions have been eliminated upon consolidation.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Basis of Presentation</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accompanying consolidated financial statements of the Company have been prepared in conformity with accounting principles generally accepted in the United States of America (“US GAAP”).</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Going Concern</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assuming the Company will continue as a going concern, which contemplates the realization of assets and satisfaction of liabilities in the normal course of business. The Company incurred net losses since its inception and at December 31, 2024 has an accumulated deficit of $24,733,263, cash of $721,032 and a working capital deficiency of $1,215,998. Management anticipates the Company will continue to incur operating losses for the foreseeable future. The Company’s ability to continue as a going concern is dependent on its ability to raise additional capital to fund its research and development (“R&amp;D”) activities and meet its obligations on a timely basis; however, there can be no assurance that sufficient funding will be available to allow the Company to successfully continue its R&amp;D activities and commercialize its products.</w:t>
      </w:r>
    </w:p>
    <w:p>
      <w:pPr>
        <w:spacing w:after="0" w:line="161" w:lineRule="exact"/>
        <w:rPr>
          <w:sz w:val="20"/>
          <w:szCs w:val="20"/>
          <w:color w:val="auto"/>
        </w:rPr>
      </w:pPr>
    </w:p>
    <w:p>
      <w:pPr>
        <w:ind w:right="60"/>
        <w:spacing w:after="0" w:line="331" w:lineRule="auto"/>
        <w:rPr>
          <w:sz w:val="20"/>
          <w:szCs w:val="20"/>
          <w:color w:val="auto"/>
        </w:rPr>
      </w:pPr>
      <w:r>
        <w:rPr>
          <w:rFonts w:ascii="Times New Roman" w:cs="Times New Roman" w:eastAsia="Times New Roman" w:hAnsi="Times New Roman"/>
          <w:sz w:val="14"/>
          <w:szCs w:val="14"/>
          <w:color w:val="auto"/>
        </w:rPr>
        <w:t>On March 18, 2024, the Company signed a business combination agreement with ShoulderUp Technology Acquisition Corp. (“SUTA”), a special-purpose acquisition company. The Company’s strategic plan includes its business combination with SUTA to assist the Company in its efforts to raise capital and grow its business.</w:t>
      </w:r>
    </w:p>
    <w:p>
      <w:pPr>
        <w:spacing w:after="0" w:line="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If the Company is unable to obtain necessary funds through its business operations and the proceeds realized through a business combination, or any other form of capital financing,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consolidated financial statements are issued. The accompanying consolidated financial statements do not include any adjustments relating to the recoverability and classification of recorded asset amounts or the amounts and classification of liabilities that might result from the outcome of these uncertainties.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and Uncertainties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 Company’s industry is subject to rapid technological change. The introduction of new technologies will continue to have a significant effect on competitive conditions to which the Company is subject. Certain technologies and industry developments may negatively impact the Company’s ability to compete within certain industry segments. If the Company is unable to develop new solutions that provide utility to its customers and provide enhancements and new features for its existing solutions that keep pace with rapid technological and regulatory change, the Company’s revenues and results of operations could be adversely affected.</w:t>
      </w:r>
    </w:p>
    <w:p>
      <w:pPr>
        <w:spacing w:after="0" w:line="15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Since some of the inventory that the Company purchases includes components produced in foreign countries, the Company is subject to certain risks associated with tariffs on imports the government of the United States of America imposes, which could adversely impact the Company’s operations.</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2 - Summary of Significant Accounting Policies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Use of Estimates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preparation of the Company’s consolidated financial statements in conformity with US GAAP requires management to make estimates and assumptions that affect the reported amounts of assets and liabilities, as well as disclosure of contingent assets and liabilities at the date of the consolidated financial statements and the reported amounts of revenue and expenses during the reporting period. The Company believes judgment is involved in determining capitalized software development costs, the fair value of the SAFE agreements, useful lives of capitalized software development costs, stock-based compensation and the valuation allowance on deferred taxes. 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Accounts Receivable</w:t>
      </w:r>
      <w:r>
        <w:rPr>
          <w:rFonts w:ascii="Times New Roman" w:cs="Times New Roman" w:eastAsia="Times New Roman" w:hAnsi="Times New Roman"/>
          <w:sz w:val="16"/>
          <w:szCs w:val="16"/>
          <w:color w:val="auto"/>
        </w:rPr>
        <w:t>:</w:t>
      </w:r>
    </w:p>
    <w:p>
      <w:pPr>
        <w:sectPr>
          <w:pgSz w:w="11900" w:h="16840" w:orient="portrait"/>
          <w:cols w:equalWidth="0" w:num="1">
            <w:col w:w="10580"/>
          </w:cols>
          <w:pgMar w:left="660" w:top="557" w:right="660" w:bottom="26" w:gutter="0" w:footer="0" w:header="0"/>
        </w:sectPr>
      </w:pPr>
    </w:p>
    <w:bookmarkStart w:id="98" w:name="page99"/>
    <w:bookmarkEnd w:id="98"/>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Accounts receivable are derived from customers located primarily in North America. The Company generally does not require collateral to support customer receivables.</w:t>
      </w:r>
    </w:p>
    <w:p>
      <w:pPr>
        <w:spacing w:after="0" w:line="1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Accounts receivable are reduced by an allowance for credit losses to reserve for potentially uncollectible amounts. The Company evaluates the collectability of its accounts receivable monthly and amounts are written off when determined to be uncollectible by management. The maximum accounting loss from the credit risk associated with accounts receivable is the amount of the receivable recorded, which is the face amount of the receivable, net of the allowance for credit losses and deferred revenue, if any. The allowance for credit losses reflects the best estimate of probable losses. The Company writes off accounts receivable when they become uncollectible. No allowance for credit losses was necessary at December 31, 2024 and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Inventory</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Inventory consists of raw materials and is valued at the lower of cost or net realizable value (“NRV”), with cost determined by the first-in, first-out method. NRV is determined as the estimated selling price in the ordinary course of business less the estimated selling costs. Valuations are periodically performed by management, and a charge to operations is recorded if the carrying value of the item exceeds its estimated net realizable value. Management also periodically performs a valuation on allowance for excess and obsolete inventory. No valuation allowance was necessary at December 31, 2024 and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Advances to supplier are adjusted against the final amounts due upon shipment of the related products to the Company and are expected to be utilized within one year.</w:t>
      </w: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Prepaid Expenses:</w:t>
      </w:r>
    </w:p>
    <w:p>
      <w:pPr>
        <w:spacing w:after="0" w:line="17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Prepaid expenses are amounts paid to secure the use of assets or the receipt of services at a future date or continuously over one or more future periods. When the prepaid expenses are consumed, they are charged to expense.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Software Development Costs</w:t>
      </w:r>
      <w:r>
        <w:rPr>
          <w:rFonts w:ascii="Times New Roman" w:cs="Times New Roman" w:eastAsia="Times New Roman" w:hAnsi="Times New Roman"/>
          <w:sz w:val="16"/>
          <w:szCs w:val="16"/>
          <w:color w:val="auto"/>
        </w:rPr>
        <w:t>:</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 xml:space="preserve">In accordance with Financial Accounting Standards Board (“FASB”) Accounting Standards Codification (“ASC”) Topic 350-40, </w:t>
      </w:r>
      <w:r>
        <w:rPr>
          <w:rFonts w:ascii="Times New Roman" w:cs="Times New Roman" w:eastAsia="Times New Roman" w:hAnsi="Times New Roman"/>
          <w:sz w:val="16"/>
          <w:szCs w:val="16"/>
          <w:i w:val="1"/>
          <w:iCs w:val="1"/>
          <w:color w:val="auto"/>
        </w:rPr>
        <w:t xml:space="preserve">Intangibles-Goodwill and Other-Internal-Use Software </w:t>
      </w:r>
      <w:r>
        <w:rPr>
          <w:rFonts w:ascii="Times New Roman" w:cs="Times New Roman" w:eastAsia="Times New Roman" w:hAnsi="Times New Roman"/>
          <w:sz w:val="16"/>
          <w:szCs w:val="16"/>
          <w:color w:val="auto"/>
        </w:rPr>
        <w:t>, the Company capitalizes software development costs incurred on new applications or enhancements to applications during the application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development phase of software for internal use to provide services to customers. These capitalized costs include certain payroll and payroll-related costs for employees and costs for outside consultants who are directly associated with and who devote time to internal-use software projects. Costs incurred prior to the application development phase and after the market release are expensed as incurred.</w:t>
      </w:r>
    </w:p>
    <w:p>
      <w:pPr>
        <w:spacing w:after="0" w:line="15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Internal-use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and will test for impairment whenever events or changes in circumstances occur that could impact the recoverability of these assets. At December 31, 2024 and 2023, and for the years then ended, the Company was in the application development phase and as no projects have been substantially completed and ready for their intended use, no amortization was recorded during the years then ended.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Impairment of Long-Lived Assets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At December 31, 2024 and 2023, and for the years then ended, no such indicators of impairment were identified, and accordingly, no impairment losses were recognized.</w:t>
      </w: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Leases</w:t>
      </w:r>
      <w:r>
        <w:rPr>
          <w:rFonts w:ascii="Times New Roman" w:cs="Times New Roman" w:eastAsia="Times New Roman" w:hAnsi="Times New Roman"/>
          <w:sz w:val="16"/>
          <w:szCs w:val="16"/>
          <w:color w:val="auto"/>
        </w:rPr>
        <w:t>:</w:t>
      </w:r>
    </w:p>
    <w:p>
      <w:pPr>
        <w:spacing w:after="0" w:line="17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6"/>
          <w:szCs w:val="16"/>
          <w:color w:val="auto"/>
        </w:rPr>
        <w:t xml:space="preserve">The Company recognizes and measures its leases in accordance with FASB ASC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(“ASC 842”). The Company determines if an arrangement is a lease, or contains a lease, at inception of a contract and when the terms of an existing contract are changed. The Company recognizes a lease liability and a right-of-use (ROU) asset at the commencement date of each lease. The lease liability is initially and subsequently recognized based on the present value of the contract’s future lease payments.</w:t>
      </w:r>
    </w:p>
    <w:p>
      <w:pPr>
        <w:spacing w:after="0" w:line="15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Variable payments are included in the future lease payments when those variable payments depend on an index or a rate. The discount rate is the implicit rate, if it is readily determinable, or the Company’s incremental borrowing rate. The Company’s incremental borrowing rate for a lease is the rate of interest it would have to pay on a collateralized basis to borrow an amount equal to the lease payments under similar terms and in a similar economic environment.</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Company has elected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costs associated with its short-term leases on a straight-line basis over the lease term. When contracts contain lease and non-lease components, the Company accounts for each component separately.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Revenue Recognition</w:t>
      </w:r>
      <w:r>
        <w:rPr>
          <w:rFonts w:ascii="Times New Roman" w:cs="Times New Roman" w:eastAsia="Times New Roman" w:hAnsi="Times New Roman"/>
          <w:sz w:val="16"/>
          <w:szCs w:val="16"/>
          <w:color w:val="auto"/>
        </w:rPr>
        <w:t>:</w:t>
      </w:r>
    </w:p>
    <w:p>
      <w:pPr>
        <w:spacing w:after="0" w:line="1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 xml:space="preserve">The Company recognizes revenue in accordance with FASB ASC Topic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The Company primarily recognizes revenue from the delivery of subscription services and related professional services through a hosted cloud (SaaS) environment. Arrangements for services generally have terms of one year or less.</w:t>
      </w:r>
    </w:p>
    <w:p>
      <w:pPr>
        <w:sectPr>
          <w:pgSz w:w="11900" w:h="16840" w:orient="portrait"/>
          <w:cols w:equalWidth="0" w:num="1">
            <w:col w:w="10580"/>
          </w:cols>
          <w:pgMar w:left="660" w:top="737" w:right="660" w:bottom="182" w:gutter="0" w:footer="0" w:header="0"/>
        </w:sectPr>
      </w:pPr>
    </w:p>
    <w:bookmarkStart w:id="99" w:name="page100"/>
    <w:bookmarkEnd w:id="99"/>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The subscription service revenue is recognized on a straight-line basis over the contract term. The Company determined a time -based approach is the most appropriate measure of progress because customers simultaneously receive and consume the benefits as they can access the cloud-based software under the contract terms. The Company’s subscription service arrangements are noncancelable and do not contain refund-type provisions. The Company also sells hardware related to its subscription service arrangements. These hardware components are highly integrated with the subscription service and together represent a single performance obligation. Revenues attributable to this combined performance obligation are recognized over time as the services are delivered.</w:t>
      </w:r>
    </w:p>
    <w:p>
      <w:pPr>
        <w:spacing w:after="0" w:line="1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Company also provides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revenue consists of payments received in advance of satisfaction of a performance obligation and is recognized as the performance obligations are satisfied.</w:t>
      </w:r>
    </w:p>
    <w:p>
      <w:pPr>
        <w:spacing w:after="0" w:line="176"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4"/>
          <w:szCs w:val="14"/>
          <w:color w:val="auto"/>
        </w:rPr>
        <w:t>Due to the Company being in the early stages of developing its software as a service (Saas) product, revenues were primarily related to the delivery of feasibility study reports to customers seeking to gain insight into how data driven tracking could improve their business, which is recognized upon acceptance of the feasibility report.</w:t>
      </w:r>
    </w:p>
    <w:p>
      <w:pPr>
        <w:spacing w:after="0" w:line="96"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On November 11, 2024, the Company entered into a five-year exclusivity and licensing agreement with a customer. In consideration of the exclusive rights granted through this agreement, the customer made payments to the Company totaling $2,000,000 by December 31, 2024, $36,785 of which has been recognized as revenue during the year ended December 31, 2024, and with the remaining $1,963,215 included in “Deferred revenue” at December 31, 2024 in the accompanying consolidated balance sheets, which will be recognized as follows: $392,643 (2025), $392,643 (2026), $392,643 (2027), $392,643 (2028), and $392,643 (2029).</w:t>
      </w:r>
    </w:p>
    <w:p>
      <w:pPr>
        <w:spacing w:after="0" w:line="155"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14"/>
          <w:szCs w:val="14"/>
          <w:color w:val="auto"/>
        </w:rPr>
        <w:t>At December 31, 2024, the Company also had deferred revenue amounting to $750,000 for a prepayment from a customer for certain products, hardware, installation, programming, subscription, and training services, which the Company is in the process of fulfilling and expects to deliver entirely before December 31, 2025.</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Stock-Based Compensation</w:t>
      </w:r>
      <w:r>
        <w:rPr>
          <w:rFonts w:ascii="Times New Roman" w:cs="Times New Roman" w:eastAsia="Times New Roman" w:hAnsi="Times New Roman"/>
          <w:sz w:val="16"/>
          <w:szCs w:val="16"/>
          <w:color w:val="auto"/>
        </w:rPr>
        <w:t>:</w:t>
      </w:r>
    </w:p>
    <w:p>
      <w:pPr>
        <w:spacing w:after="0" w:line="17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 xml:space="preserve">The Company applies FASB ASC 718, </w:t>
      </w:r>
      <w:r>
        <w:rPr>
          <w:rFonts w:ascii="Times New Roman" w:cs="Times New Roman" w:eastAsia="Times New Roman" w:hAnsi="Times New Roman"/>
          <w:sz w:val="16"/>
          <w:szCs w:val="16"/>
          <w:i w:val="1"/>
          <w:iCs w:val="1"/>
          <w:color w:val="auto"/>
        </w:rPr>
        <w:t>Stock Compensation</w:t>
      </w:r>
      <w:r>
        <w:rPr>
          <w:rFonts w:ascii="Times New Roman" w:cs="Times New Roman" w:eastAsia="Times New Roman" w:hAnsi="Times New Roman"/>
          <w:sz w:val="16"/>
          <w:szCs w:val="16"/>
          <w:color w:val="auto"/>
        </w:rPr>
        <w:t>, when recording stock- based compensation. The fair value of each stock option award is estimated on the date of grant using the Black-Scholes option valuation model. The assumptions used in the Black-Scholes valuation model are as follows: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Grant Price </w:t>
      </w:r>
      <w:r>
        <w:rPr>
          <w:rFonts w:ascii="Times New Roman" w:cs="Times New Roman" w:eastAsia="Times New Roman" w:hAnsi="Times New Roman"/>
          <w:sz w:val="16"/>
          <w:szCs w:val="16"/>
          <w:color w:val="auto"/>
        </w:rPr>
        <w:t>- The grant price of the issuances is determined based on the estimated fair value of the shares at the date of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Risk-Free Interest Rate </w:t>
      </w:r>
      <w:r>
        <w:rPr>
          <w:rFonts w:ascii="Times New Roman" w:cs="Times New Roman" w:eastAsia="Times New Roman" w:hAnsi="Times New Roman"/>
          <w:sz w:val="14"/>
          <w:szCs w:val="14"/>
          <w:color w:val="auto"/>
        </w:rPr>
        <w:t>- The risk-free interest rate for periods within the contractual life of the option is based on the U.S. Treasury yield in effect at the time of grant.</w:t>
      </w:r>
    </w:p>
    <w:p>
      <w:pPr>
        <w:spacing w:after="0" w:line="19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Expected Lives </w:t>
      </w:r>
      <w:r>
        <w:rPr>
          <w:rFonts w:ascii="Times New Roman" w:cs="Times New Roman" w:eastAsia="Times New Roman" w:hAnsi="Times New Roman"/>
          <w:sz w:val="16"/>
          <w:szCs w:val="16"/>
          <w:color w:val="auto"/>
        </w:rPr>
        <w:t>- Due to the Company’s insufficient history of option activity, management utilizes the simplified approach to estimate the options’ expected term,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represents the period of time that options granted are expected to be outstanding.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Expected Volatility </w:t>
      </w:r>
      <w:r>
        <w:rPr>
          <w:rFonts w:ascii="Times New Roman" w:cs="Times New Roman" w:eastAsia="Times New Roman" w:hAnsi="Times New Roman"/>
          <w:sz w:val="16"/>
          <w:szCs w:val="16"/>
          <w:color w:val="auto"/>
        </w:rPr>
        <w:t>- Determined based on management’s estimate or historical volatilities of comparable companies.</w:t>
      </w:r>
    </w:p>
    <w:p>
      <w:pPr>
        <w:spacing w:after="0" w:line="17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Expected Dividend Yield </w:t>
      </w:r>
      <w:r>
        <w:rPr>
          <w:rFonts w:ascii="Times New Roman" w:cs="Times New Roman" w:eastAsia="Times New Roman" w:hAnsi="Times New Roman"/>
          <w:sz w:val="16"/>
          <w:szCs w:val="16"/>
          <w:color w:val="auto"/>
        </w:rPr>
        <w:t>- Based on current yield at the grant date or the average dividend yield over the historical period. The Company has never declared or paid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dividends and has no plans to do so in the foreseeable future.</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stock-based compensation expense is recognized on a straight-line basis based on the number of awards expected to vest over the requisite service period, and is adjusted to reflect those awards that do ultimately vest with the offsetting credit to additional paid-in capital. For further details regarding stock-based compensation, see Note 7.</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Research and Development Costs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Expenditures related to the research and development of new products and processes are expensed as incurred. Research and development expenses consist primarily of compensation costs and fees paid to consultants and other expenses relating to the development and testing of the Company’s products.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Advertising</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Company expenses advertising costs as incurred. For the years ended December 31, 2024 and 2023, advertising expenses totaled $818,538 and $47,850,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Income Taxes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The Company accounts for income taxes using the asset and liability approach.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the deferred tax assets and liabilities of a change in tax rates is recognized in income in the period that includes the enactment date. The Company records a valuation allowance against deferred tax assets as deemed necessary.</w:t>
      </w:r>
    </w:p>
    <w:p>
      <w:pPr>
        <w:spacing w:after="0" w:line="15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The Company accounts for the uncertainty in income taxes as prescribed by the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If applicable, the Company records interest and penalties as a component of income tax expense.</w:t>
      </w:r>
    </w:p>
    <w:p>
      <w:pPr>
        <w:sectPr>
          <w:pgSz w:w="11900" w:h="16840" w:orient="portrait"/>
          <w:cols w:equalWidth="0" w:num="1">
            <w:col w:w="10580"/>
          </w:cols>
          <w:pgMar w:left="660" w:top="557" w:right="660" w:bottom="367" w:gutter="0" w:footer="0" w:header="0"/>
        </w:sectPr>
      </w:pPr>
    </w:p>
    <w:bookmarkStart w:id="100" w:name="page101"/>
    <w:bookmarkEnd w:id="100"/>
    <w:p>
      <w:pPr>
        <w:jc w:val="center"/>
        <w:ind w:right="20"/>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Fair Value of Financial Instruments</w:t>
      </w:r>
      <w:r>
        <w:rPr>
          <w:rFonts w:ascii="Times New Roman" w:cs="Times New Roman" w:eastAsia="Times New Roman" w:hAnsi="Times New Roman"/>
          <w:sz w:val="16"/>
          <w:szCs w:val="16"/>
          <w:color w:val="auto"/>
        </w:rPr>
        <w:t>:</w:t>
      </w:r>
    </w:p>
    <w:p>
      <w:pPr>
        <w:spacing w:after="0" w:line="1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 xml:space="preserve">FASB ASC Topic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xml:space="preserve"> (“ASC 820”), establishes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Categorization within the valuation hierarchy is based upon the lowest level of input that is significant to the fair value measurement. Valuation techniques used need to maximize the use of observable inputs and minimize the use of unobservable inputs. Under the standard, fair value is defined as the exit price, or the amount that would be received to sell an asset or paid to transfer a liability in an orderly transaction between market participants at the measurement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three levels of the fair value hierarchy under ASC 820 are described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Level 1 - Pricing inputs are unadjusted quoted prices available in active markets for identical assets or liabilities at the reporting date.</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Level 2 - Pricing inputs are quoted prices for similar investments, or inputs that are observable, either directly or indirectly, for substantially the full term through corroboration with observable market data. Level 2 includes assets and liabilities valued at quoted prices adjusted for legal or contractual restrictions specific to these assets and liabilities.</w:t>
      </w:r>
    </w:p>
    <w:p>
      <w:pPr>
        <w:spacing w:after="0" w:line="15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Level 3 - Pricing inputs are unobservable, supported by little or no market activity, and reflect the reporting entity’s own assumptions about the assumptions market participants would use in pricing the asset or liability.</w:t>
      </w:r>
    </w:p>
    <w:p>
      <w:pPr>
        <w:spacing w:after="0" w:line="1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With the exception of the SAFE agreements, at December 31, 2024 and 2023, the fair value of all of the Company’s financial assets and liabilities approximate carrying value because of the short-term nature of these instruments. The SAFE agreements are carried at estimated fair value, determined by the Company using a probability weighted expected return method. The SAFE agreements are classified within Level 3 of the fair value hierarchy, since their fair values are determined using significant assumptions that are not observable in the market.</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method described above may produce a fair value calculation that may not be indicative of net realizable value or reflective of future fair values. Furthermore, although the Company believes its valuation methods are appropriate and consistent with other market participants; however, the use of different methodologies or assumptions to determine the fair value of certain financial instruments could result in a different fair value measurement at the reporting dates.</w:t>
      </w: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Recently Issued Accounting Pronouncements:</w:t>
      </w:r>
    </w:p>
    <w:p>
      <w:pPr>
        <w:spacing w:after="0" w:line="17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4"/>
          <w:szCs w:val="14"/>
          <w:color w:val="auto"/>
        </w:rPr>
        <w:t xml:space="preserve">In November 2023, the FASB issued Accounting Standards Update (“ASU”) No. 2023- 07 (“ASU 2023-07”), </w:t>
      </w:r>
      <w:r>
        <w:rPr>
          <w:rFonts w:ascii="Times New Roman" w:cs="Times New Roman" w:eastAsia="Times New Roman" w:hAnsi="Times New Roman"/>
          <w:sz w:val="14"/>
          <w:szCs w:val="14"/>
          <w:i w:val="1"/>
          <w:iCs w:val="1"/>
          <w:color w:val="auto"/>
        </w:rPr>
        <w:t>Segment Reporting (Topic 280): Improvements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Reportable Segment Disclosures, </w:t>
      </w:r>
      <w:r>
        <w:rPr>
          <w:rFonts w:ascii="Times New Roman" w:cs="Times New Roman" w:eastAsia="Times New Roman" w:hAnsi="Times New Roman"/>
          <w:sz w:val="14"/>
          <w:szCs w:val="14"/>
          <w:color w:val="auto"/>
        </w:rPr>
        <w:t>to enhance disclosures about significant segment expenses for public entities reporting segment information under FASB ASC Topic</w:t>
      </w:r>
    </w:p>
    <w:p>
      <w:pPr>
        <w:jc w:val="both"/>
        <w:ind w:firstLine="6"/>
        <w:spacing w:after="0" w:line="235" w:lineRule="auto"/>
        <w:tabs>
          <w:tab w:leader="none" w:pos="326"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amendments require public entities to disclose significant expense categories for each reportable segment, other segment items, the title and position of the chief financial decision-maker, and interim disclosures of certain segment-related information previously required only on an annual basis. The amendments clarify that entities reporting single segments must disclose both the new and existing segment disclosures under FASB ASC Topic 280, and a public entity is permitted to disclose multiple measures of segment profit or loss if certain criteria are met. This standard is effective for fiscal years beginning after December 15, 2023, and interim periods within fiscal years beginning after December 15, 2024. The adoption of ASU 2023-07 did not have a significant impact on the Company’s consolidated financial statements. See Note 13 for the required disclosures.</w:t>
      </w:r>
    </w:p>
    <w:p>
      <w:pPr>
        <w:spacing w:after="0" w:line="15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 xml:space="preserve">In December 2023, the FASB issued ASU No. 2023-09, </w:t>
      </w:r>
      <w:r>
        <w:rPr>
          <w:rFonts w:ascii="Times New Roman" w:cs="Times New Roman" w:eastAsia="Times New Roman" w:hAnsi="Times New Roman"/>
          <w:sz w:val="16"/>
          <w:szCs w:val="16"/>
          <w:i w:val="1"/>
          <w:iCs w:val="1"/>
          <w:color w:val="auto"/>
        </w:rPr>
        <w:t>Income Taxes (Topic 740): Improvements to Income Tax Disclosures</w:t>
      </w:r>
      <w:r>
        <w:rPr>
          <w:rFonts w:ascii="Times New Roman" w:cs="Times New Roman" w:eastAsia="Times New Roman" w:hAnsi="Times New Roman"/>
          <w:sz w:val="16"/>
          <w:szCs w:val="16"/>
          <w:color w:val="auto"/>
        </w:rPr>
        <w:t xml:space="preserve"> (“ASU 2023-09”). ASU 2023-09 requires entities to disclose additional information in specified categories in the reconciliation of the effective tax rate to the statutory rate for federal, state, and foreign income taxes. ASU 2023-09 also requires greater detail about individual reconciling items in the rate reconciliation to the extent the impact of those items exceeds a specified threshold and eliminates certain existing disclosures. In addition to new disclosures associated with the rate reconciliation, the standard requires information pertaining to taxes paid (net of refunds received) to be disaggregated for federal, state, and foreign taxes and further disaggregated for specific jurisdictions to the extent the related amounts exceed a quantitative threshold. This standard will be effective for annual periods in fiscal years beginning after December 15, 2024, and for interim periods for fiscal years beginning after December 15, 2025. The guidance will be applied on a prospective basis with the option to apply the standard retrospectively, and early adoption is permitted. The Company is continuing to assess the potential impacts of the standard, and it does not expect this pronouncement to have a material effect on its consolidated financial statements, other than the required changes to the income tax disclosures.</w:t>
      </w:r>
    </w:p>
    <w:p>
      <w:pPr>
        <w:spacing w:after="0" w:line="16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Management does not believe any other recently issued, but not yet effective, accounting standards could have a material effect on the Company’s consolidated financial statements. As new accounting pronouncements are issued, the Company will adopt those that are applicable.</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3 - Concentrations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Concentration of Credit Risk Arising From Cash Deposits in Excess of Insured Limits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Company maintains a cash balance with a U.S. financial institution, in which the balance exceeds the FDIC insured limit of $250,000. At December 31, 2024 and 2023, the Company’s cash balance held at this financial institution exceeded the FDIC limit. The Company has not experienced losses on this account and management believes the Company is not exposed to significant risks on such account.</w:t>
      </w:r>
    </w:p>
    <w:p>
      <w:pPr>
        <w:sectPr>
          <w:pgSz w:w="11900" w:h="16840" w:orient="portrait"/>
          <w:cols w:equalWidth="0" w:num="1">
            <w:col w:w="10580"/>
          </w:cols>
          <w:pgMar w:left="660" w:top="557" w:right="660" w:bottom="182"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auto"/>
        </w:rPr>
        <w:t>Significant Customers:</w:t>
      </w:r>
    </w:p>
    <w:p>
      <w:pPr>
        <w:spacing w:after="0" w:line="176"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 significant customer is defined as one from whom at least 10% of revenue is derived. For the year ended December 31, 2024, the Company had sales to three customers totaling approximately $154,000, which comprised approximately 89% of total revenues. For the year ended December 31, 2023, the Company had sales to two customers totaling approximately $361,000, which comprised approximately 82% of total revenues.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Significant Vendor:</w:t>
      </w:r>
    </w:p>
    <w:p>
      <w:pPr>
        <w:spacing w:after="0" w:line="176"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Substantially all of the Company’s purchases during the year ended December 31, 2024 were from a single vendor that provides polycarbonate plastic casings for the Company’s hardware products. Alternative suppliers are available for these items and management believes the loss of this supplier would be unlikely to have a material impact on the Company’s operations or operating results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4 - Capitalized Software Development Costs</w:t>
      </w:r>
    </w:p>
    <w:p>
      <w:pPr>
        <w:spacing w:after="0" w:line="178"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During the years ended December 31, 2024 and 2023, SEE ID capitalized software development costs totaling $ 834,220 and $672,319, respectively. For the years ended December 31, 2024 and 2023, there was no amortization expense recorded on capitalized software development costs as the software was not substantially complete and ready for its intended use, which management currently expects to occur in or before July 2025.</w:t>
      </w: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5 - SAFE Agreements</w:t>
      </w:r>
    </w:p>
    <w:p>
      <w:pPr>
        <w:spacing w:after="0" w:line="178"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At December 31, 2024 and 2023, SEE ID has issued Simple Agreements for Future Equity (the “SAFE agreements”) to investors for proceeds totaling $8,461,465 and $4,221,965, respectively. Under the terms of these SAFE agreements, which have stated discount rates which range from 67 - 80%, the following will happen upon the occurrence of these events (all capitalized terms are as defined in the SAFE agreements):</w:t>
      </w:r>
    </w:p>
    <w:p>
      <w:pPr>
        <w:spacing w:after="0" w:line="150" w:lineRule="exact"/>
        <w:rPr>
          <w:sz w:val="20"/>
          <w:szCs w:val="20"/>
          <w:color w:val="auto"/>
        </w:rPr>
      </w:pPr>
    </w:p>
    <w:p>
      <w:pPr>
        <w:ind w:left="580" w:right="20" w:firstLine="2"/>
        <w:spacing w:after="0" w:line="262" w:lineRule="auto"/>
        <w:tabs>
          <w:tab w:leader="none" w:pos="736"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Equity Financing </w:t>
      </w:r>
      <w:r>
        <w:rPr>
          <w:rFonts w:ascii="Times New Roman" w:cs="Times New Roman" w:eastAsia="Times New Roman" w:hAnsi="Times New Roman"/>
          <w:sz w:val="16"/>
          <w:szCs w:val="16"/>
          <w:color w:val="auto"/>
        </w:rPr>
        <w:t>- the SAFE agreements will automatically convert into the number of shares of Safe Preferred Stock equal to the Purchase Amount divided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the Discount Price with certain SAFE agreements subject to a post-money valuation cap of $30,000,000.</w:t>
      </w:r>
    </w:p>
    <w:p>
      <w:pPr>
        <w:spacing w:after="0" w:line="138" w:lineRule="exact"/>
        <w:rPr>
          <w:rFonts w:ascii="Times New Roman" w:cs="Times New Roman" w:eastAsia="Times New Roman" w:hAnsi="Times New Roman"/>
          <w:sz w:val="16"/>
          <w:szCs w:val="16"/>
          <w:color w:val="auto"/>
        </w:rPr>
      </w:pPr>
    </w:p>
    <w:p>
      <w:pPr>
        <w:jc w:val="both"/>
        <w:ind w:left="580" w:firstLine="2"/>
        <w:spacing w:after="0" w:line="248" w:lineRule="auto"/>
        <w:tabs>
          <w:tab w:leader="none" w:pos="748"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Liquidity Event </w:t>
      </w:r>
      <w:r>
        <w:rPr>
          <w:rFonts w:ascii="Times New Roman" w:cs="Times New Roman" w:eastAsia="Times New Roman" w:hAnsi="Times New Roman"/>
          <w:sz w:val="16"/>
          <w:szCs w:val="16"/>
          <w:color w:val="auto"/>
        </w:rPr>
        <w:t>- the SAFE agreements will automatically be entitled to receive a portion of Proceeds, due and payable to the investor immediately prior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concurrent with, the consummation of such Liquidity Event, equal to the greater of (i) the Purchase Amount (the “Cash-Out Amount”) or (ii) the amount payable on the number of shares of Common Stock equal to the Purchase Amount divided by the Liquidity Price.</w:t>
      </w:r>
    </w:p>
    <w:p>
      <w:pPr>
        <w:spacing w:after="0" w:line="149" w:lineRule="exact"/>
        <w:rPr>
          <w:rFonts w:ascii="Times New Roman" w:cs="Times New Roman" w:eastAsia="Times New Roman" w:hAnsi="Times New Roman"/>
          <w:sz w:val="16"/>
          <w:szCs w:val="16"/>
          <w:color w:val="auto"/>
        </w:rPr>
      </w:pPr>
    </w:p>
    <w:p>
      <w:pPr>
        <w:ind w:left="580" w:right="20" w:firstLine="2"/>
        <w:spacing w:after="0" w:line="262" w:lineRule="auto"/>
        <w:tabs>
          <w:tab w:leader="none" w:pos="748"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Dissolution Event </w:t>
      </w:r>
      <w:r>
        <w:rPr>
          <w:rFonts w:ascii="Times New Roman" w:cs="Times New Roman" w:eastAsia="Times New Roman" w:hAnsi="Times New Roman"/>
          <w:sz w:val="16"/>
          <w:szCs w:val="16"/>
          <w:color w:val="auto"/>
        </w:rPr>
        <w:t>- the Investor will automatically be entitled to receive a portion of Proceeds equal to the Cash-Out Amount, due and payable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Investor immediately prior to the consummation of the Dissolution Event.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 of these events had occurred at December 31, 2024, and the SAFE agreements remained outstanding.</w:t>
      </w:r>
    </w:p>
    <w:p>
      <w:pPr>
        <w:spacing w:after="0" w:line="1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 xml:space="preserve">In accordance with FASB ASC 815-40, </w:t>
      </w:r>
      <w:r>
        <w:rPr>
          <w:rFonts w:ascii="Times New Roman" w:cs="Times New Roman" w:eastAsia="Times New Roman" w:hAnsi="Times New Roman"/>
          <w:sz w:val="16"/>
          <w:szCs w:val="16"/>
          <w:i w:val="1"/>
          <w:iCs w:val="1"/>
          <w:color w:val="auto"/>
        </w:rPr>
        <w:t>Contracts in Entity’s Own Equity</w:t>
      </w:r>
      <w:r>
        <w:rPr>
          <w:rFonts w:ascii="Times New Roman" w:cs="Times New Roman" w:eastAsia="Times New Roman" w:hAnsi="Times New Roman"/>
          <w:sz w:val="16"/>
          <w:szCs w:val="16"/>
          <w:color w:val="auto"/>
        </w:rPr>
        <w:t>, the Company determined the SAFE agreements are freestanding financial instruments and accordingly are classified as “liabilities” in the accompanying consolidated balance sheets. The SAFE agreements are carried at estimated fair value determined by the Company using a probability -weighted expected return method. During the years ended December 31, 2024 and 2023, SEE ID issued additional SAFE agreements to investors totaling $4,239,500 and $2,120,000, and the change in the fair value of the SAFE agreements was $14,492,176 and $263,239,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SAFE agreements activity for the years ended December 31, 2024 and 2023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Borders>
              <w:bottom w:val="single" w:sz="8" w:color="CCEEFF"/>
            </w:tcBorders>
          </w:tcPr>
          <w:p>
            <w:pPr>
              <w:spacing w:after="0"/>
              <w:rPr>
                <w:sz w:val="17"/>
                <w:szCs w:val="17"/>
                <w:color w:val="auto"/>
              </w:rPr>
            </w:pPr>
          </w:p>
        </w:tc>
      </w:tr>
      <w:tr>
        <w:trPr>
          <w:trHeight w:val="180"/>
        </w:trPr>
        <w:tc>
          <w:tcPr>
            <w:tcW w:w="8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SAFE agreements at fair value, beginning of year</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4,602,950</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2,219,711</w:t>
            </w:r>
          </w:p>
        </w:tc>
        <w:tc>
          <w:tcPr>
            <w:tcW w:w="80" w:type="dxa"/>
            <w:vAlign w:val="bottom"/>
            <w:shd w:val="clear" w:color="auto" w:fill="CCEEFF"/>
          </w:tcPr>
          <w:p>
            <w:pPr>
              <w:spacing w:after="0"/>
              <w:rPr>
                <w:sz w:val="15"/>
                <w:szCs w:val="15"/>
                <w:color w:val="auto"/>
              </w:rPr>
            </w:pPr>
          </w:p>
        </w:tc>
      </w:tr>
      <w:tr>
        <w:trPr>
          <w:trHeight w:val="180"/>
        </w:trPr>
        <w:tc>
          <w:tcPr>
            <w:tcW w:w="8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Plus: SAFE agreements issued for cash</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4,239,500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2,120,000</w:t>
            </w:r>
          </w:p>
        </w:tc>
        <w:tc>
          <w:tcPr>
            <w:tcW w:w="80" w:type="dxa"/>
            <w:vAlign w:val="bottom"/>
          </w:tcPr>
          <w:p>
            <w:pPr>
              <w:spacing w:after="0"/>
              <w:rPr>
                <w:sz w:val="15"/>
                <w:szCs w:val="15"/>
                <w:color w:val="auto"/>
              </w:rPr>
            </w:pPr>
          </w:p>
        </w:tc>
      </w:tr>
      <w:tr>
        <w:trPr>
          <w:trHeight w:val="212"/>
        </w:trPr>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Plus: Change in fair value</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14,492,176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263,239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92"/>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SAFE agreements at fair value, end of year</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23,334,626</w:t>
            </w:r>
          </w:p>
        </w:tc>
        <w:tc>
          <w:tcPr>
            <w:tcW w:w="44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4,602,950</w:t>
            </w:r>
          </w:p>
        </w:tc>
        <w:tc>
          <w:tcPr>
            <w:tcW w:w="80" w:type="dxa"/>
            <w:vAlign w:val="bottom"/>
          </w:tcPr>
          <w:p>
            <w:pPr>
              <w:spacing w:after="0"/>
              <w:rPr>
                <w:sz w:val="16"/>
                <w:szCs w:val="16"/>
                <w:color w:val="auto"/>
              </w:rPr>
            </w:pPr>
          </w:p>
        </w:tc>
      </w:tr>
      <w:tr>
        <w:trPr>
          <w:trHeight w:val="20"/>
        </w:trPr>
        <w:tc>
          <w:tcPr>
            <w:tcW w:w="8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6 - Common Stock</w:t>
      </w:r>
    </w:p>
    <w:p>
      <w:pPr>
        <w:spacing w:after="0" w:line="178"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SEE ID is authorized to issue 200,000,000 shares of common stock at $0.001 par value, comprised of (i) 165,000,000 shares of Class A Common Stock (voting) and (ii) 35,000,000 shares of Class B Common Stock (non-voting).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2024 and 2023, SEE ID had 108,975,000 shares of Class A Common Stock issued and outstanding.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7 - Equity Incentive Plan</w:t>
      </w:r>
    </w:p>
    <w:p>
      <w:pPr>
        <w:spacing w:after="0" w:line="17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In January 2021, SEE ID adopted the 2021 Equity Inventive Plan (the “Plan”), which provides for grants of awards in the form of incentive stock options, nonqualified stock options, and restricted stock awards to selected employees, directors, and independent contractors of the Company and its affiliates, as defined in the Plan. The aggregate number of shares of SEE ID’s common stock that may be issued under the Plan shall not exceed 57,477,460. The purpose of the Plan is to encourage and enable selected participants to acquire or to increase their holdings of SEE ID’s common stock in order to promote a closer identification of their interests with those of the Company and its stockholders. The Plan is administered by the Company’s Board of Directors, which determines the persons to whom awards will be granted, the type of awards to be granted, the number of awards to be granted and the specific terms of each grant, including the vesting thereof, subject to the provisions of the Plan.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Stock Options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2024, SEE ID granted stock options to purchase 86,700 shares of its common stock at an exercise price of $0.70 per share, which</w:t>
      </w:r>
    </w:p>
    <w:p>
      <w:pPr>
        <w:sectPr>
          <w:pgSz w:w="11900" w:h="16840" w:orient="portrait"/>
          <w:cols w:equalWidth="0" w:num="1">
            <w:col w:w="10580"/>
          </w:cols>
          <w:pgMar w:left="660" w:top="557" w:right="660" w:bottom="73" w:gutter="0" w:footer="0" w:header="0"/>
        </w:sectPr>
      </w:pPr>
    </w:p>
    <w:bookmarkStart w:id="102" w:name="page103"/>
    <w:bookmarkEnd w:id="102"/>
    <w:p>
      <w:pPr>
        <w:ind w:right="20"/>
        <w:spacing w:after="0" w:line="259" w:lineRule="auto"/>
        <w:rPr>
          <w:sz w:val="20"/>
          <w:szCs w:val="20"/>
          <w:color w:val="auto"/>
        </w:rPr>
      </w:pPr>
      <w:r>
        <w:rPr>
          <w:rFonts w:ascii="Times New Roman" w:cs="Times New Roman" w:eastAsia="Times New Roman" w:hAnsi="Times New Roman"/>
          <w:sz w:val="16"/>
          <w:szCs w:val="16"/>
          <w:color w:val="auto"/>
        </w:rPr>
        <w:t>all have a ten-year life and vest ratably over the 18 months following the date of grant. The fair value of the stock options granted during the year ended December 31, 2024, was determined to be approximately $44,000 on the date of grant using the Black-Scholes option-pricing model, with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life (in years)</w:t>
            </w: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80" w:type="dxa"/>
            <w:vAlign w:val="bottom"/>
            <w:shd w:val="clear" w:color="auto" w:fill="CCEEFF"/>
          </w:tcPr>
          <w:p>
            <w:pPr>
              <w:spacing w:after="0"/>
              <w:rPr>
                <w:sz w:val="16"/>
                <w:szCs w:val="16"/>
                <w:color w:val="auto"/>
              </w:rPr>
            </w:pPr>
          </w:p>
        </w:tc>
      </w:tr>
      <w:tr>
        <w:trPr>
          <w:trHeight w:val="180"/>
        </w:trPr>
        <w:tc>
          <w:tcPr>
            <w:tcW w:w="6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Average volatility</w:t>
            </w: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85%</w:t>
            </w:r>
          </w:p>
        </w:tc>
      </w:tr>
      <w:tr>
        <w:trPr>
          <w:trHeight w:val="180"/>
        </w:trPr>
        <w:tc>
          <w:tcPr>
            <w:tcW w:w="6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Risk-free rates</w:t>
            </w: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4.13%</w:t>
            </w:r>
          </w:p>
        </w:tc>
      </w:tr>
      <w:tr>
        <w:trPr>
          <w:trHeight w:val="180"/>
        </w:trPr>
        <w:tc>
          <w:tcPr>
            <w:tcW w:w="6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Expected dividend rate</w:t>
            </w: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r>
      <w:tr>
        <w:trPr>
          <w:trHeight w:val="180"/>
        </w:trPr>
        <w:tc>
          <w:tcPr>
            <w:tcW w:w="6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Weighted-average grant date calculated fair value</w:t>
            </w: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0.51</w:t>
            </w:r>
          </w:p>
        </w:tc>
        <w:tc>
          <w:tcPr>
            <w:tcW w:w="80" w:type="dxa"/>
            <w:vAlign w:val="bottom"/>
            <w:shd w:val="clear" w:color="auto" w:fill="CCEEFF"/>
          </w:tcPr>
          <w:p>
            <w:pPr>
              <w:spacing w:after="0"/>
              <w:rPr>
                <w:sz w:val="15"/>
                <w:szCs w:val="15"/>
                <w:color w:val="auto"/>
              </w:rPr>
            </w:pPr>
          </w:p>
        </w:tc>
      </w:tr>
      <w:tr>
        <w:trPr>
          <w:trHeight w:val="604"/>
        </w:trPr>
        <w:tc>
          <w:tcPr>
            <w:tcW w:w="6880" w:type="dxa"/>
            <w:vAlign w:val="bottom"/>
            <w:tcBorders>
              <w:bottom w:val="single" w:sz="8" w:color="auto"/>
            </w:tcBorders>
          </w:tcPr>
          <w:p>
            <w:pPr>
              <w:jc w:val="center"/>
              <w:ind w:left="3622"/>
              <w:spacing w:after="0"/>
              <w:rPr>
                <w:sz w:val="20"/>
                <w:szCs w:val="20"/>
                <w:color w:val="auto"/>
              </w:rPr>
            </w:pPr>
            <w:r>
              <w:rPr>
                <w:rFonts w:ascii="Times New Roman" w:cs="Times New Roman" w:eastAsia="Times New Roman" w:hAnsi="Times New Roman"/>
                <w:sz w:val="16"/>
                <w:szCs w:val="16"/>
                <w:color w:val="auto"/>
                <w:w w:val="99"/>
              </w:rPr>
              <w:t>F-44</w:t>
            </w: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863"/>
        </w:trPr>
        <w:tc>
          <w:tcPr>
            <w:tcW w:w="6880" w:type="dxa"/>
            <w:vAlign w:val="bottom"/>
          </w:tcPr>
          <w:p>
            <w:pPr>
              <w:jc w:val="center"/>
              <w:ind w:left="3622"/>
              <w:spacing w:after="0"/>
              <w:rPr>
                <w:sz w:val="20"/>
                <w:szCs w:val="20"/>
                <w:color w:val="auto"/>
              </w:rPr>
            </w:pPr>
            <w:r>
              <w:rPr>
                <w:rFonts w:ascii="Times New Roman" w:cs="Times New Roman" w:eastAsia="Times New Roman" w:hAnsi="Times New Roman"/>
                <w:sz w:val="16"/>
                <w:szCs w:val="16"/>
                <w:color w:val="auto"/>
                <w:w w:val="97"/>
              </w:rPr>
              <w:t>SEE ID, INC. AND SUBSIDIARY</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6880" w:type="dxa"/>
            <w:vAlign w:val="bottom"/>
          </w:tcPr>
          <w:p>
            <w:pPr>
              <w:jc w:val="center"/>
              <w:ind w:left="3642"/>
              <w:spacing w:after="0"/>
              <w:rPr>
                <w:sz w:val="20"/>
                <w:szCs w:val="20"/>
                <w:color w:val="auto"/>
              </w:rPr>
            </w:pPr>
            <w:r>
              <w:rPr>
                <w:rFonts w:ascii="Times New Roman" w:cs="Times New Roman" w:eastAsia="Times New Roman" w:hAnsi="Times New Roman"/>
                <w:sz w:val="16"/>
                <w:szCs w:val="16"/>
                <w:color w:val="auto"/>
                <w:w w:val="97"/>
              </w:rPr>
              <w:t>Notes to Consolidated Financial Statements</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60"/>
        </w:trPr>
        <w:tc>
          <w:tcPr>
            <w:tcW w:w="68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activity for the years ended December 31, 2024 and 2023, is as follows:</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7"/>
        </w:trPr>
        <w:tc>
          <w:tcPr>
            <w:tcW w:w="6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7"/>
              </w:rPr>
              <w:t>Weighted-</w:t>
            </w:r>
          </w:p>
        </w:tc>
      </w:tr>
      <w:tr>
        <w:trPr>
          <w:trHeight w:val="180"/>
        </w:trPr>
        <w:tc>
          <w:tcPr>
            <w:tcW w:w="6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color w:val="auto"/>
                <w:w w:val="99"/>
              </w:rPr>
              <w:t>Average</w:t>
            </w:r>
          </w:p>
        </w:tc>
      </w:tr>
      <w:tr>
        <w:trPr>
          <w:trHeight w:val="180"/>
        </w:trPr>
        <w:tc>
          <w:tcPr>
            <w:tcW w:w="6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jc w:val="center"/>
              <w:ind w:right="340"/>
              <w:spacing w:after="0" w:line="180" w:lineRule="exact"/>
              <w:rPr>
                <w:sz w:val="20"/>
                <w:szCs w:val="20"/>
                <w:color w:val="auto"/>
              </w:rPr>
            </w:pPr>
            <w:r>
              <w:rPr>
                <w:rFonts w:ascii="Times New Roman" w:cs="Times New Roman" w:eastAsia="Times New Roman" w:hAnsi="Times New Roman"/>
                <w:sz w:val="16"/>
                <w:szCs w:val="16"/>
                <w:color w:val="auto"/>
                <w:w w:val="97"/>
              </w:rPr>
              <w:t>Weighted-</w:t>
            </w:r>
          </w:p>
        </w:tc>
        <w:tc>
          <w:tcPr>
            <w:tcW w:w="108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color w:val="auto"/>
                <w:w w:val="96"/>
              </w:rPr>
              <w:t>Remaining</w:t>
            </w:r>
          </w:p>
        </w:tc>
      </w:tr>
      <w:tr>
        <w:trPr>
          <w:trHeight w:val="180"/>
        </w:trPr>
        <w:tc>
          <w:tcPr>
            <w:tcW w:w="6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jc w:val="center"/>
              <w:ind w:right="320"/>
              <w:spacing w:after="0" w:line="180" w:lineRule="exact"/>
              <w:rPr>
                <w:sz w:val="20"/>
                <w:szCs w:val="20"/>
                <w:color w:val="auto"/>
              </w:rPr>
            </w:pPr>
            <w:r>
              <w:rPr>
                <w:rFonts w:ascii="Times New Roman" w:cs="Times New Roman" w:eastAsia="Times New Roman" w:hAnsi="Times New Roman"/>
                <w:sz w:val="16"/>
                <w:szCs w:val="16"/>
                <w:color w:val="auto"/>
                <w:w w:val="95"/>
              </w:rPr>
              <w:t>Average</w:t>
            </w:r>
          </w:p>
        </w:tc>
        <w:tc>
          <w:tcPr>
            <w:tcW w:w="108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color w:val="auto"/>
                <w:w w:val="99"/>
              </w:rPr>
              <w:t>Contractual</w:t>
            </w:r>
          </w:p>
        </w:tc>
      </w:tr>
      <w:tr>
        <w:trPr>
          <w:trHeight w:val="197"/>
        </w:trPr>
        <w:tc>
          <w:tcPr>
            <w:tcW w:w="6880" w:type="dxa"/>
            <w:vAlign w:val="bottom"/>
          </w:tcPr>
          <w:p>
            <w:pPr>
              <w:spacing w:after="0"/>
              <w:rPr>
                <w:sz w:val="17"/>
                <w:szCs w:val="17"/>
                <w:color w:val="auto"/>
              </w:rPr>
            </w:pP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Shares</w:t>
            </w:r>
          </w:p>
        </w:tc>
        <w:tc>
          <w:tcPr>
            <w:tcW w:w="80" w:type="dxa"/>
            <w:vAlign w:val="bottom"/>
          </w:tcPr>
          <w:p>
            <w:pPr>
              <w:spacing w:after="0"/>
              <w:rPr>
                <w:sz w:val="17"/>
                <w:szCs w:val="17"/>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color w:val="auto"/>
                <w:w w:val="95"/>
              </w:rPr>
              <w:t>Exercise Price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8"/>
              </w:rPr>
              <w:t>Life (in years)</w:t>
            </w:r>
          </w:p>
        </w:tc>
      </w:tr>
      <w:tr>
        <w:trPr>
          <w:trHeight w:val="180"/>
        </w:trPr>
        <w:tc>
          <w:tcPr>
            <w:tcW w:w="68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Options outstanding at January 1, 2023</w:t>
            </w: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13,060,760</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0.010</w:t>
            </w: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9.34</w:t>
            </w:r>
          </w:p>
        </w:tc>
        <w:tc>
          <w:tcPr>
            <w:tcW w:w="80" w:type="dxa"/>
            <w:vAlign w:val="bottom"/>
            <w:tcBorders>
              <w:top w:val="single" w:sz="8" w:color="CCEEFF"/>
            </w:tcBorders>
            <w:shd w:val="clear" w:color="auto" w:fill="CCEEFF"/>
          </w:tcPr>
          <w:p>
            <w:pPr>
              <w:spacing w:after="0"/>
              <w:rPr>
                <w:sz w:val="15"/>
                <w:szCs w:val="15"/>
                <w:color w:val="auto"/>
              </w:rPr>
            </w:pPr>
          </w:p>
        </w:tc>
      </w:tr>
      <w:tr>
        <w:trPr>
          <w:trHeight w:val="180"/>
        </w:trPr>
        <w:tc>
          <w:tcPr>
            <w:tcW w:w="6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Options granted</w:t>
            </w: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400,000</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0.010</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Options exercised</w:t>
            </w:r>
          </w:p>
        </w:tc>
        <w:tc>
          <w:tcPr>
            <w:tcW w:w="12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6"/>
        </w:trPr>
        <w:tc>
          <w:tcPr>
            <w:tcW w:w="6880" w:type="dxa"/>
            <w:vAlign w:val="bottom"/>
          </w:tcPr>
          <w:p>
            <w:pPr>
              <w:spacing w:after="0"/>
              <w:rPr>
                <w:sz w:val="20"/>
                <w:szCs w:val="20"/>
                <w:color w:val="auto"/>
              </w:rPr>
            </w:pPr>
            <w:r>
              <w:rPr>
                <w:rFonts w:ascii="Times New Roman" w:cs="Times New Roman" w:eastAsia="Times New Roman" w:hAnsi="Times New Roman"/>
                <w:sz w:val="16"/>
                <w:szCs w:val="16"/>
                <w:color w:val="auto"/>
              </w:rPr>
              <w:t>Options cancelled</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0"/>
        </w:trPr>
        <w:tc>
          <w:tcPr>
            <w:tcW w:w="68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Options outstanding at December 31, 2023</w:t>
            </w: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13,460,760</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CCEEFF"/>
            </w:tcBorders>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0.010</w:t>
            </w:r>
          </w:p>
        </w:tc>
        <w:tc>
          <w:tcPr>
            <w:tcW w:w="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8.29</w:t>
            </w:r>
          </w:p>
        </w:tc>
        <w:tc>
          <w:tcPr>
            <w:tcW w:w="80" w:type="dxa"/>
            <w:vAlign w:val="bottom"/>
            <w:tcBorders>
              <w:top w:val="single" w:sz="8" w:color="CCEEFF"/>
            </w:tcBorders>
            <w:shd w:val="clear" w:color="auto" w:fill="CCEEFF"/>
          </w:tcPr>
          <w:p>
            <w:pPr>
              <w:spacing w:after="0"/>
              <w:rPr>
                <w:sz w:val="15"/>
                <w:szCs w:val="15"/>
                <w:color w:val="auto"/>
              </w:rPr>
            </w:pPr>
          </w:p>
        </w:tc>
      </w:tr>
      <w:tr>
        <w:trPr>
          <w:trHeight w:val="180"/>
        </w:trPr>
        <w:tc>
          <w:tcPr>
            <w:tcW w:w="6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Adjustment to options outstanding*</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11,455,000</w:t>
            </w:r>
          </w:p>
        </w:tc>
        <w:tc>
          <w:tcPr>
            <w:tcW w:w="200" w:type="dxa"/>
            <w:vAlign w:val="bottom"/>
          </w:tcPr>
          <w:p>
            <w:pPr>
              <w:spacing w:after="0"/>
              <w:rPr>
                <w:sz w:val="15"/>
                <w:szCs w:val="15"/>
                <w:color w:val="auto"/>
              </w:rPr>
            </w:pP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0.003</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Options granted</w:t>
            </w: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86,700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0.70</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0"/>
        </w:trPr>
        <w:tc>
          <w:tcPr>
            <w:tcW w:w="6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Options exercised</w:t>
            </w: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2"/>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cancelled</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68"/>
        </w:trPr>
        <w:tc>
          <w:tcPr>
            <w:tcW w:w="688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6"/>
                <w:szCs w:val="16"/>
                <w:color w:val="auto"/>
              </w:rPr>
              <w:t>Options outstanding at December 31, 2024</w:t>
            </w:r>
          </w:p>
        </w:tc>
        <w:tc>
          <w:tcPr>
            <w:tcW w:w="10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25,002,460</w:t>
            </w: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CCEEFF"/>
              <w:bottom w:val="single" w:sz="8" w:color="CCEEFF"/>
            </w:tcBorders>
            <w:gridSpan w:val="2"/>
          </w:tcPr>
          <w:p>
            <w:pPr>
              <w:jc w:val="right"/>
              <w:ind w:right="180"/>
              <w:spacing w:after="0" w:line="165" w:lineRule="exact"/>
              <w:rPr>
                <w:sz w:val="20"/>
                <w:szCs w:val="20"/>
                <w:color w:val="auto"/>
              </w:rPr>
            </w:pPr>
            <w:r>
              <w:rPr>
                <w:rFonts w:ascii="Times New Roman" w:cs="Times New Roman" w:eastAsia="Times New Roman" w:hAnsi="Times New Roman"/>
                <w:sz w:val="16"/>
                <w:szCs w:val="16"/>
                <w:color w:val="auto"/>
              </w:rPr>
              <w:t>0.009</w:t>
            </w:r>
          </w:p>
        </w:tc>
        <w:tc>
          <w:tcPr>
            <w:tcW w:w="60" w:type="dxa"/>
            <w:vAlign w:val="bottom"/>
            <w:tcBorders>
              <w:top w:val="single" w:sz="8" w:color="CCEEFF"/>
              <w:bottom w:val="single" w:sz="8" w:color="CCEEFF"/>
            </w:tcBorders>
          </w:tcPr>
          <w:p>
            <w:pPr>
              <w:spacing w:after="0"/>
              <w:rPr>
                <w:sz w:val="14"/>
                <w:szCs w:val="14"/>
                <w:color w:val="auto"/>
              </w:rPr>
            </w:pPr>
          </w:p>
        </w:tc>
        <w:tc>
          <w:tcPr>
            <w:tcW w:w="1000" w:type="dxa"/>
            <w:vAlign w:val="bottom"/>
            <w:tcBorders>
              <w:top w:val="single" w:sz="8" w:color="CCEEFF"/>
              <w:bottom w:val="single" w:sz="8" w:color="CCEEFF"/>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6.22</w:t>
            </w:r>
          </w:p>
        </w:tc>
        <w:tc>
          <w:tcPr>
            <w:tcW w:w="80" w:type="dxa"/>
            <w:vAlign w:val="bottom"/>
            <w:tcBorders>
              <w:top w:val="single" w:sz="8" w:color="CCEEFF"/>
              <w:bottom w:val="single" w:sz="8" w:color="CCEEFF"/>
            </w:tcBorders>
          </w:tcPr>
          <w:p>
            <w:pPr>
              <w:spacing w:after="0"/>
              <w:rPr>
                <w:sz w:val="14"/>
                <w:szCs w:val="14"/>
                <w:color w:val="auto"/>
              </w:rPr>
            </w:pPr>
          </w:p>
        </w:tc>
      </w:tr>
      <w:tr>
        <w:trPr>
          <w:trHeight w:val="184"/>
        </w:trPr>
        <w:tc>
          <w:tcPr>
            <w:tcW w:w="688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Vested (i.e., exercisable) at December 31, 2024</w:t>
            </w:r>
          </w:p>
        </w:tc>
        <w:tc>
          <w:tcPr>
            <w:tcW w:w="10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22,615,760</w:t>
            </w: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CCEEFF"/>
            </w:tcBorders>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0.006</w:t>
            </w:r>
          </w:p>
        </w:tc>
        <w:tc>
          <w:tcPr>
            <w:tcW w:w="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6.63</w:t>
            </w:r>
          </w:p>
        </w:tc>
        <w:tc>
          <w:tcPr>
            <w:tcW w:w="80" w:type="dxa"/>
            <w:vAlign w:val="bottom"/>
            <w:tcBorders>
              <w:bottom w:val="single" w:sz="8" w:color="CCEEFF"/>
            </w:tcBorders>
            <w:shd w:val="clear" w:color="auto" w:fill="CCEEFF"/>
          </w:tcPr>
          <w:p>
            <w:pPr>
              <w:spacing w:after="0"/>
              <w:rPr>
                <w:sz w:val="16"/>
                <w:szCs w:val="16"/>
                <w:color w:val="auto"/>
              </w:rPr>
            </w:pPr>
          </w:p>
        </w:tc>
      </w:tr>
    </w:tbl>
    <w:p>
      <w:pPr>
        <w:spacing w:after="0" w:line="167" w:lineRule="exact"/>
        <w:rPr>
          <w:sz w:val="20"/>
          <w:szCs w:val="20"/>
          <w:color w:val="auto"/>
        </w:rPr>
      </w:pPr>
    </w:p>
    <w:p>
      <w:pPr>
        <w:jc w:val="both"/>
        <w:ind w:left="300" w:hanging="294"/>
        <w:spacing w:after="0" w:line="243" w:lineRule="auto"/>
        <w:tabs>
          <w:tab w:leader="none" w:pos="30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stock options for common stock awards issued prior to January 1, 2024 that were incorrectly excluded from the total number of stock options for common stock outstanding at December 31, 2023. The related stock-based compensation that should have been recorded in the prior periods was immaterial to the overall consolidated financial statements for the years ended December 31, 2023 and 2022. SEE ID recorded the catch-up stock-based compensation of approximately $63,000 on January 1, 2024.</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2024, SEE ID recognized stock-based compensation relating to stock options totaling $90,377, which is included in “General and administrative” in the accompanying consolidated statements of operations. During the year ended December 31, 2023, SEE ID did not recognize any stock-based compensation relating to stock options.</w:t>
      </w:r>
    </w:p>
    <w:p>
      <w:pPr>
        <w:spacing w:after="0" w:line="15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At December 31, 2024, there was a total of approximately $47,000 of unrecognized stock-based compensation cost relating to outstanding stock options, which is expected to be recognized over a weighted-average period of 1.25 years.</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Restricted Stock Awards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At December 31, 2024, the outstanding restricted stock awards amounted to 32,475,000 shares of SEE ID’s common stock and includes restricted stock awards for 16,537,500 shares of common stock issued prior to January 1, 2024 that were incorrectly excluded from the total number of restricted stock awards for common stock outstanding at December 31, 2023. The related stock-based compensation that should have been recorded in the prior periods was immaterial to the overall consolidated financial statements for the years ended December 31, 2023 and 2022. SEE ID recorded the catch-up stock-based compensation of approximately $66,000 on January 1,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years ended December 31, 2024 and 2023, SEE ID did not grant any restricted stock awards.</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 xml:space="preserve">In December 2020 and August 2021, the Company granted restricted stock awards of 15,937,500 shares of the Company’s common stock to each its chief financial officer (“CFO”) and chief executive officer (“CEO”), respectively (collectively referred to as the “Awards”). The Awards included vesting conditions with provisions that were considered “performance conditions” under FASB ASC 718, </w:t>
      </w:r>
      <w:r>
        <w:rPr>
          <w:rFonts w:ascii="Times New Roman" w:cs="Times New Roman" w:eastAsia="Times New Roman" w:hAnsi="Times New Roman"/>
          <w:sz w:val="16"/>
          <w:szCs w:val="16"/>
          <w:i w:val="1"/>
          <w:iCs w:val="1"/>
          <w:color w:val="auto"/>
        </w:rPr>
        <w:t>Stock Compensation</w:t>
      </w:r>
      <w:r>
        <w:rPr>
          <w:rFonts w:ascii="Times New Roman" w:cs="Times New Roman" w:eastAsia="Times New Roman" w:hAnsi="Times New Roman"/>
          <w:sz w:val="16"/>
          <w:szCs w:val="16"/>
          <w:color w:val="auto"/>
        </w:rPr>
        <w:t>, that management concluded were probable to occur at the time of grant. The fair value of each of the Awards was determined to be approximately $67,000 (subsequently adjusted, as discussed above) on the date of grant based on the estimated fair value of the Company’s common stock at that time and was being recognized in equal monthly amounts through the date the vesting conditions were expected to be achieved. In December 2023, the Company’s board of directors approved the removal of the performance condition portion of the vesting conditions included in the Awards. As a result of this modification to the Awards, the restricted stock awarded to the CFO became fully vested at the date of the modification date and the restricted stock awarded to the CEO will become fully vested under the timing vesting condition noted in their original agreement (i.e., the third anniversary of the grant date, or August 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2024 and 2023, unvested restricted stock awards granted amounted to zero and 3,115,625, respectively.</w:t>
      </w:r>
    </w:p>
    <w:p>
      <w:pPr>
        <w:spacing w:after="0" w:line="176"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During the years ended December 31, 2024 and 2023, SEE ID recognized stock-based compensation relating to restricted stock awards totaling $106,629 and $61,817, respectively. Stock-based compensation relating to restricted stock awards is included in “General and administrative” in the accompanying consolidated statements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2024, there was no unrecognized stock-based compensation costs relating to restricted stock awards.</w:t>
      </w:r>
    </w:p>
    <w:p>
      <w:pPr>
        <w:sectPr>
          <w:pgSz w:w="11900" w:h="16840" w:orient="portrait"/>
          <w:cols w:equalWidth="0" w:num="1">
            <w:col w:w="10580"/>
          </w:cols>
          <w:pgMar w:left="660" w:top="557" w:right="660" w:bottom="194" w:gutter="0" w:footer="0" w:header="0"/>
        </w:sectPr>
      </w:pPr>
    </w:p>
    <w:bookmarkStart w:id="103" w:name="page104"/>
    <w:bookmarkEnd w:id="103"/>
    <w:p>
      <w:pPr>
        <w:jc w:val="center"/>
        <w:ind w:right="20"/>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Note 8 - Income Taxes</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6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Income tax expense (benefit) consisted of the following for the years ended December 31:</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300" w:type="dxa"/>
            <w:vAlign w:val="bottom"/>
            <w:tcBorders>
              <w:bottom w:val="single" w:sz="8" w:color="auto"/>
            </w:tcBorders>
            <w:gridSpan w:val="2"/>
          </w:tcPr>
          <w:p>
            <w:pPr>
              <w:spacing w:after="0" w:line="156" w:lineRule="exact"/>
              <w:rPr>
                <w:sz w:val="20"/>
                <w:szCs w:val="20"/>
                <w:color w:val="auto"/>
              </w:rPr>
            </w:pPr>
            <w:r>
              <w:rPr>
                <w:rFonts w:ascii="Times New Roman" w:cs="Times New Roman" w:eastAsia="Times New Roman" w:hAnsi="Times New Roman"/>
                <w:sz w:val="16"/>
                <w:szCs w:val="16"/>
                <w:color w:val="auto"/>
                <w:w w:val="96"/>
              </w:rPr>
              <w:t>Current tax expense:</w:t>
            </w:r>
          </w:p>
        </w:tc>
        <w:tc>
          <w:tcPr>
            <w:tcW w:w="5580" w:type="dxa"/>
            <w:vAlign w:val="bottom"/>
            <w:gridSpan w:val="3"/>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880" w:type="dxa"/>
            <w:vAlign w:val="bottom"/>
            <w:gridSpan w:val="5"/>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Federal</w:t>
            </w:r>
          </w:p>
        </w:tc>
        <w:tc>
          <w:tcPr>
            <w:tcW w:w="1500" w:type="dxa"/>
            <w:vAlign w:val="bottom"/>
            <w:gridSpan w:val="2"/>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880" w:type="dxa"/>
            <w:vAlign w:val="bottom"/>
            <w:gridSpan w:val="5"/>
          </w:tcPr>
          <w:p>
            <w:pPr>
              <w:ind w:left="160"/>
              <w:spacing w:after="0" w:line="180" w:lineRule="exact"/>
              <w:rPr>
                <w:sz w:val="20"/>
                <w:szCs w:val="20"/>
                <w:color w:val="auto"/>
              </w:rPr>
            </w:pPr>
            <w:r>
              <w:rPr>
                <w:rFonts w:ascii="Times New Roman" w:cs="Times New Roman" w:eastAsia="Times New Roman" w:hAnsi="Times New Roman"/>
                <w:sz w:val="16"/>
                <w:szCs w:val="16"/>
                <w:color w:val="auto"/>
              </w:rPr>
              <w:t>State</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581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88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Foreign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6880" w:type="dxa"/>
            <w:vAlign w:val="bottom"/>
            <w:tcBorders>
              <w:top w:val="single" w:sz="8" w:color="CCEEFF"/>
              <w:bottom w:val="single" w:sz="8" w:color="CCEEFF"/>
            </w:tcBorders>
            <w:gridSpan w:val="5"/>
          </w:tcPr>
          <w:p>
            <w:pPr>
              <w:ind w:left="300"/>
              <w:spacing w:after="0" w:line="165" w:lineRule="exact"/>
              <w:rPr>
                <w:sz w:val="20"/>
                <w:szCs w:val="20"/>
                <w:color w:val="auto"/>
              </w:rPr>
            </w:pPr>
            <w:r>
              <w:rPr>
                <w:rFonts w:ascii="Times New Roman" w:cs="Times New Roman" w:eastAsia="Times New Roman" w:hAnsi="Times New Roman"/>
                <w:sz w:val="16"/>
                <w:szCs w:val="16"/>
                <w:color w:val="auto"/>
              </w:rPr>
              <w:t>Current provision for income taxes</w:t>
            </w:r>
          </w:p>
        </w:tc>
        <w:tc>
          <w:tcPr>
            <w:tcW w:w="126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2"/>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581</w:t>
            </w:r>
          </w:p>
        </w:tc>
        <w:tc>
          <w:tcPr>
            <w:tcW w:w="1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2"/>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88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Deferred taxes:</w:t>
            </w:r>
          </w:p>
        </w:tc>
        <w:tc>
          <w:tcPr>
            <w:tcW w:w="1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960" w:type="dxa"/>
            <w:vAlign w:val="bottom"/>
            <w:tcBorders>
              <w:top w:val="single" w:sz="8" w:color="auto"/>
            </w:tcBorders>
          </w:tcPr>
          <w:p>
            <w:pPr>
              <w:ind w:left="160"/>
              <w:spacing w:after="0" w:line="180" w:lineRule="exact"/>
              <w:rPr>
                <w:sz w:val="20"/>
                <w:szCs w:val="20"/>
                <w:color w:val="auto"/>
              </w:rPr>
            </w:pPr>
            <w:r>
              <w:rPr>
                <w:rFonts w:ascii="Times New Roman" w:cs="Times New Roman" w:eastAsia="Times New Roman" w:hAnsi="Times New Roman"/>
                <w:sz w:val="16"/>
                <w:szCs w:val="16"/>
                <w:color w:val="auto"/>
              </w:rPr>
              <w:t>Federal</w:t>
            </w:r>
          </w:p>
        </w:tc>
        <w:tc>
          <w:tcPr>
            <w:tcW w:w="5920" w:type="dxa"/>
            <w:vAlign w:val="bottom"/>
            <w:tcBorders>
              <w:top w:val="single" w:sz="8" w:color="CCEEFF"/>
            </w:tcBorders>
            <w:gridSpan w:val="4"/>
          </w:tcPr>
          <w:p>
            <w:pPr>
              <w:spacing w:after="0"/>
              <w:rPr>
                <w:sz w:val="15"/>
                <w:szCs w:val="15"/>
                <w:color w:val="auto"/>
              </w:rPr>
            </w:pPr>
          </w:p>
        </w:tc>
        <w:tc>
          <w:tcPr>
            <w:tcW w:w="1500" w:type="dxa"/>
            <w:vAlign w:val="bottom"/>
            <w:tcBorders>
              <w:top w:val="single" w:sz="8" w:color="CCEEFF"/>
            </w:tcBorders>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CCEEFF"/>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4,045,818</w:t>
            </w: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CCEEFF"/>
            </w:tcBorders>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397,951</w:t>
            </w:r>
          </w:p>
        </w:tc>
        <w:tc>
          <w:tcPr>
            <w:tcW w:w="0" w:type="dxa"/>
            <w:vAlign w:val="bottom"/>
          </w:tcPr>
          <w:p>
            <w:pPr>
              <w:spacing w:after="0"/>
              <w:rPr>
                <w:sz w:val="1"/>
                <w:szCs w:val="1"/>
                <w:color w:val="auto"/>
              </w:rPr>
            </w:pPr>
          </w:p>
        </w:tc>
      </w:tr>
      <w:tr>
        <w:trPr>
          <w:trHeight w:val="180"/>
        </w:trPr>
        <w:tc>
          <w:tcPr>
            <w:tcW w:w="6880" w:type="dxa"/>
            <w:vAlign w:val="bottom"/>
            <w:gridSpan w:val="5"/>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State</w:t>
            </w:r>
          </w:p>
        </w:tc>
        <w:tc>
          <w:tcPr>
            <w:tcW w:w="1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105,464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27,676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80" w:type="dxa"/>
            <w:vAlign w:val="bottom"/>
            <w:gridSpan w:val="5"/>
          </w:tcPr>
          <w:p>
            <w:pPr>
              <w:ind w:left="160"/>
              <w:spacing w:after="0" w:line="180" w:lineRule="exact"/>
              <w:rPr>
                <w:sz w:val="20"/>
                <w:szCs w:val="20"/>
                <w:color w:val="auto"/>
              </w:rPr>
            </w:pPr>
            <w:r>
              <w:rPr>
                <w:rFonts w:ascii="Times New Roman" w:cs="Times New Roman" w:eastAsia="Times New Roman" w:hAnsi="Times New Roman"/>
                <w:sz w:val="16"/>
                <w:szCs w:val="16"/>
                <w:color w:val="auto"/>
              </w:rPr>
              <w:t>Foreign</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10,338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88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(4,161,621)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(425,627)</w:t>
            </w:r>
          </w:p>
        </w:tc>
        <w:tc>
          <w:tcPr>
            <w:tcW w:w="0" w:type="dxa"/>
            <w:vAlign w:val="bottom"/>
          </w:tcPr>
          <w:p>
            <w:pPr>
              <w:spacing w:after="0"/>
              <w:rPr>
                <w:sz w:val="1"/>
                <w:szCs w:val="1"/>
                <w:color w:val="auto"/>
              </w:rPr>
            </w:pPr>
          </w:p>
        </w:tc>
      </w:tr>
      <w:tr>
        <w:trPr>
          <w:trHeight w:val="168"/>
        </w:trPr>
        <w:tc>
          <w:tcPr>
            <w:tcW w:w="6880" w:type="dxa"/>
            <w:vAlign w:val="bottom"/>
            <w:tcBorders>
              <w:top w:val="single" w:sz="8" w:color="CCEEFF"/>
              <w:bottom w:val="single" w:sz="8" w:color="CCEEFF"/>
            </w:tcBorders>
            <w:gridSpan w:val="5"/>
          </w:tcPr>
          <w:p>
            <w:pPr>
              <w:ind w:left="300"/>
              <w:spacing w:after="0" w:line="165" w:lineRule="exact"/>
              <w:rPr>
                <w:sz w:val="20"/>
                <w:szCs w:val="20"/>
                <w:color w:val="auto"/>
              </w:rPr>
            </w:pPr>
            <w:r>
              <w:rPr>
                <w:rFonts w:ascii="Times New Roman" w:cs="Times New Roman" w:eastAsia="Times New Roman" w:hAnsi="Times New Roman"/>
                <w:sz w:val="16"/>
                <w:szCs w:val="16"/>
                <w:color w:val="auto"/>
              </w:rPr>
              <w:t>Deferred provision for income taxes</w:t>
            </w:r>
          </w:p>
        </w:tc>
        <w:tc>
          <w:tcPr>
            <w:tcW w:w="126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2"/>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2"/>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880" w:type="dxa"/>
            <w:vAlign w:val="bottom"/>
            <w:tcBorders>
              <w:bottom w:val="single" w:sz="8" w:color="CCEEFF"/>
            </w:tcBorders>
            <w:gridSpan w:val="5"/>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income tax expense</w:t>
            </w:r>
          </w:p>
        </w:tc>
        <w:tc>
          <w:tcPr>
            <w:tcW w:w="1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9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The tax effects of temporary differences that give rise to significant portions of the deferred taxes consist of the following at December 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88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Deferred tax asset (liability):</w:t>
            </w:r>
          </w:p>
        </w:tc>
        <w:tc>
          <w:tcPr>
            <w:tcW w:w="1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6880" w:type="dxa"/>
            <w:vAlign w:val="bottom"/>
            <w:gridSpan w:val="5"/>
            <w:vMerge w:val="continue"/>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9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880" w:type="dxa"/>
            <w:vAlign w:val="bottom"/>
            <w:gridSpan w:val="5"/>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Accrual to cash adjustment</w:t>
            </w:r>
          </w:p>
        </w:tc>
        <w:tc>
          <w:tcPr>
            <w:tcW w:w="1500" w:type="dxa"/>
            <w:vAlign w:val="bottom"/>
            <w:gridSpan w:val="2"/>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729,287</w:t>
            </w:r>
          </w:p>
        </w:tc>
        <w:tc>
          <w:tcPr>
            <w:tcW w:w="320" w:type="dxa"/>
            <w:vAlign w:val="bottom"/>
            <w:gridSpan w:val="2"/>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880" w:type="dxa"/>
            <w:vAlign w:val="bottom"/>
            <w:gridSpan w:val="5"/>
          </w:tcPr>
          <w:p>
            <w:pPr>
              <w:ind w:left="160"/>
              <w:spacing w:after="0" w:line="180" w:lineRule="exact"/>
              <w:rPr>
                <w:sz w:val="20"/>
                <w:szCs w:val="20"/>
                <w:color w:val="auto"/>
              </w:rPr>
            </w:pPr>
            <w:r>
              <w:rPr>
                <w:rFonts w:ascii="Times New Roman" w:cs="Times New Roman" w:eastAsia="Times New Roman" w:hAnsi="Times New Roman"/>
                <w:sz w:val="16"/>
                <w:szCs w:val="16"/>
                <w:color w:val="auto"/>
              </w:rPr>
              <w:t>Charitable contributions</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1,618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80" w:type="dxa"/>
            <w:vAlign w:val="bottom"/>
            <w:gridSpan w:val="5"/>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Change in fair value of SAFE agreements</w:t>
            </w:r>
          </w:p>
        </w:tc>
        <w:tc>
          <w:tcPr>
            <w:tcW w:w="1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3,106,508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880" w:type="dxa"/>
            <w:vAlign w:val="bottom"/>
            <w:gridSpan w:val="5"/>
          </w:tcPr>
          <w:p>
            <w:pPr>
              <w:ind w:left="160"/>
              <w:spacing w:after="0" w:line="180" w:lineRule="exact"/>
              <w:rPr>
                <w:sz w:val="20"/>
                <w:szCs w:val="20"/>
                <w:color w:val="auto"/>
              </w:rPr>
            </w:pPr>
            <w:r>
              <w:rPr>
                <w:rFonts w:ascii="Times New Roman" w:cs="Times New Roman" w:eastAsia="Times New Roman" w:hAnsi="Times New Roman"/>
                <w:sz w:val="16"/>
                <w:szCs w:val="16"/>
                <w:color w:val="auto"/>
              </w:rPr>
              <w:t>R&amp;D expenditures</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359,433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255,835</w:t>
            </w:r>
          </w:p>
        </w:tc>
        <w:tc>
          <w:tcPr>
            <w:tcW w:w="0" w:type="dxa"/>
            <w:vAlign w:val="bottom"/>
          </w:tcPr>
          <w:p>
            <w:pPr>
              <w:spacing w:after="0"/>
              <w:rPr>
                <w:sz w:val="1"/>
                <w:szCs w:val="1"/>
                <w:color w:val="auto"/>
              </w:rPr>
            </w:pPr>
          </w:p>
        </w:tc>
      </w:tr>
      <w:tr>
        <w:trPr>
          <w:trHeight w:val="180"/>
        </w:trPr>
        <w:tc>
          <w:tcPr>
            <w:tcW w:w="6880" w:type="dxa"/>
            <w:vAlign w:val="bottom"/>
            <w:gridSpan w:val="5"/>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R&amp;D tax credit carryovers</w:t>
            </w:r>
          </w:p>
        </w:tc>
        <w:tc>
          <w:tcPr>
            <w:tcW w:w="1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239,142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43,669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80" w:type="dxa"/>
            <w:vAlign w:val="bottom"/>
            <w:gridSpan w:val="5"/>
          </w:tcPr>
          <w:p>
            <w:pPr>
              <w:ind w:left="160"/>
              <w:spacing w:after="0" w:line="180" w:lineRule="exact"/>
              <w:rPr>
                <w:sz w:val="20"/>
                <w:szCs w:val="20"/>
                <w:color w:val="auto"/>
              </w:rPr>
            </w:pPr>
            <w:r>
              <w:rPr>
                <w:rFonts w:ascii="Times New Roman" w:cs="Times New Roman" w:eastAsia="Times New Roman" w:hAnsi="Times New Roman"/>
                <w:sz w:val="16"/>
                <w:szCs w:val="16"/>
                <w:color w:val="auto"/>
              </w:rPr>
              <w:t>Right-of-use asset</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(65,999)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880" w:type="dxa"/>
            <w:vAlign w:val="bottom"/>
            <w:gridSpan w:val="5"/>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Lease liability</w:t>
            </w:r>
          </w:p>
        </w:tc>
        <w:tc>
          <w:tcPr>
            <w:tcW w:w="1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56,893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880" w:type="dxa"/>
            <w:vAlign w:val="bottom"/>
            <w:gridSpan w:val="5"/>
          </w:tcPr>
          <w:p>
            <w:pPr>
              <w:ind w:left="160"/>
              <w:spacing w:after="0" w:line="180" w:lineRule="exact"/>
              <w:rPr>
                <w:sz w:val="20"/>
                <w:szCs w:val="20"/>
                <w:color w:val="auto"/>
              </w:rPr>
            </w:pPr>
            <w:r>
              <w:rPr>
                <w:rFonts w:ascii="Times New Roman" w:cs="Times New Roman" w:eastAsia="Times New Roman" w:hAnsi="Times New Roman"/>
                <w:sz w:val="16"/>
                <w:szCs w:val="16"/>
                <w:color w:val="auto"/>
              </w:rPr>
              <w:t>Stock options</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55,481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880" w:type="dxa"/>
            <w:vAlign w:val="bottom"/>
            <w:gridSpan w:val="5"/>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Federal net operating loss carryforwards</w:t>
            </w:r>
          </w:p>
        </w:tc>
        <w:tc>
          <w:tcPr>
            <w:tcW w:w="1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304,628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343,123</w:t>
            </w:r>
          </w:p>
        </w:tc>
        <w:tc>
          <w:tcPr>
            <w:tcW w:w="0" w:type="dxa"/>
            <w:vAlign w:val="bottom"/>
          </w:tcPr>
          <w:p>
            <w:pPr>
              <w:spacing w:after="0"/>
              <w:rPr>
                <w:sz w:val="1"/>
                <w:szCs w:val="1"/>
                <w:color w:val="auto"/>
              </w:rPr>
            </w:pPr>
          </w:p>
        </w:tc>
      </w:tr>
      <w:tr>
        <w:trPr>
          <w:trHeight w:val="180"/>
        </w:trPr>
        <w:tc>
          <w:tcPr>
            <w:tcW w:w="6880" w:type="dxa"/>
            <w:vAlign w:val="bottom"/>
            <w:gridSpan w:val="5"/>
          </w:tcPr>
          <w:p>
            <w:pPr>
              <w:ind w:left="160"/>
              <w:spacing w:after="0" w:line="180" w:lineRule="exact"/>
              <w:rPr>
                <w:sz w:val="20"/>
                <w:szCs w:val="20"/>
                <w:color w:val="auto"/>
              </w:rPr>
            </w:pPr>
            <w:r>
              <w:rPr>
                <w:rFonts w:ascii="Times New Roman" w:cs="Times New Roman" w:eastAsia="Times New Roman" w:hAnsi="Times New Roman"/>
                <w:sz w:val="16"/>
                <w:szCs w:val="16"/>
                <w:color w:val="auto"/>
              </w:rPr>
              <w:t>Foreign net operating loss carryforwards</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10,338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880" w:type="dxa"/>
            <w:vAlign w:val="bottom"/>
            <w:gridSpan w:val="5"/>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State net operating loss carryforwards</w:t>
            </w:r>
          </w:p>
        </w:tc>
        <w:tc>
          <w:tcPr>
            <w:tcW w:w="1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7,028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880" w:type="dxa"/>
            <w:vAlign w:val="bottom"/>
            <w:gridSpan w:val="5"/>
          </w:tcPr>
          <w:p>
            <w:pPr>
              <w:ind w:left="160"/>
              <w:spacing w:after="0"/>
              <w:rPr>
                <w:sz w:val="20"/>
                <w:szCs w:val="20"/>
                <w:color w:val="auto"/>
              </w:rPr>
            </w:pPr>
            <w:r>
              <w:rPr>
                <w:rFonts w:ascii="Times New Roman" w:cs="Times New Roman" w:eastAsia="Times New Roman" w:hAnsi="Times New Roman"/>
                <w:sz w:val="16"/>
                <w:szCs w:val="16"/>
                <w:color w:val="auto"/>
              </w:rPr>
              <w:t>Valuation allowance</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(4,804,357)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(642,736)</w:t>
            </w:r>
          </w:p>
        </w:tc>
        <w:tc>
          <w:tcPr>
            <w:tcW w:w="0" w:type="dxa"/>
            <w:vAlign w:val="bottom"/>
          </w:tcPr>
          <w:p>
            <w:pPr>
              <w:spacing w:after="0"/>
              <w:rPr>
                <w:sz w:val="1"/>
                <w:szCs w:val="1"/>
                <w:color w:val="auto"/>
              </w:rPr>
            </w:pPr>
          </w:p>
        </w:tc>
      </w:tr>
      <w:tr>
        <w:trPr>
          <w:trHeight w:val="208"/>
        </w:trPr>
        <w:tc>
          <w:tcPr>
            <w:tcW w:w="6880" w:type="dxa"/>
            <w:vAlign w:val="bottom"/>
            <w:tcBorders>
              <w:top w:val="single" w:sz="8" w:color="CCEEFF"/>
              <w:bottom w:val="single" w:sz="8" w:color="CCEEFF"/>
            </w:tcBorders>
            <w:gridSpan w:val="5"/>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deferred taxes</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At December 31, 2024 and 2023, the Company had available net research and development tax credit carryforwards amounting to approximately $239,000 and $44,000, respectively, for state tax purposes that do not expire.</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15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At December 31, 2024 and 2023, the Company has generated net operating loss (“NOL”) carryforwards for federal tax purposes of approximately $ 1,451,000 and $1,394,000, respectively, which can be carried forward to offset future taxable income. These federal NOL carryforwards do not expire. At December 31, 2024 and 2023, the Company has generated NOL carryforwards for foreign tax purposes of approximately $258,000 and zero, respectively, which can be carried forward to offset future taxable income. These foreign NOL carryforwards expire in 2034. At December 31, 2024 and 2023, the Company has generated NOL carryforwards for state tax purposes of approximately $1,022,000 and $1,019,000, respectively, which can be carried forward to offset future taxable income. Approximately $754,000 of the state NOL carryforwards do not expire and the remaining approximately $268,000 expire through 2044.</w:t>
      </w:r>
    </w:p>
    <w:p>
      <w:pPr>
        <w:spacing w:after="0" w:line="1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Prior to the valuation allowance, the Company had a net deferred tax asset of $4,804,357 and $642,736 at December 31, 2024 and 2023, respectively; however, the ultimate realization of deferred income tax assets is dependent upon the generation of future taxable income. The Company has placed a full valuation allowance against the net deferred income tax asset.</w:t>
      </w:r>
    </w:p>
    <w:p>
      <w:pPr>
        <w:spacing w:after="0" w:line="15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Company recognizes interest and penalties related to income tax matters in interest expense and general and administrative, respectively. At December 31, 2024 and 2023, the Company has no accrued interest and penalties.</w:t>
      </w:r>
    </w:p>
    <w:p>
      <w:pPr>
        <w:spacing w:after="0" w:line="14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Company is subject to taxation in the U.S. federal jurisdiction, various state jurisdictions and in Puerto Rico. The Company is currently not under examination by any tax authority.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9 - Net Loss Per Shar</w:t>
      </w:r>
      <w:r>
        <w:rPr>
          <w:rFonts w:ascii="Times New Roman" w:cs="Times New Roman" w:eastAsia="Times New Roman" w:hAnsi="Times New Roman"/>
          <w:sz w:val="16"/>
          <w:szCs w:val="16"/>
          <w:b w:val="1"/>
          <w:bCs w:val="1"/>
          <w:color w:val="auto"/>
        </w:rPr>
        <w:t>e</w:t>
      </w:r>
    </w:p>
    <w:p>
      <w:pPr>
        <w:spacing w:after="0" w:line="17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Earnings per share accounting requires the presentation of both basic and diluted earnings per share on the face of the consolidated statements of operations. The Company’s basic net loss per share is computed by dividing net loss by the weighted- 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spacing w:after="0" w:line="15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At December 31, 2024 and 2023, shares of common stock for stock options amounting to 25,002,460 and 24,915,760, respectively, and for unvested restricted stock awards amounting to zero and 3,115,625, respectively, were not included in the calculation of diluted net loss per share because such shares are anti-dilutive.</w:t>
      </w:r>
    </w:p>
    <w:p>
      <w:pPr>
        <w:sectPr>
          <w:pgSz w:w="11900" w:h="16840" w:orient="portrait"/>
          <w:cols w:equalWidth="0" w:num="1">
            <w:col w:w="10580"/>
          </w:cols>
          <w:pgMar w:left="660" w:top="557" w:right="660" w:bottom="317" w:gutter="0" w:footer="0" w:header="0"/>
        </w:sectPr>
      </w:pPr>
    </w:p>
    <w:bookmarkStart w:id="104" w:name="page105"/>
    <w:bookmarkEnd w:id="104"/>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10 - Leases</w:t>
      </w:r>
    </w:p>
    <w:p>
      <w:pPr>
        <w:spacing w:after="0" w:line="178"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In June 2024, SEE ID entered into a noncancelable lease agreement for a facility in Bethesda, Maryland. This lease commenced on July 1, 2024, has a term of 63 calendar months, and has an initial base rent of approximately $7,000 that increases annually by three percent. Under the terms of this lease, SEE ID is also responsible for their proportionate share of expenses associated with the facility and its premises.</w:t>
      </w:r>
    </w:p>
    <w:p>
      <w:pPr>
        <w:sectPr>
          <w:pgSz w:w="11900" w:h="16840" w:orient="portrait"/>
          <w:cols w:equalWidth="0" w:num="1">
            <w:col w:w="10580"/>
          </w:cols>
          <w:pgMar w:left="660" w:top="557" w:right="660" w:bottom="136" w:gutter="0" w:footer="0" w:header="0"/>
        </w:sectPr>
      </w:pP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lease expense were as follows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lease cost (cost resulting from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6707505" cy="1143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6707505"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Variable lease cost (cost excluded from lease payments)</w:t>
      </w: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Total lease cost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is as follows for the year ended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623" w:hanging="623"/>
        <w:spacing w:after="0"/>
        <w:tabs>
          <w:tab w:leader="none" w:pos="623"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43,106</w:t>
      </w:r>
    </w:p>
    <w:p>
      <w:pPr>
        <w:spacing w:after="0" w:line="14" w:lineRule="exact"/>
        <w:rPr>
          <w:rFonts w:ascii="Times New Roman" w:cs="Times New Roman" w:eastAsia="Times New Roman" w:hAnsi="Times New Roman"/>
          <w:sz w:val="16"/>
          <w:szCs w:val="16"/>
          <w:color w:val="auto"/>
        </w:rPr>
      </w:pPr>
    </w:p>
    <w:p>
      <w:pPr>
        <w:ind w:left="62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31,470</w:t>
      </w:r>
    </w:p>
    <w:p>
      <w:pPr>
        <w:spacing w:after="0" w:line="1" w:lineRule="exact"/>
        <w:rPr>
          <w:rFonts w:ascii="Times New Roman" w:cs="Times New Roman" w:eastAsia="Times New Roman" w:hAnsi="Times New Roman"/>
          <w:sz w:val="16"/>
          <w:szCs w:val="16"/>
          <w:color w:val="auto"/>
        </w:rPr>
      </w:pPr>
    </w:p>
    <w:p>
      <w:pPr>
        <w:ind w:left="70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3,536</w:t>
      </w:r>
    </w:p>
    <w:p>
      <w:pPr>
        <w:spacing w:after="0" w:line="33" w:lineRule="exact"/>
        <w:rPr>
          <w:sz w:val="20"/>
          <w:szCs w:val="20"/>
          <w:color w:val="auto"/>
        </w:rPr>
      </w:pPr>
    </w:p>
    <w:p>
      <w:pPr>
        <w:ind w:left="623" w:hanging="623"/>
        <w:spacing w:after="0"/>
        <w:tabs>
          <w:tab w:leader="none" w:pos="623"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70560"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05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670560"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0560" cy="15240"/>
                    </a:xfrm>
                    <a:prstGeom prst="rect">
                      <a:avLst/>
                    </a:prstGeom>
                    <a:noFill/>
                  </pic:spPr>
                </pic:pic>
              </a:graphicData>
            </a:graphic>
          </wp:anchor>
        </w:drawing>
      </w:r>
    </w:p>
    <w:p>
      <w:pPr>
        <w:spacing w:after="0" w:line="597" w:lineRule="exact"/>
        <w:rPr>
          <w:sz w:val="20"/>
          <w:szCs w:val="20"/>
          <w:color w:val="auto"/>
        </w:rPr>
      </w:pPr>
    </w:p>
    <w:p>
      <w:pPr>
        <w:sectPr>
          <w:pgSz w:w="11900" w:h="16840" w:orient="portrait"/>
          <w:cols w:equalWidth="0" w:num="2">
            <w:col w:w="8697" w:space="720"/>
            <w:col w:w="1163"/>
          </w:cols>
          <w:pgMar w:left="660" w:top="557" w:right="660" w:bottom="136" w:gutter="0" w:footer="0" w:header="0"/>
          <w:type w:val="continuous"/>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 Operating cash flows (fixed payments)</w:t>
            </w: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14,103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lease - Operating cash flows (liability reduction)</w:t>
            </w:r>
          </w:p>
        </w:tc>
        <w:tc>
          <w:tcPr>
            <w:tcW w:w="340" w:type="dxa"/>
            <w:vAlign w:val="bottom"/>
            <w:gridSpan w:val="3"/>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(5,417)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Operating lease - Change in ROU asset</w:t>
            </w:r>
          </w:p>
        </w:tc>
        <w:tc>
          <w:tcPr>
            <w:tcW w:w="340" w:type="dxa"/>
            <w:vAlign w:val="bottom"/>
            <w:gridSpan w:val="3"/>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23,586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New lease liabilities - Operating lease</w:t>
            </w:r>
          </w:p>
        </w:tc>
        <w:tc>
          <w:tcPr>
            <w:tcW w:w="340" w:type="dxa"/>
            <w:vAlign w:val="bottom"/>
            <w:gridSpan w:val="3"/>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324,426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New ROU asset - Operating lease</w:t>
            </w:r>
          </w:p>
        </w:tc>
        <w:tc>
          <w:tcPr>
            <w:tcW w:w="340" w:type="dxa"/>
            <w:vAlign w:val="bottom"/>
            <w:gridSpan w:val="3"/>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331,478</w:t>
            </w:r>
          </w:p>
        </w:tc>
        <w:tc>
          <w:tcPr>
            <w:tcW w:w="0" w:type="dxa"/>
            <w:vAlign w:val="bottom"/>
          </w:tcPr>
          <w:p>
            <w:pPr>
              <w:spacing w:after="0"/>
              <w:rPr>
                <w:sz w:val="1"/>
                <w:szCs w:val="1"/>
                <w:color w:val="auto"/>
              </w:rPr>
            </w:pPr>
          </w:p>
        </w:tc>
      </w:tr>
      <w:tr>
        <w:trPr>
          <w:trHeight w:val="370"/>
        </w:trPr>
        <w:tc>
          <w:tcPr>
            <w:tcW w:w="9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table summarizes the operating lease asset and liabilities recorded at December 31, 2024: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9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9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w:t>
            </w:r>
          </w:p>
        </w:tc>
        <w:tc>
          <w:tcPr>
            <w:tcW w:w="34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307,892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lease liability, current portion</w:t>
            </w:r>
          </w:p>
        </w:tc>
        <w:tc>
          <w:tcPr>
            <w:tcW w:w="34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36,225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liability, less current portion</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265,413</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301,638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28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Weighted-average remaining operating lease term</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4.75 years</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8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operating lease discount rate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0" w:type="dxa"/>
            <w:vAlign w:val="bottom"/>
          </w:tcPr>
          <w:p>
            <w:pPr>
              <w:spacing w:after="0"/>
              <w:rPr>
                <w:sz w:val="1"/>
                <w:szCs w:val="1"/>
                <w:color w:val="auto"/>
              </w:rPr>
            </w:pPr>
          </w:p>
        </w:tc>
      </w:tr>
      <w:tr>
        <w:trPr>
          <w:trHeight w:val="347"/>
        </w:trPr>
        <w:tc>
          <w:tcPr>
            <w:tcW w:w="9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table summarizes future minimum lease commitments at December 31, 2024: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9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Year ending December 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8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340" w:type="dxa"/>
            <w:vAlign w:val="bottom"/>
            <w:tcBorders>
              <w:top w:val="single" w:sz="8" w:color="CCEEFF"/>
            </w:tcBorders>
            <w:gridSpan w:val="3"/>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CCEEFF"/>
            </w:tcBorders>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57,680</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88,462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91,116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93,850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72,142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28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Total lease payments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color w:val="auto"/>
              </w:rPr>
              <w:t>403,250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101,612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80" w:type="dxa"/>
            <w:vAlign w:val="bottom"/>
          </w:tcPr>
          <w:p>
            <w:pPr>
              <w:spacing w:after="0"/>
              <w:rPr>
                <w:sz w:val="20"/>
                <w:szCs w:val="20"/>
                <w:color w:val="auto"/>
              </w:rPr>
            </w:pPr>
            <w:r>
              <w:rPr>
                <w:rFonts w:ascii="Times New Roman" w:cs="Times New Roman" w:eastAsia="Times New Roman" w:hAnsi="Times New Roman"/>
                <w:sz w:val="16"/>
                <w:szCs w:val="16"/>
                <w:color w:val="auto"/>
              </w:rPr>
              <w:t>Total lease liabilities</w:t>
            </w: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301,638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vMerge w:val="restart"/>
          </w:tcPr>
          <w:p>
            <w:pPr>
              <w:ind w:left="5120"/>
              <w:spacing w:after="0"/>
              <w:rPr>
                <w:sz w:val="20"/>
                <w:szCs w:val="20"/>
                <w:color w:val="auto"/>
              </w:rPr>
            </w:pPr>
            <w:r>
              <w:rPr>
                <w:rFonts w:ascii="Times New Roman" w:cs="Times New Roman" w:eastAsia="Times New Roman" w:hAnsi="Times New Roman"/>
                <w:sz w:val="16"/>
                <w:szCs w:val="16"/>
                <w:color w:val="auto"/>
              </w:rPr>
              <w:t>F-49</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2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11 - Related Party Transactions</w:t>
      </w:r>
    </w:p>
    <w:p>
      <w:pPr>
        <w:spacing w:after="0" w:line="17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At December 31, 2024 and 2023, SEE ID has entered into SAFE agreements with Charles Maddox, SEE ID’s Chief Financial Officer and a stockholder of SEE ID, for proceeds totaling $28,833.</w:t>
      </w:r>
    </w:p>
    <w:p>
      <w:pPr>
        <w:spacing w:after="0" w:line="1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In August 2024, SEE ID entered into a $1,500,000 purchase order with Pope Technologies LLC for certain products, hardware, installation, programming, subscription, and training, of which $750,000 has been received by the Company and is reported as deferred revenue at December 31, 2024 in the accompanying consolidated balance sheets. Pope Technologies LLC is owned by a director of the Company.</w:t>
      </w:r>
    </w:p>
    <w:p>
      <w:pPr>
        <w:spacing w:after="0" w:line="15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Effective January 1, 2022, SEE ID entered into a customer agreement with PRB Transportation, LLC, which is owned, in part, by Charles Maddox, SEE ID’s Chief Financial Officer and a stockholder of SEE ID, and Jeff Andersen, a stockholder of SEE ID. For the years ended December 31, 2024 and 2023, revenues recognized from this agreement with PRB Transportation, LLC amounted to $15,145 and $19,957, respectively. As of December 31, 2024 and 2023, $1,164 and zero, respectively, were outstanding from this related party under this agreement and included in “Accounts receivable” in the accompanying consolidated balance sheets.</w:t>
      </w:r>
    </w:p>
    <w:p>
      <w:pPr>
        <w:spacing w:after="0" w:line="15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Beginning on August 1, 2024, SEE ID began subleasing an office/warehouse space in Las Vegas, Nevada from Pope Technologies LLC. The term of this sublease is for one year and the rent is $1,280 per month. Pope Technologies LLC is owned by a director of the Company.</w:t>
      </w:r>
    </w:p>
    <w:p>
      <w:pPr>
        <w:spacing w:after="0" w:line="1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Beginning on March 1, 2024, SEE ID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SEE ID. This lease terminated on February 28, 2025, and was not renewed.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12 - Litigation</w:t>
      </w:r>
    </w:p>
    <w:p>
      <w:pPr>
        <w:sectPr>
          <w:pgSz w:w="11900" w:h="16840" w:orient="portrait"/>
          <w:cols w:equalWidth="0" w:num="1">
            <w:col w:w="10580"/>
          </w:cols>
          <w:pgMar w:left="660" w:top="557" w:right="660" w:bottom="136" w:gutter="0" w:footer="0" w:header="0"/>
          <w:type w:val="continuous"/>
        </w:sectPr>
      </w:pPr>
    </w:p>
    <w:bookmarkStart w:id="105" w:name="page106"/>
    <w:bookmarkEnd w:id="105"/>
    <w:p>
      <w:pPr>
        <w:jc w:val="both"/>
        <w:ind w:right="60"/>
        <w:spacing w:after="0" w:line="247" w:lineRule="auto"/>
        <w:rPr>
          <w:sz w:val="20"/>
          <w:szCs w:val="20"/>
          <w:color w:val="auto"/>
        </w:rPr>
      </w:pPr>
      <w:r>
        <w:rPr>
          <w:rFonts w:ascii="Times New Roman" w:cs="Times New Roman" w:eastAsia="Times New Roman" w:hAnsi="Times New Roman"/>
          <w:sz w:val="16"/>
          <w:szCs w:val="16"/>
          <w:color w:val="auto"/>
        </w:rPr>
        <w:t>The Company may be involved in litigation and claims arising in the ordinary course of business. It is management’s opinion that the outcome of such matters will not have a material adverse effect on the Company’s consolidated financial statements; however, the results of litigation and claims are inherently unpredictable. Regardless of outcome, litigation can have an adverse impact on the Company because of legal costs, diversion of management resources and other factors.</w:t>
      </w:r>
    </w:p>
    <w:p>
      <w:pPr>
        <w:spacing w:after="0" w:line="3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13 - Segment Reporting</w:t>
      </w:r>
    </w:p>
    <w:p>
      <w:pPr>
        <w:spacing w:after="0" w:line="178"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6"/>
          <w:szCs w:val="16"/>
          <w:color w:val="auto"/>
        </w:rPr>
        <w:t>The Company has a single reportable segment that derives revenues from the delivery of feasibility study reports to customers seeking to gain insight into how data driven tracking could improve their business.</w:t>
      </w:r>
    </w:p>
    <w:p>
      <w:pPr>
        <w:spacing w:after="0" w:line="143" w:lineRule="exact"/>
        <w:rPr>
          <w:sz w:val="20"/>
          <w:szCs w:val="20"/>
          <w:color w:val="auto"/>
        </w:rPr>
      </w:pPr>
    </w:p>
    <w:p>
      <w:pPr>
        <w:jc w:val="both"/>
        <w:ind w:right="60"/>
        <w:spacing w:after="0" w:line="241" w:lineRule="auto"/>
        <w:rPr>
          <w:sz w:val="20"/>
          <w:szCs w:val="20"/>
          <w:color w:val="auto"/>
        </w:rPr>
      </w:pPr>
      <w:r>
        <w:rPr>
          <w:rFonts w:ascii="Times New Roman" w:cs="Times New Roman" w:eastAsia="Times New Roman" w:hAnsi="Times New Roman"/>
          <w:sz w:val="16"/>
          <w:szCs w:val="16"/>
          <w:color w:val="auto"/>
        </w:rPr>
        <w:t>The Company’s chief operating decision-makers (the “CODM”), which are SEE ID’s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sales, can be easily computed from the provided information. This segment measures of profitability are shown in the consolidated statements of operations. The measure of segment assets is reported on the consolidated balance sheets as total assets.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 14 - Subsequent Events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Safe Agreement:</w:t>
      </w:r>
    </w:p>
    <w:p>
      <w:pPr>
        <w:spacing w:after="0" w:line="176"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6"/>
          <w:szCs w:val="16"/>
          <w:color w:val="auto"/>
        </w:rPr>
        <w:t>Subsequent to December 31, 2024, SEE ID issued an additional SAFE agreement to an investor for proceeds of $23,752, which has a stated discount rate of 67%. All other terms are consistent with the terms of the SAFE agreements in Note 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Sales:</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In January 2025, the Company received two orders from a customer: 1) one for approximately $ 459,000 of equipment, which has not been fulfilled as of June 25, 2025, the date with which the consolidated financial statements were available to be issued, and 2) one for a feasibility study for $250,000, which was pre-paid by the customer, and delivered and recognized in the three months ended March 31,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January 2025, Dot Works entered into a noncancelable lease agreement for a 16,000 square foot facility in Puerto Rico. This lease commenced on February 1, 2025 on</w:t>
      </w:r>
    </w:p>
    <w:p>
      <w:pPr>
        <w:spacing w:after="0" w:line="37" w:lineRule="exact"/>
        <w:rPr>
          <w:sz w:val="20"/>
          <w:szCs w:val="20"/>
          <w:color w:val="auto"/>
        </w:rPr>
      </w:pPr>
    </w:p>
    <w:p>
      <w:pPr>
        <w:jc w:val="both"/>
        <w:ind w:right="40" w:firstLine="6"/>
        <w:spacing w:after="0" w:line="237" w:lineRule="auto"/>
        <w:tabs>
          <w:tab w:leader="none" w:pos="112"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month-to-month basis and then became a long-term lease with an initial term of 5 years on June 1, 2025. The initial base rent is $7.00 per square foot (i.e., $9,333 per month) for the first two years, increasing to $7.50 per square for the third year and increases by 3% annually thereafter. Under the terms of this lease, the Company is also responsible for their own utilities and a proportionate share of the operating expenses of the premises, not to exceed $3.25 per square foot.</w:t>
      </w:r>
    </w:p>
    <w:p>
      <w:pPr>
        <w:spacing w:after="0" w:line="3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Bridge Loan Agreements:</w:t>
      </w:r>
    </w:p>
    <w:p>
      <w:pPr>
        <w:spacing w:after="0" w:line="176" w:lineRule="exact"/>
        <w:rPr>
          <w:sz w:val="20"/>
          <w:szCs w:val="20"/>
          <w:color w:val="auto"/>
        </w:rPr>
      </w:pPr>
    </w:p>
    <w:p>
      <w:pPr>
        <w:jc w:val="both"/>
        <w:ind w:right="60"/>
        <w:spacing w:after="0" w:line="241" w:lineRule="auto"/>
        <w:rPr>
          <w:sz w:val="20"/>
          <w:szCs w:val="20"/>
          <w:color w:val="auto"/>
        </w:rPr>
      </w:pPr>
      <w:r>
        <w:rPr>
          <w:rFonts w:ascii="Times New Roman" w:cs="Times New Roman" w:eastAsia="Times New Roman" w:hAnsi="Times New Roman"/>
          <w:sz w:val="16"/>
          <w:szCs w:val="16"/>
          <w:color w:val="auto"/>
        </w:rPr>
        <w:t>SEE ID entered into the following unsecured Bridge Loan Agreements with lenders totaling $2,850,000 for operational expenses, working capital, or other general corporate purposes. These loans all bear interest at an annual rate of 20% calculated on a 365-day basis and include a minimum interest provision requiring a minimum of 8% or 10% of the principal amount as interest if the loans are repaid prior to their maturity dates, which is six months from their respective effective dates. In the event SEE ID is unable to repay these loans by the end of the term, the outstanding principal and accrued interest shall convert into shares of SEE ID at a discount of an additional 10%.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300" w:type="dxa"/>
            <w:vAlign w:val="bottom"/>
          </w:tcPr>
          <w:p>
            <w:pPr>
              <w:spacing w:after="0"/>
              <w:rPr>
                <w:sz w:val="20"/>
                <w:szCs w:val="20"/>
                <w:color w:val="auto"/>
              </w:rPr>
            </w:pPr>
            <w:r>
              <w:rPr>
                <w:rFonts w:ascii="Times New Roman" w:cs="Times New Roman" w:eastAsia="Times New Roman" w:hAnsi="Times New Roman"/>
                <w:sz w:val="16"/>
                <w:szCs w:val="16"/>
                <w:color w:val="auto"/>
              </w:rPr>
              <w:t>Effective Date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Loan Amount</w:t>
            </w:r>
          </w:p>
        </w:tc>
      </w:tr>
      <w:tr>
        <w:trPr>
          <w:trHeight w:val="180"/>
        </w:trPr>
        <w:tc>
          <w:tcPr>
            <w:tcW w:w="930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January 29, 2025*</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1,500,000</w:t>
            </w:r>
          </w:p>
        </w:tc>
        <w:tc>
          <w:tcPr>
            <w:tcW w:w="80" w:type="dxa"/>
            <w:vAlign w:val="bottom"/>
            <w:tcBorders>
              <w:top w:val="single" w:sz="8" w:color="CCEEFF"/>
            </w:tcBorders>
            <w:shd w:val="clear" w:color="auto" w:fill="CCEEFF"/>
          </w:tcPr>
          <w:p>
            <w:pPr>
              <w:spacing w:after="0"/>
              <w:rPr>
                <w:sz w:val="15"/>
                <w:szCs w:val="15"/>
                <w:color w:val="auto"/>
              </w:rPr>
            </w:pPr>
          </w:p>
        </w:tc>
      </w:tr>
      <w:tr>
        <w:trPr>
          <w:trHeight w:val="180"/>
        </w:trPr>
        <w:tc>
          <w:tcPr>
            <w:tcW w:w="9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March 29, 2025**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100,000</w:t>
            </w:r>
          </w:p>
        </w:tc>
      </w:tr>
      <w:tr>
        <w:trPr>
          <w:trHeight w:val="180"/>
        </w:trPr>
        <w:tc>
          <w:tcPr>
            <w:tcW w:w="93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April 9, 2025*</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500,000</w:t>
            </w:r>
          </w:p>
        </w:tc>
      </w:tr>
      <w:tr>
        <w:trPr>
          <w:trHeight w:val="180"/>
        </w:trPr>
        <w:tc>
          <w:tcPr>
            <w:tcW w:w="9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May 7, 2025*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500,000</w:t>
            </w:r>
          </w:p>
        </w:tc>
      </w:tr>
      <w:tr>
        <w:trPr>
          <w:trHeight w:val="196"/>
        </w:trPr>
        <w:tc>
          <w:tcPr>
            <w:tcW w:w="9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5, 2025***</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8"/>
        </w:trPr>
        <w:tc>
          <w:tcPr>
            <w:tcW w:w="930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2,850,000</w:t>
            </w:r>
          </w:p>
        </w:tc>
        <w:tc>
          <w:tcPr>
            <w:tcW w:w="80" w:type="dxa"/>
            <w:vAlign w:val="bottom"/>
          </w:tcPr>
          <w:p>
            <w:pPr>
              <w:spacing w:after="0"/>
              <w:rPr>
                <w:sz w:val="18"/>
                <w:szCs w:val="18"/>
                <w:color w:val="auto"/>
              </w:rPr>
            </w:pPr>
          </w:p>
        </w:tc>
      </w:tr>
      <w:tr>
        <w:trPr>
          <w:trHeight w:val="20"/>
        </w:trPr>
        <w:tc>
          <w:tcPr>
            <w:tcW w:w="9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300" w:right="40" w:hanging="294"/>
        <w:spacing w:after="0" w:line="247" w:lineRule="auto"/>
        <w:tabs>
          <w:tab w:leader="none" w:pos="30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Bridge loans from this investor (who, as discussed below, is also a PIPE investor) had an aggregate principal amount of $2,500,000. At closing of the BCA (as defined in the Business Combination disclosure below) on June 18, 2025, the investor received a cash payment of $293,500, comprised of $250,000 of minimum 10% interest and $43,500 of principal repayment, and a number of shares equivalent to $2,456,500 at a per share price of $4.</w:t>
      </w:r>
    </w:p>
    <w:p>
      <w:pPr>
        <w:spacing w:after="0" w:line="152" w:lineRule="exact"/>
        <w:rPr>
          <w:sz w:val="20"/>
          <w:szCs w:val="20"/>
          <w:color w:val="auto"/>
        </w:rPr>
      </w:pPr>
    </w:p>
    <w:p>
      <w:pPr>
        <w:ind w:left="300" w:hanging="294"/>
        <w:spacing w:after="0"/>
        <w:tabs>
          <w:tab w:leader="none" w:pos="3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loan principal and minimum 10% interest totaling $110,000 was paid in cash at closing of the BCA on June 18, 2025.</w:t>
      </w:r>
    </w:p>
    <w:p>
      <w:pPr>
        <w:spacing w:after="0" w:line="176" w:lineRule="exact"/>
        <w:rPr>
          <w:rFonts w:ascii="Times New Roman" w:cs="Times New Roman" w:eastAsia="Times New Roman" w:hAnsi="Times New Roman"/>
          <w:sz w:val="16"/>
          <w:szCs w:val="16"/>
          <w:color w:val="auto"/>
        </w:rPr>
      </w:pPr>
    </w:p>
    <w:p>
      <w:pPr>
        <w:ind w:left="300" w:hanging="294"/>
        <w:spacing w:after="0"/>
        <w:tabs>
          <w:tab w:leader="none" w:pos="3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loan principal and minimum 8% interest totaling $270,000 was paid in cash at closing of the BCA on June 18,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Business Combination:</w:t>
      </w:r>
    </w:p>
    <w:p>
      <w:pPr>
        <w:spacing w:after="0" w:line="176" w:lineRule="exact"/>
        <w:rPr>
          <w:sz w:val="20"/>
          <w:szCs w:val="20"/>
          <w:color w:val="auto"/>
        </w:rPr>
      </w:pPr>
    </w:p>
    <w:p>
      <w:pPr>
        <w:jc w:val="both"/>
        <w:ind w:right="60"/>
        <w:spacing w:after="0" w:line="243" w:lineRule="auto"/>
        <w:rPr>
          <w:sz w:val="20"/>
          <w:szCs w:val="20"/>
          <w:color w:val="auto"/>
        </w:rPr>
      </w:pPr>
      <w:r>
        <w:rPr>
          <w:rFonts w:ascii="Times New Roman" w:cs="Times New Roman" w:eastAsia="Times New Roman" w:hAnsi="Times New Roman"/>
          <w:sz w:val="16"/>
          <w:szCs w:val="16"/>
          <w:color w:val="auto"/>
        </w:rPr>
        <w:t>On June 18, 2025 (the “Closing Date”), SUTA, a Delaware corporation, completed the transactions contemplated by that certain business combination agreement, dated as of March 18, 2024 (the “Business Combination Agreement”), by and among CID Holdco, Inc., a Delaware corporation (“Holdings”) and a wholly-owned subsidiary of ShoulderUp, ShoulderUp Merger Sub, Inc., a Delaware corporation (“ShoulderUp Merger Sub”) and wholly-owned subsidiary of ShoulderUp, SEE ID Merger Sub, Inc., a Nevada corporation (“SEE ID Merger Sub”) and wholly-owned subsidiary of ShoulderUp, and SEE ID, Inc., a Nevada corporation (“SEE ID”).</w:t>
      </w:r>
    </w:p>
    <w:p>
      <w:pPr>
        <w:sectPr>
          <w:pgSz w:w="11900" w:h="16840" w:orient="portrait"/>
          <w:cols w:equalWidth="0" w:num="1">
            <w:col w:w="10620"/>
          </w:cols>
          <w:pgMar w:left="660" w:top="737" w:right="620" w:bottom="389" w:gutter="0" w:footer="0" w:header="0"/>
        </w:sectPr>
      </w:pPr>
    </w:p>
    <w:bookmarkStart w:id="106" w:name="page107"/>
    <w:bookmarkEnd w:id="106"/>
    <w:p>
      <w:pPr>
        <w:jc w:val="center"/>
        <w:ind w:right="40"/>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ID, INC. AND SUBSIDIARY</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1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At the closing of the transactions contemplated by the Business Combination Agreement (the “Closing”), (i) ShoulderUp Merger Sub, merged with and into ShoulderUp, with ShoulderUp continuing as the surviving company in the merger, and with the security holders of ShoulderUp receiving substantially equivalent securities of Holdings, and (ii) SEE ID Merger Sub, merged with and into SEE ID, with SEE ID continuing as the surviving company in the merger, and with the shareholders of SEE ID receiving shares of Holdings common stock, par value $0.0001 per share (the “Common Shares”).</w:t>
      </w:r>
    </w:p>
    <w:p>
      <w:pPr>
        <w:spacing w:after="0" w:line="155"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Pursuant to the terms of the Business Combination Agreement, (i) the holders of shares of SUTA’s common stock (“SUTA Common Stock”) issued and outstanding immediately prior to the effective time of the Business Combination (other than any redeemed shares) received one share of common stock of Holdings (“Holdings Common Stock”) in exchange for each share of SUTA Common Stock held by them, (ii) the holders of each whole warrant to purchase SUTA Class A Common Stock received one warrant to purchase Holdings Common Stock at an exercise price of $11.50 per share, and (iii) 13 million shares of Holdings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PIPE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June 10, 2025, an investor subscribed to 250,000 common shares of Holdings in exchange for $1,000,000.</w:t>
      </w:r>
    </w:p>
    <w:p>
      <w:pPr>
        <w:spacing w:after="0" w:line="176"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On June 16, 2025, an investor subscribed to 1,317,750 common shares of Holdings in exchange for $ 5,271,000. This investor previously extended to the Company bridge loans in the aggregate principal amount of $2,500,000, which was settled at closing of the BCA (as defined in the Business Combination disclosure above) on June 18, 2025, as discussed in the Bridge Loan Agreements disclosure above. The remaining PIPE commitment of $2,814,500 was paid to the Company at closing at which time 1,317,750 common shares of Holdings were issued to the investor.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June 17, 2025, an investor subscribed to 1,755,786 common shares of Holdings in exchange for $7,023,143.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Equity Line of Credit:</w:t>
      </w:r>
    </w:p>
    <w:p>
      <w:pPr>
        <w:spacing w:after="0" w:line="176" w:lineRule="exact"/>
        <w:rPr>
          <w:sz w:val="20"/>
          <w:szCs w:val="20"/>
          <w:color w:val="auto"/>
        </w:rPr>
      </w:pPr>
    </w:p>
    <w:p>
      <w:pPr>
        <w:jc w:val="both"/>
        <w:ind w:right="40"/>
        <w:spacing w:after="0" w:line="241" w:lineRule="auto"/>
        <w:rPr>
          <w:sz w:val="20"/>
          <w:szCs w:val="20"/>
          <w:color w:val="auto"/>
        </w:rPr>
      </w:pPr>
      <w:r>
        <w:rPr>
          <w:rFonts w:ascii="Times New Roman" w:cs="Times New Roman" w:eastAsia="Times New Roman" w:hAnsi="Times New Roman"/>
          <w:sz w:val="16"/>
          <w:szCs w:val="16"/>
          <w:color w:val="auto"/>
        </w:rPr>
        <w:t>On June 18, 2025, the Company entered into a share subscription of line of credit agreement (the “ELOC”) with New Circle Principle Investments LLC (“New Circle”) under which the Company can access up to fifty million ($50,000,000) in aggregate proceeds. The Company shall pay a commitment fee to the New Circle in the form of shares of common stock of Holding’s with an aggregate market value equal to $350,000, the market value of which shall be determined based on the closing price of the such common stock on the date a Form S-1 is declared effective by the SEC. Such Form S-1 is to be filed 60 days after the close of the BCA agreement. No commitment fee payment nor draw down of the ELOC has occurred as of the date of issuance of these consolidated financial statements.</w:t>
      </w: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07" w:name="page108"/>
    <w:bookmarkEnd w:id="107"/>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1."/>
      <w:numFmt w:val="decimal"/>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1)"/>
      <w:numFmt w:val="decimal"/>
      <w:start w:val="1"/>
    </w:lvl>
  </w:abstractNum>
  <w:abstractNum w:abstractNumId="19">
    <w:nsid w:val="10233C99"/>
    <w:multiLevelType w:val="hybridMultilevel"/>
    <w:lvl w:ilvl="0">
      <w:lvlJc w:val="left"/>
      <w:lvlText w:val="\emdash "/>
      <w:numFmt w:val="bullet"/>
      <w:start w:val="1"/>
    </w:lvl>
  </w:abstractNum>
  <w:abstractNum w:abstractNumId="20">
    <w:nsid w:val="3F6AB60F"/>
    <w:multiLevelType w:val="hybridMultilevel"/>
    <w:lvl w:ilvl="0">
      <w:lvlJc w:val="left"/>
      <w:lvlText w:val="\emdash "/>
      <w:numFmt w:val="bullet"/>
      <w:start w:val="1"/>
    </w:lvl>
  </w:abstractNum>
  <w:abstractNum w:abstractNumId="21">
    <w:nsid w:val="61574095"/>
    <w:multiLevelType w:val="hybridMultilevel"/>
    <w:lvl w:ilvl="0">
      <w:lvlJc w:val="left"/>
      <w:lvlText w:val="\emdash "/>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1)"/>
      <w:numFmt w:val="lowerRoman"/>
      <w:start w:val="2"/>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1)"/>
      <w:numFmt w:val="lowerLetter"/>
      <w:start w:val="1"/>
    </w:lvl>
  </w:abstractNum>
  <w:abstractNum w:abstractNumId="38">
    <w:nsid w:val="98A3148"/>
    <w:multiLevelType w:val="hybridMultilevel"/>
    <w:lvl w:ilvl="0">
      <w:lvlJc w:val="left"/>
      <w:lvlText w:val="(%1)"/>
      <w:numFmt w:val="decimal"/>
      <w:start w:val="1"/>
    </w:lvl>
  </w:abstractNum>
  <w:abstractNum w:abstractNumId="39">
    <w:nsid w:val="799D0247"/>
    <w:multiLevelType w:val="hybridMultilevel"/>
    <w:lvl w:ilvl="0">
      <w:lvlJc w:val="left"/>
      <w:lvlText w:val="(%1)"/>
      <w:numFmt w:val="decimal"/>
      <w:start w:val="5"/>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1"/>
      <w:numFmt w:val="bullet"/>
      <w:start w:val="1"/>
    </w:lvl>
  </w:abstractNum>
  <w:abstractNum w:abstractNumId="42">
    <w:nsid w:val="168E121F"/>
    <w:multiLevelType w:val="hybridMultilevel"/>
    <w:lvl w:ilvl="0">
      <w:lvlJc w:val="left"/>
      <w:lvlText w:val="2"/>
      <w:numFmt w:val="bullet"/>
      <w:start w:val="1"/>
    </w:lvl>
  </w:abstractNum>
  <w:abstractNum w:abstractNumId="43">
    <w:nsid w:val="1EBA5D23"/>
    <w:multiLevelType w:val="hybridMultilevel"/>
    <w:lvl w:ilvl="0">
      <w:lvlJc w:val="left"/>
      <w:lvlText w:val="3"/>
      <w:numFmt w:val="bullet"/>
      <w:start w:val="1"/>
    </w:lvl>
  </w:abstractNum>
  <w:abstractNum w:abstractNumId="44">
    <w:nsid w:val="661E3F1E"/>
    <w:multiLevelType w:val="hybridMultilevel"/>
    <w:lvl w:ilvl="0">
      <w:lvlJc w:val="left"/>
      <w:lvlText w:val="4"/>
      <w:numFmt w:val="bullet"/>
      <w:start w:val="1"/>
    </w:lvl>
  </w:abstractNum>
  <w:abstractNum w:abstractNumId="45">
    <w:nsid w:val="5DC79EA8"/>
    <w:multiLevelType w:val="hybridMultilevel"/>
    <w:lvl w:ilvl="0">
      <w:lvlJc w:val="left"/>
      <w:lvlText w:val="5"/>
      <w:numFmt w:val="bullet"/>
      <w:start w:val="1"/>
    </w:lvl>
  </w:abstractNum>
  <w:abstractNum w:abstractNumId="46">
    <w:nsid w:val="540A471C"/>
    <w:multiLevelType w:val="hybridMultilevel"/>
    <w:lvl w:ilvl="0">
      <w:lvlJc w:val="left"/>
      <w:lvlText w:val="6"/>
      <w:numFmt w:val="bullet"/>
      <w:start w:val="1"/>
    </w:lvl>
  </w:abstractNum>
  <w:abstractNum w:abstractNumId="47">
    <w:nsid w:val="7BD3EE7B"/>
    <w:multiLevelType w:val="hybridMultilevel"/>
    <w:lvl w:ilvl="0">
      <w:lvlJc w:val="left"/>
      <w:lvlText w:val="7"/>
      <w:numFmt w:val="bullet"/>
      <w:start w:val="1"/>
    </w:lvl>
  </w:abstractNum>
  <w:abstractNum w:abstractNumId="48">
    <w:nsid w:val="51D9C564"/>
    <w:multiLevelType w:val="hybridMultilevel"/>
    <w:lvl w:ilvl="0">
      <w:lvlJc w:val="left"/>
      <w:lvlText w:val="8"/>
      <w:numFmt w:val="bullet"/>
      <w:start w:val="1"/>
    </w:lvl>
  </w:abstractNum>
  <w:abstractNum w:abstractNumId="49">
    <w:nsid w:val="613EFDC5"/>
    <w:multiLevelType w:val="hybridMultilevel"/>
    <w:lvl w:ilvl="0">
      <w:lvlJc w:val="left"/>
      <w:lvlText w:val="9"/>
      <w:numFmt w:val="bullet"/>
      <w:start w:val="1"/>
    </w:lvl>
  </w:abstractNum>
  <w:abstractNum w:abstractNumId="50">
    <w:nsid w:val="BF72B14"/>
    <w:multiLevelType w:val="hybridMultilevel"/>
    <w:lvl w:ilvl="0">
      <w:lvlJc w:val="left"/>
      <w:lvlText w:val="%1"/>
      <w:numFmt w:val="decimal"/>
      <w:start w:val="10"/>
    </w:lvl>
  </w:abstractNum>
  <w:abstractNum w:abstractNumId="51">
    <w:nsid w:val="11447B73"/>
    <w:multiLevelType w:val="hybridMultilevel"/>
    <w:lvl w:ilvl="0">
      <w:lvlJc w:val="left"/>
      <w:lvlText w:val="%1"/>
      <w:numFmt w:val="decimal"/>
      <w:start w:val="22"/>
    </w:lvl>
  </w:abstractNum>
  <w:abstractNum w:abstractNumId="52">
    <w:nsid w:val="42963E5A"/>
    <w:multiLevelType w:val="hybridMultilevel"/>
    <w:lvl w:ilvl="0">
      <w:lvlJc w:val="left"/>
      <w:lvlText w:val="%1"/>
      <w:numFmt w:val="decimal"/>
      <w:start w:val="27"/>
    </w:lvl>
  </w:abstractNum>
  <w:abstractNum w:abstractNumId="53">
    <w:nsid w:val="A0382C5"/>
    <w:multiLevelType w:val="hybridMultilevel"/>
    <w:lvl w:ilvl="0">
      <w:lvlJc w:val="left"/>
      <w:lvlText w:val="%1"/>
      <w:numFmt w:val="decimal"/>
      <w:start w:val="33"/>
    </w:lvl>
  </w:abstractNum>
  <w:abstractNum w:abstractNumId="54">
    <w:nsid w:val="8F2B15E"/>
    <w:multiLevelType w:val="hybridMultilevel"/>
    <w:lvl w:ilvl="0">
      <w:lvlJc w:val="left"/>
      <w:lvlText w:val="%1"/>
      <w:numFmt w:val="decimal"/>
      <w:start w:val="44"/>
    </w:lvl>
  </w:abstractNum>
  <w:abstractNum w:abstractNumId="55">
    <w:nsid w:val="1A32234B"/>
    <w:multiLevelType w:val="hybridMultilevel"/>
    <w:lvl w:ilvl="0">
      <w:lvlJc w:val="left"/>
      <w:lvlText w:val="%1"/>
      <w:numFmt w:val="decimal"/>
      <w:start w:val="57"/>
    </w:lvl>
  </w:abstractNum>
  <w:abstractNum w:abstractNumId="56">
    <w:nsid w:val="3B0FD379"/>
    <w:multiLevelType w:val="hybridMultilevel"/>
    <w:lvl w:ilvl="0">
      <w:lvlJc w:val="left"/>
      <w:lvlText w:val="%1"/>
      <w:numFmt w:val="decimal"/>
      <w:start w:val="61"/>
    </w:lvl>
  </w:abstractNum>
  <w:abstractNum w:abstractNumId="57">
    <w:nsid w:val="68EB2F63"/>
    <w:multiLevelType w:val="hybridMultilevel"/>
    <w:lvl w:ilvl="0">
      <w:lvlJc w:val="left"/>
      <w:lvlText w:val="%1"/>
      <w:numFmt w:val="decimal"/>
      <w:start w:val="70"/>
    </w:lvl>
  </w:abstractNum>
  <w:abstractNum w:abstractNumId="58">
    <w:nsid w:val="4962813B"/>
    <w:multiLevelType w:val="hybridMultilevel"/>
    <w:lvl w:ilvl="0">
      <w:lvlJc w:val="left"/>
      <w:lvlText w:val="%1"/>
      <w:numFmt w:val="decimal"/>
      <w:start w:val="82"/>
    </w:lvl>
  </w:abstractNum>
  <w:abstractNum w:abstractNumId="59">
    <w:nsid w:val="60B6DF70"/>
    <w:multiLevelType w:val="hybridMultilevel"/>
    <w:lvl w:ilvl="0">
      <w:lvlJc w:val="left"/>
      <w:lvlText w:val="%1"/>
      <w:numFmt w:val="decimal"/>
      <w:start w:val="92"/>
    </w:lvl>
  </w:abstractNum>
  <w:abstractNum w:abstractNumId="60">
    <w:nsid w:val="6A5EE64"/>
    <w:multiLevelType w:val="hybridMultilevel"/>
    <w:lvl w:ilvl="0">
      <w:lvlJc w:val="left"/>
      <w:lvlText w:val="%1"/>
      <w:numFmt w:val="decimal"/>
      <w:start w:val="99"/>
    </w:lvl>
  </w:abstractNum>
  <w:abstractNum w:abstractNumId="61">
    <w:nsid w:val="14330624"/>
    <w:multiLevelType w:val="hybridMultilevel"/>
    <w:lvl w:ilvl="0">
      <w:lvlJc w:val="left"/>
      <w:lvlText w:val="%1"/>
      <w:numFmt w:val="decimal"/>
      <w:start w:val="105"/>
    </w:lvl>
  </w:abstractNum>
  <w:abstractNum w:abstractNumId="62">
    <w:nsid w:val="7FFFCA11"/>
    <w:multiLevelType w:val="hybridMultilevel"/>
    <w:lvl w:ilvl="0">
      <w:lvlJc w:val="left"/>
      <w:lvlText w:val="%1"/>
      <w:numFmt w:val="decimal"/>
      <w:start w:val="118"/>
    </w:lvl>
  </w:abstractNum>
  <w:abstractNum w:abstractNumId="63">
    <w:nsid w:val="1A27709E"/>
    <w:multiLevelType w:val="hybridMultilevel"/>
    <w:lvl w:ilvl="0">
      <w:lvlJc w:val="left"/>
      <w:lvlText w:val="%1"/>
      <w:numFmt w:val="decimal"/>
      <w:start w:val="130"/>
    </w:lvl>
  </w:abstractNum>
  <w:abstractNum w:abstractNumId="64">
    <w:nsid w:val="71EA1109"/>
    <w:multiLevelType w:val="hybridMultilevel"/>
    <w:lvl w:ilvl="0">
      <w:lvlJc w:val="left"/>
      <w:lvlText w:val="%1"/>
      <w:numFmt w:val="decimal"/>
      <w:start w:val="135"/>
    </w:lvl>
  </w:abstractNum>
  <w:abstractNum w:abstractNumId="65">
    <w:nsid w:val="100F59DC"/>
    <w:multiLevelType w:val="hybridMultilevel"/>
    <w:lvl w:ilvl="0">
      <w:lvlJc w:val="left"/>
      <w:lvlText w:val="%1"/>
      <w:numFmt w:val="decimal"/>
      <w:start w:val="140"/>
    </w:lvl>
  </w:abstractNum>
  <w:abstractNum w:abstractNumId="66">
    <w:nsid w:val="7FB7E0AA"/>
    <w:multiLevelType w:val="hybridMultilevel"/>
    <w:lvl w:ilvl="0">
      <w:lvlJc w:val="left"/>
      <w:lvlText w:val="%1"/>
      <w:numFmt w:val="decimal"/>
      <w:start w:val="153"/>
    </w:lvl>
  </w:abstractNum>
  <w:abstractNum w:abstractNumId="67">
    <w:nsid w:val="6EB5BD4"/>
    <w:multiLevelType w:val="hybridMultilevel"/>
    <w:lvl w:ilvl="0">
      <w:lvlJc w:val="left"/>
      <w:lvlText w:val="%1"/>
      <w:numFmt w:val="decimal"/>
      <w:start w:val="166"/>
    </w:lvl>
  </w:abstractNum>
  <w:abstractNum w:abstractNumId="68">
    <w:nsid w:val="6F6DD9AC"/>
    <w:multiLevelType w:val="hybridMultilevel"/>
    <w:lvl w:ilvl="0">
      <w:lvlJc w:val="left"/>
      <w:lvlText w:val="%1"/>
      <w:numFmt w:val="decimal"/>
      <w:start w:val="171"/>
    </w:lvl>
  </w:abstractNum>
  <w:abstractNum w:abstractNumId="69">
    <w:nsid w:val="94211F2"/>
    <w:multiLevelType w:val="hybridMultilevel"/>
    <w:lvl w:ilvl="0">
      <w:lvlJc w:val="left"/>
      <w:lvlText w:val="%1"/>
      <w:numFmt w:val="decimal"/>
      <w:start w:val="172"/>
    </w:lvl>
  </w:abstractNum>
  <w:abstractNum w:abstractNumId="70">
    <w:nsid w:val="885E1B"/>
    <w:multiLevelType w:val="hybridMultilevel"/>
    <w:lvl w:ilvl="0">
      <w:lvlJc w:val="left"/>
      <w:lvlText w:val="%1"/>
      <w:numFmt w:val="decimal"/>
      <w:start w:val="173"/>
    </w:lvl>
  </w:abstractNum>
  <w:abstractNum w:abstractNumId="71">
    <w:nsid w:val="76272110"/>
    <w:multiLevelType w:val="hybridMultilevel"/>
    <w:lvl w:ilvl="0">
      <w:lvlJc w:val="left"/>
      <w:lvlText w:val="%1"/>
      <w:numFmt w:val="decimal"/>
      <w:start w:val="174"/>
    </w:lvl>
  </w:abstractNum>
  <w:abstractNum w:abstractNumId="72">
    <w:nsid w:val="4C04A8AF"/>
    <w:multiLevelType w:val="hybridMultilevel"/>
    <w:lvl w:ilvl="0">
      <w:lvlJc w:val="left"/>
      <w:lvlText w:val="%1"/>
      <w:numFmt w:val="decimal"/>
      <w:start w:val="177"/>
    </w:lvl>
  </w:abstractNum>
  <w:abstractNum w:abstractNumId="73">
    <w:nsid w:val="1716703B"/>
    <w:multiLevelType w:val="hybridMultilevel"/>
    <w:lvl w:ilvl="0">
      <w:lvlJc w:val="left"/>
      <w:lvlText w:val="%1"/>
      <w:numFmt w:val="decimal"/>
      <w:start w:val="183"/>
    </w:lvl>
  </w:abstractNum>
  <w:abstractNum w:abstractNumId="74">
    <w:nsid w:val="14E17E33"/>
    <w:multiLevelType w:val="hybridMultilevel"/>
    <w:lvl w:ilvl="0">
      <w:lvlJc w:val="left"/>
      <w:lvlText w:val="%1"/>
      <w:numFmt w:val="decimal"/>
      <w:start w:val="187"/>
    </w:lvl>
  </w:abstractNum>
  <w:abstractNum w:abstractNumId="75">
    <w:nsid w:val="3222E7CD"/>
    <w:multiLevelType w:val="hybridMultilevel"/>
    <w:lvl w:ilvl="0">
      <w:lvlJc w:val="left"/>
      <w:lvlText w:val="%1"/>
      <w:numFmt w:val="decimal"/>
      <w:start w:val="197"/>
    </w:lvl>
  </w:abstractNum>
  <w:abstractNum w:abstractNumId="76">
    <w:nsid w:val="74DE0EE3"/>
    <w:multiLevelType w:val="hybridMultilevel"/>
    <w:lvl w:ilvl="0">
      <w:lvlJc w:val="left"/>
      <w:lvlText w:val="%1"/>
      <w:numFmt w:val="decimal"/>
      <w:start w:val="208"/>
    </w:lvl>
  </w:abstractNum>
  <w:abstractNum w:abstractNumId="77">
    <w:nsid w:val="68EBC550"/>
    <w:multiLevelType w:val="hybridMultilevel"/>
    <w:lvl w:ilvl="0">
      <w:lvlJc w:val="left"/>
      <w:lvlText w:val="%1"/>
      <w:numFmt w:val="decimal"/>
      <w:start w:val="220"/>
    </w:lvl>
  </w:abstractNum>
  <w:abstractNum w:abstractNumId="78">
    <w:nsid w:val="2DF6D648"/>
    <w:multiLevelType w:val="hybridMultilevel"/>
    <w:lvl w:ilvl="0">
      <w:lvlJc w:val="left"/>
      <w:lvlText w:val="%1"/>
      <w:numFmt w:val="decimal"/>
      <w:start w:val="226"/>
    </w:lvl>
  </w:abstractNum>
  <w:abstractNum w:abstractNumId="79">
    <w:nsid w:val="46B7D447"/>
    <w:multiLevelType w:val="hybridMultilevel"/>
    <w:lvl w:ilvl="0">
      <w:lvlJc w:val="left"/>
      <w:lvlText w:val="%1"/>
      <w:numFmt w:val="decimal"/>
      <w:start w:val="231"/>
    </w:lvl>
  </w:abstractNum>
  <w:abstractNum w:abstractNumId="80">
    <w:nsid w:val="4A2AC315"/>
    <w:multiLevelType w:val="hybridMultilevel"/>
    <w:lvl w:ilvl="0">
      <w:lvlJc w:val="left"/>
      <w:lvlText w:val="%1"/>
      <w:numFmt w:val="decimal"/>
      <w:start w:val="237"/>
    </w:lvl>
  </w:abstractNum>
  <w:abstractNum w:abstractNumId="81">
    <w:nsid w:val="39EE015C"/>
    <w:multiLevelType w:val="hybridMultilevel"/>
    <w:lvl w:ilvl="0">
      <w:lvlJc w:val="left"/>
      <w:lvlText w:val="●"/>
      <w:numFmt w:val="bullet"/>
      <w:start w:val="1"/>
    </w:lvl>
  </w:abstractNum>
  <w:abstractNum w:abstractNumId="82">
    <w:nsid w:val="57FC4FBB"/>
    <w:multiLevelType w:val="hybridMultilevel"/>
    <w:lvl w:ilvl="0">
      <w:lvlJc w:val="left"/>
      <w:lvlText w:val="(%1)"/>
      <w:numFmt w:val="lowerRoman"/>
      <w:start w:val="3"/>
    </w:lvl>
  </w:abstractNum>
  <w:abstractNum w:abstractNumId="83">
    <w:nsid w:val="CC1016F"/>
    <w:multiLevelType w:val="hybridMultilevel"/>
    <w:lvl w:ilvl="0">
      <w:lvlJc w:val="left"/>
      <w:lvlText w:val="●"/>
      <w:numFmt w:val="bullet"/>
      <w:start w:val="1"/>
    </w:lvl>
  </w:abstractNum>
  <w:abstractNum w:abstractNumId="84">
    <w:nsid w:val="43F18422"/>
    <w:multiLevelType w:val="hybridMultilevel"/>
    <w:lvl w:ilvl="0">
      <w:lvlJc w:val="left"/>
      <w:lvlText w:val="●"/>
      <w:numFmt w:val="bullet"/>
      <w:start w:val="1"/>
    </w:lvl>
  </w:abstractNum>
  <w:abstractNum w:abstractNumId="85">
    <w:nsid w:val="60EF0119"/>
    <w:multiLevelType w:val="hybridMultilevel"/>
    <w:lvl w:ilvl="0">
      <w:lvlJc w:val="left"/>
      <w:lvlText w:val="●"/>
      <w:numFmt w:val="bullet"/>
      <w:start w:val="1"/>
    </w:lvl>
  </w:abstractNum>
  <w:abstractNum w:abstractNumId="86">
    <w:nsid w:val="26F324BA"/>
    <w:multiLevelType w:val="hybridMultilevel"/>
    <w:lvl w:ilvl="0">
      <w:lvlJc w:val="left"/>
      <w:lvlText w:val="●"/>
      <w:numFmt w:val="bullet"/>
      <w:start w:val="1"/>
    </w:lvl>
  </w:abstractNum>
  <w:abstractNum w:abstractNumId="87">
    <w:nsid w:val="7F01579B"/>
    <w:multiLevelType w:val="hybridMultilevel"/>
    <w:lvl w:ilvl="0">
      <w:lvlJc w:val="left"/>
      <w:lvlText w:val="●"/>
      <w:numFmt w:val="bullet"/>
      <w:start w:val="1"/>
    </w:lvl>
  </w:abstractNum>
  <w:abstractNum w:abstractNumId="88">
    <w:nsid w:val="49DA307D"/>
    <w:multiLevelType w:val="hybridMultilevel"/>
    <w:lvl w:ilvl="0">
      <w:lvlJc w:val="left"/>
      <w:lvlText w:val="●"/>
      <w:numFmt w:val="bullet"/>
      <w:start w:val="1"/>
    </w:lvl>
  </w:abstractNum>
  <w:abstractNum w:abstractNumId="89">
    <w:nsid w:val="7055A5F5"/>
    <w:multiLevelType w:val="hybridMultilevel"/>
    <w:lvl w:ilvl="0">
      <w:lvlJc w:val="left"/>
      <w:lvlText w:val="●"/>
      <w:numFmt w:val="bullet"/>
      <w:start w:val="1"/>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1)"/>
      <w:numFmt w:val="lowerLetter"/>
      <w:start w:val="1"/>
    </w:lvl>
  </w:abstractNum>
  <w:abstractNum w:abstractNumId="92">
    <w:nsid w:val="488AC1A"/>
    <w:multiLevelType w:val="hybridMultilevel"/>
    <w:lvl w:ilvl="0">
      <w:lvlJc w:val="left"/>
      <w:lvlText w:val="%1"/>
      <w:numFmt w:val="decimal"/>
      <w:start w:val="581"/>
    </w:lvl>
  </w:abstractNum>
  <w:abstractNum w:abstractNumId="93">
    <w:nsid w:val="5FB8011C"/>
    <w:multiLevelType w:val="hybridMultilevel"/>
    <w:lvl w:ilvl="0">
      <w:lvlJc w:val="left"/>
      <w:lvlText w:val="%1."/>
      <w:numFmt w:val="decimal"/>
      <w:start w:val="280"/>
    </w:lvl>
  </w:abstractNum>
  <w:abstractNum w:abstractNumId="94">
    <w:nsid w:val="6AA78F7F"/>
    <w:multiLevelType w:val="hybridMultilevel"/>
    <w:lvl w:ilvl="0">
      <w:lvlJc w:val="left"/>
      <w:lvlText w:val="%1)"/>
      <w:numFmt w:val="lowerLetter"/>
      <w:start w:val="1"/>
    </w:lvl>
  </w:abstractNum>
  <w:abstractNum w:abstractNumId="95">
    <w:nsid w:val="7672BD23"/>
    <w:multiLevelType w:val="hybridMultilevel"/>
    <w:lvl w:ilvl="0">
      <w:lvlJc w:val="left"/>
      <w:lvlText w:val="*"/>
      <w:numFmt w:val="bullet"/>
      <w:start w:val="1"/>
    </w:lvl>
  </w:abstractNum>
  <w:abstractNum w:abstractNumId="96">
    <w:nsid w:val="6FC75AF8"/>
    <w:multiLevelType w:val="hybridMultilevel"/>
    <w:lvl w:ilvl="0">
      <w:lvlJc w:val="left"/>
      <w:lvlText w:val="$"/>
      <w:numFmt w:val="bullet"/>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a"/>
      <w:numFmt w:val="bullet"/>
      <w:start w:val="1"/>
    </w:lvl>
  </w:abstractNum>
  <w:abstractNum w:abstractNumId="99">
    <w:nsid w:val="5F3534A4"/>
    <w:multiLevelType w:val="hybridMultilevel"/>
    <w:lvl w:ilvl="0">
      <w:lvlJc w:val="left"/>
      <w:lvlText w:val="*"/>
      <w:numFmt w:val="bullet"/>
      <w:start w:val="1"/>
    </w:lvl>
  </w:abstractNum>
  <w:abstractNum w:abstractNumId="100">
    <w:nsid w:val="73A1821B"/>
    <w:multiLevelType w:val="hybridMultilevel"/>
    <w:lvl w:ilvl="0">
      <w:lvlJc w:val="left"/>
      <w:lvlText w:val="**"/>
      <w:numFmt w:val="bullet"/>
      <w:start w:val="1"/>
    </w:lvl>
  </w:abstractNum>
  <w:abstractNum w:abstractNumId="101">
    <w:nsid w:val="7DE6771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2025-09-18T12:05:16Z</dcterms:created>
  <dcterms:modified xsi:type="dcterms:W3CDTF">2025-09-18T12:05:16Z</dcterms:modified>
</cp:coreProperties>
</file>