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Phyllis Newhouse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CID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Edmund Nabrotzky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CID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18,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Phyllis Newhouse and Edmund Nabrotzky: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otherwise, any references to prior comments are to comments in our November 20,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4559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3 to Registration Statement on Form S-4 Questions and Answers about the Proposals, page xvi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disclosure in footnote (1) to the tables on pages xvi and 17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349,505 shares of the Company's common stock were exercised in connection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extension amendment proposal approved at the special meeting on November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2024, if true.</w:t>
      </w:r>
    </w:p>
    <w:p>
      <w:pPr>
        <w:ind w:right="581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Summary of the Proxy Statement/Prospectus After the Business Combination, page 8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footnote (5) to the table to accurately reflect the number of pro forma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allocated to the former SEE ID stockholders.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Unaudited Pro Forma Condensed Combined Financial Information, page 16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second bullet point to accurately reflect the maximum redemption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scenario.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Balance Sheet as of September 30, 2024, page</w:t>
      </w: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pro forma adjustment S to the unaudited pro forma condensed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balance sheet as of September 30, 2024.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balance sheet adjustments so that they balance, i.e. the credits 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debits net to zero. In this regard, it is unclear why adjustment D1 to temporary equity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under all of the scenarios. It is also unclear why the amount of adjustment D1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not reduced to reflect the post-balance sheet redemption.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page 182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6. Please use the as of date for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account column headings.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balance of SAFE agreements increased from $4,602,950 at December 31,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to $22,664,606 at September 30, 2024. Please fully describe the nature of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increase. As part of your detailed description explain how much of the increase is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new issuances and how much is attributable to the revaluation of the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 agreements and discuss the significant factors impacting the increase 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fair value.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5 - Related Party Transactions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Promissory Note - Related Party, page F-17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issued a promissory note in the amount of $100,000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Sponsor on August 14, 2024. Please revise or remove disclosure in regard to the</w:t>
      </w:r>
    </w:p>
    <w:p>
      <w:pPr>
        <w:ind w:left="120" w:right="5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feature, as necessary. January 2, 2025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Service Fee, page F-18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why the amount of administrative service fee outstanding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December 31, 2023 disclosed here is $118,272 while $113,945 is disclosed in note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 to the December 31, 2023 audited financial statements.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Anastasia Kaluzienski at 202-551-3685 or Robert Littlepage at 202-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551-3361 if you have questions regarding comments on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Mariam Mansaray at 202-551-6356 or Jan Woo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202-551-3453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right="7499" w:hanging="632"/>
        <w:spacing w:after="0" w:line="377" w:lineRule="auto"/>
        <w:tabs>
          <w:tab w:leader="none" w:pos="6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Gerry Williams Krisanne Cunningham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"/>
      <w:numFmt w:val="decimal"/>
      <w:start w:val="14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2025-02-14T23:10:24Z</dcterms:created>
  <dcterms:modified xsi:type="dcterms:W3CDTF">2025-02-14T23:10:24Z</dcterms:modified>
</cp:coreProperties>
</file>