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54150-s1_cidhold.htm"/>
      <w:bookmarkStart w:id="1" w:name="ksea0254150s1_cidhold"/>
      <w:bookmarkEnd w:id="0"/>
      <w:bookmarkEnd w:id="1"/>
      <w:r>
        <w:rPr>
          <w:caps w:val="false"/>
          <w:smallCaps w:val="false"/>
        </w:rPr>
        <w:t> </w:t>
      </w:r>
      <w:r>
        <w:rPr>
          <w:rFonts w:ascii="Times New Roman;Times;Serif" w:hAnsi="Times New Roman;Times;Serif"/>
          <w:b/>
          <w:i w:val="false"/>
          <w:caps w:val="false"/>
          <w:smallCaps w:val="false"/>
          <w:sz w:val="20"/>
        </w:rPr>
        <w:t>As filed with the Securities and Exchange Commission on September 4,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2555"/>
        <w:gridCol w:w="90"/>
        <w:gridCol w:w="2405"/>
        <w:gridCol w:w="90"/>
        <w:gridCol w:w="1595"/>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7373</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99-2578850</w:t>
            </w:r>
          </w:p>
        </w:tc>
      </w:tr>
      <w:tr>
        <w:trPr/>
        <w:tc>
          <w:tcPr>
            <w:tcW w:w="25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24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5661 S Cameron St, Suite 100, </w:t>
        <w:br/>
        <w:t>Las Vegas, Nevada 89118</w:t>
        <w:br/>
        <w:t>(303)-332-4122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Edmund Nabrotzky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5661 S Cameron St, Suite 100,</w:t>
        <w:br/>
        <w:t>Las Vegas, Nevada 89118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(303)-332-4122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DLA Piper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Atlantic Center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1201 West Peachtree Street, Suite 2900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GA 30309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 Gerry Williams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J. Minna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736-7891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1865"/>
        <w:gridCol w:w="260"/>
        <w:gridCol w:w="2330"/>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4,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29,701,559 shares of Common Stock </w:t>
      </w:r>
      <w:r>
        <w:rPr>
          <w:rFonts w:ascii="Times New Roman;Times;Serif" w:hAnsi="Times New Roman;Times;Serif"/>
          <w:b/>
          <w:i/>
          <w:caps w:val="false"/>
          <w:smallCaps w:val="false"/>
          <w:sz w:val="20"/>
        </w:rPr>
        <w:t>(for resale)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655,000 Warrants to Purchase shares of Common Stock </w:t>
      </w:r>
      <w:r>
        <w:rPr>
          <w:rFonts w:ascii="Times New Roman;Times;Serif" w:hAnsi="Times New Roman;Times;Serif"/>
          <w:b/>
          <w:i/>
          <w:caps w:val="false"/>
          <w:smallCaps w:val="false"/>
          <w:sz w:val="20"/>
        </w:rPr>
        <w:t>(for resale)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15,654,983 shares of Common Stock Issuable upon Exercise of the Warrants </w:t>
      </w:r>
      <w:r>
        <w:rPr>
          <w:rFonts w:ascii="Times New Roman;Times;Serif" w:hAnsi="Times New Roman;Times;Serif"/>
          <w:b/>
          <w:i/>
          <w:caps w:val="false"/>
          <w:smallCaps w:val="false"/>
          <w:sz w:val="20"/>
        </w:rPr>
        <w:t>(for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29,701,559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85,995 shares issuable to New Circle (the “Commitment Shares”), based on the commitment fee of $350,000 to be calculated using the market value of the closing price of the Common Stock on the date this Registration Statement is declared effective by the SEC, and (b) 5,438,629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also relates to the issuance by us of up to 15,654,983 shares of Common Stock consisting of (1) up to 14,999,983 shares of our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(2) up to 655,000 shares of our Common Stock issuable upon the exercise of 655,000 private warrants originally issued to the Sponsor as part of the Private Placement Units sold to the Sponsor in a private placement at a price of $10.00 per unit consummated concurrently with SUAC’s initial public offering, with each private warrant currently exercisable at a price of $11.50 per share (the “Private Placement Warrants” and together with the Public Warrants, the “Warrants”). All of the Warrants were assumed by us in connection with the Business Combination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or Warrants by the Selling Securityholders pursuant to this prospectus, except with respect to amounts received by us upon exercise of the Warrants to the extent such Warrants are exercised for cash, which amount of aggregate proceeds, assuming the exercise of all Warrants for cash, could be up to approximately $180,032,304. We believe the likelihood that Warrant holders will exercise their Warrants, and therefore the amount of cash proceeds that we would receive, is dependent upon the market price of our Common Stock (as defined below). If the market price for our Common Stock is less than $11.50 per share, we believe the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is a part. See “Description of Securities”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or amendment carefully before you invest in our securities. Our Common Stock and Warrants are traded on the Nasdaq Stock Market LLC under the symbol “DAIC” and “DAIC.W”, respectively. On September 4, 2025, the last reported sale price of our Common Stock on the Nasdaq Stock Market LLC was $4.07 per share, and the closing price of our Public Warrants was $0.1699 per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107.47%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federal securities laws and are subject to reduced public company reporting requirements. Investing in our Common Stock involves a high degree of risk. See “Risk Factors” beginning on page 7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is September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9500"/>
        <w:gridCol w:w="90"/>
        <w:gridCol w:w="455"/>
      </w:tblGrid>
      <w:tr>
        <w:trPr/>
        <w:tc>
          <w:tcPr>
            <w:tcW w:w="9500" w:type="dxa"/>
            <w:tcBorders/>
            <w:shd w:fill="CCEEFF" w:val="clear"/>
            <w:vAlign w:val="center"/>
          </w:tcPr>
          <w:p>
            <w:pPr>
              <w:pStyle w:val="TableContents"/>
              <w:bidi w:val="0"/>
              <w:spacing w:before="0" w:after="283"/>
              <w:ind w:left="0" w:right="0" w:hanging="180"/>
              <w:jc w:val="left"/>
              <w:rPr/>
            </w:pPr>
            <w:hyperlink w:anchor="a_001">
              <w:r>
                <w:rPr>
                  <w:rStyle w:val="InternetLink"/>
                  <w:sz w:val="20"/>
                </w:rPr>
                <w:t>ABOUT THIS PROSPECTUS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sz w:val="20"/>
              </w:rPr>
            </w:pPr>
            <w:r>
              <w:rPr>
                <w:sz w:val="20"/>
              </w:rPr>
              <w:t>ii</w:t>
            </w:r>
          </w:p>
        </w:tc>
      </w:tr>
      <w:tr>
        <w:trPr/>
        <w:tc>
          <w:tcPr>
            <w:tcW w:w="9500" w:type="dxa"/>
            <w:tcBorders/>
            <w:shd w:fill="FFFFFF" w:val="clear"/>
            <w:vAlign w:val="center"/>
          </w:tcPr>
          <w:p>
            <w:pPr>
              <w:pStyle w:val="TableContents"/>
              <w:bidi w:val="0"/>
              <w:spacing w:before="0" w:after="283"/>
              <w:jc w:val="left"/>
              <w:rPr/>
            </w:pPr>
            <w:hyperlink w:anchor="a_002">
              <w:r>
                <w:rPr>
                  <w:rStyle w:val="InternetLink"/>
                  <w:sz w:val="20"/>
                </w:rPr>
                <w:t>CAUTIONARY NOTE REGARDING FORWARD-LOOKING STATEMENTS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sz w:val="20"/>
              </w:rPr>
            </w:pPr>
            <w:r>
              <w:rPr>
                <w:sz w:val="20"/>
              </w:rPr>
              <w:t>iv</w:t>
            </w:r>
          </w:p>
        </w:tc>
      </w:tr>
      <w:tr>
        <w:trPr/>
        <w:tc>
          <w:tcPr>
            <w:tcW w:w="9500" w:type="dxa"/>
            <w:tcBorders/>
            <w:shd w:fill="CCEEFF" w:val="clear"/>
            <w:vAlign w:val="center"/>
          </w:tcPr>
          <w:p>
            <w:pPr>
              <w:pStyle w:val="TableContents"/>
              <w:bidi w:val="0"/>
              <w:spacing w:before="0" w:after="283"/>
              <w:jc w:val="left"/>
              <w:rPr/>
            </w:pPr>
            <w:hyperlink w:anchor="a_003">
              <w:r>
                <w:rPr>
                  <w:rStyle w:val="InternetLink"/>
                  <w:sz w:val="20"/>
                </w:rPr>
                <w:t>PROSPECTUS SUMMARY</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1</w:t>
            </w:r>
          </w:p>
        </w:tc>
      </w:tr>
      <w:tr>
        <w:trPr/>
        <w:tc>
          <w:tcPr>
            <w:tcW w:w="9500" w:type="dxa"/>
            <w:tcBorders/>
            <w:shd w:fill="FFFFFF" w:val="clear"/>
            <w:vAlign w:val="center"/>
          </w:tcPr>
          <w:p>
            <w:pPr>
              <w:pStyle w:val="TableContents"/>
              <w:bidi w:val="0"/>
              <w:spacing w:before="0" w:after="283"/>
              <w:jc w:val="left"/>
              <w:rPr/>
            </w:pPr>
            <w:hyperlink w:anchor="a_004">
              <w:r>
                <w:rPr>
                  <w:rStyle w:val="InternetLink"/>
                  <w:sz w:val="20"/>
                </w:rPr>
                <w:t>THE OFFERING</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6</w:t>
            </w:r>
          </w:p>
        </w:tc>
      </w:tr>
      <w:tr>
        <w:trPr/>
        <w:tc>
          <w:tcPr>
            <w:tcW w:w="9500" w:type="dxa"/>
            <w:tcBorders/>
            <w:shd w:fill="CCEEFF" w:val="clear"/>
            <w:vAlign w:val="center"/>
          </w:tcPr>
          <w:p>
            <w:pPr>
              <w:pStyle w:val="TableContents"/>
              <w:bidi w:val="0"/>
              <w:spacing w:before="0" w:after="283"/>
              <w:jc w:val="left"/>
              <w:rPr/>
            </w:pPr>
            <w:hyperlink w:anchor="a_005">
              <w:r>
                <w:rPr>
                  <w:rStyle w:val="InternetLink"/>
                  <w:sz w:val="20"/>
                </w:rPr>
                <w:t>RISK FACTORS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7</w:t>
            </w:r>
          </w:p>
        </w:tc>
      </w:tr>
      <w:tr>
        <w:trPr/>
        <w:tc>
          <w:tcPr>
            <w:tcW w:w="9500" w:type="dxa"/>
            <w:tcBorders/>
            <w:shd w:fill="FFFFFF" w:val="clear"/>
            <w:vAlign w:val="center"/>
          </w:tcPr>
          <w:p>
            <w:pPr>
              <w:pStyle w:val="TableContents"/>
              <w:bidi w:val="0"/>
              <w:spacing w:before="0" w:after="283"/>
              <w:jc w:val="left"/>
              <w:rPr/>
            </w:pPr>
            <w:hyperlink w:anchor="a_006">
              <w:r>
                <w:rPr>
                  <w:rStyle w:val="InternetLink"/>
                  <w:sz w:val="20"/>
                </w:rPr>
                <w:t>USE OF PROCEEDS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sz w:val="20"/>
              </w:rPr>
            </w:pPr>
            <w:r>
              <w:rPr>
                <w:sz w:val="20"/>
              </w:rPr>
              <w:t>43</w:t>
            </w:r>
          </w:p>
        </w:tc>
      </w:tr>
      <w:tr>
        <w:trPr/>
        <w:tc>
          <w:tcPr>
            <w:tcW w:w="9500" w:type="dxa"/>
            <w:tcBorders/>
            <w:shd w:fill="CCEEFF" w:val="clear"/>
            <w:vAlign w:val="center"/>
          </w:tcPr>
          <w:p>
            <w:pPr>
              <w:pStyle w:val="TableContents"/>
              <w:bidi w:val="0"/>
              <w:spacing w:before="0" w:after="283"/>
              <w:jc w:val="left"/>
              <w:rPr/>
            </w:pPr>
            <w:hyperlink w:anchor="a_007">
              <w:r>
                <w:rPr>
                  <w:rStyle w:val="InternetLink"/>
                  <w:sz w:val="20"/>
                </w:rPr>
                <w:t>DETERMINATION OF OFFERING PRICE</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44</w:t>
            </w:r>
          </w:p>
        </w:tc>
      </w:tr>
      <w:tr>
        <w:trPr/>
        <w:tc>
          <w:tcPr>
            <w:tcW w:w="9500" w:type="dxa"/>
            <w:tcBorders/>
            <w:shd w:fill="FFFFFF" w:val="clear"/>
            <w:vAlign w:val="center"/>
          </w:tcPr>
          <w:p>
            <w:pPr>
              <w:pStyle w:val="TableContents"/>
              <w:bidi w:val="0"/>
              <w:spacing w:before="0" w:after="283"/>
              <w:jc w:val="left"/>
              <w:rPr/>
            </w:pPr>
            <w:hyperlink w:anchor="a_008">
              <w:r>
                <w:rPr>
                  <w:rStyle w:val="InternetLink"/>
                  <w:sz w:val="20"/>
                </w:rPr>
                <w:t>MARKET INFORMATION FOR SECURITIES AND DIVIDEND POLICY</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45</w:t>
            </w:r>
          </w:p>
        </w:tc>
      </w:tr>
      <w:tr>
        <w:trPr/>
        <w:tc>
          <w:tcPr>
            <w:tcW w:w="9500" w:type="dxa"/>
            <w:tcBorders/>
            <w:shd w:fill="CCEEFF" w:val="clear"/>
            <w:vAlign w:val="center"/>
          </w:tcPr>
          <w:p>
            <w:pPr>
              <w:pStyle w:val="TableContents"/>
              <w:bidi w:val="0"/>
              <w:spacing w:before="0" w:after="283"/>
              <w:jc w:val="left"/>
              <w:rPr/>
            </w:pPr>
            <w:hyperlink w:anchor="a_009">
              <w:r>
                <w:rPr>
                  <w:rStyle w:val="InternetLink"/>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46</w:t>
            </w:r>
          </w:p>
        </w:tc>
      </w:tr>
      <w:tr>
        <w:trPr/>
        <w:tc>
          <w:tcPr>
            <w:tcW w:w="9500" w:type="dxa"/>
            <w:tcBorders/>
            <w:shd w:fill="FFFFFF" w:val="clear"/>
            <w:vAlign w:val="center"/>
          </w:tcPr>
          <w:p>
            <w:pPr>
              <w:pStyle w:val="TableContents"/>
              <w:bidi w:val="0"/>
              <w:spacing w:before="0" w:after="283"/>
              <w:jc w:val="left"/>
              <w:rPr/>
            </w:pPr>
            <w:hyperlink w:anchor="a_010">
              <w:r>
                <w:rPr>
                  <w:rStyle w:val="InternetLink"/>
                  <w:sz w:val="20"/>
                </w:rPr>
                <w:t>OUR BUSINESS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58</w:t>
            </w:r>
          </w:p>
        </w:tc>
      </w:tr>
      <w:tr>
        <w:trPr/>
        <w:tc>
          <w:tcPr>
            <w:tcW w:w="9500" w:type="dxa"/>
            <w:tcBorders/>
            <w:shd w:fill="CCEEFF" w:val="clear"/>
            <w:vAlign w:val="center"/>
          </w:tcPr>
          <w:p>
            <w:pPr>
              <w:pStyle w:val="TableContents"/>
              <w:bidi w:val="0"/>
              <w:spacing w:before="0" w:after="283"/>
              <w:jc w:val="left"/>
              <w:rPr/>
            </w:pPr>
            <w:hyperlink w:anchor="a_011">
              <w:r>
                <w:rPr>
                  <w:rStyle w:val="InternetLink"/>
                  <w:sz w:val="20"/>
                </w:rPr>
                <w:t>MANAGEMENT</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75</w:t>
            </w:r>
          </w:p>
        </w:tc>
      </w:tr>
      <w:tr>
        <w:trPr/>
        <w:tc>
          <w:tcPr>
            <w:tcW w:w="9500" w:type="dxa"/>
            <w:tcBorders/>
            <w:shd w:fill="FFFFFF" w:val="clear"/>
            <w:vAlign w:val="center"/>
          </w:tcPr>
          <w:p>
            <w:pPr>
              <w:pStyle w:val="TableContents"/>
              <w:bidi w:val="0"/>
              <w:spacing w:before="0" w:after="283"/>
              <w:jc w:val="left"/>
              <w:rPr/>
            </w:pPr>
            <w:hyperlink w:anchor="a_012">
              <w:r>
                <w:rPr>
                  <w:rStyle w:val="InternetLink"/>
                  <w:sz w:val="20"/>
                </w:rPr>
                <w:t>EXECUTIVE COMPENSATION</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82</w:t>
            </w:r>
          </w:p>
        </w:tc>
      </w:tr>
      <w:tr>
        <w:trPr/>
        <w:tc>
          <w:tcPr>
            <w:tcW w:w="9500" w:type="dxa"/>
            <w:tcBorders/>
            <w:shd w:fill="CCEEFF" w:val="clear"/>
            <w:vAlign w:val="center"/>
          </w:tcPr>
          <w:p>
            <w:pPr>
              <w:pStyle w:val="TableContents"/>
              <w:bidi w:val="0"/>
              <w:spacing w:before="0" w:after="283"/>
              <w:jc w:val="left"/>
              <w:rPr/>
            </w:pPr>
            <w:hyperlink w:anchor="a_013">
              <w:r>
                <w:rPr>
                  <w:rStyle w:val="InternetLink"/>
                  <w:sz w:val="20"/>
                </w:rPr>
                <w:t>CERTAIN RELATIONSHIPS AND RELATED PARTY TRANSACTIONS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85</w:t>
            </w:r>
          </w:p>
        </w:tc>
      </w:tr>
      <w:tr>
        <w:trPr/>
        <w:tc>
          <w:tcPr>
            <w:tcW w:w="9500" w:type="dxa"/>
            <w:tcBorders/>
            <w:shd w:fill="FFFFFF" w:val="clear"/>
            <w:vAlign w:val="center"/>
          </w:tcPr>
          <w:p>
            <w:pPr>
              <w:pStyle w:val="TableContents"/>
              <w:bidi w:val="0"/>
              <w:spacing w:before="0" w:after="283"/>
              <w:jc w:val="left"/>
              <w:rPr/>
            </w:pPr>
            <w:hyperlink w:anchor="a_014">
              <w:r>
                <w:rPr>
                  <w:rStyle w:val="InternetLink"/>
                  <w:sz w:val="20"/>
                </w:rPr>
                <w:t>SECURITY OWNERSHIP OF CERTAIN BENEFICIAL OWNERS AND MANAGEMENT</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86</w:t>
            </w:r>
          </w:p>
        </w:tc>
      </w:tr>
      <w:tr>
        <w:trPr/>
        <w:tc>
          <w:tcPr>
            <w:tcW w:w="9500" w:type="dxa"/>
            <w:tcBorders/>
            <w:shd w:fill="CCEEFF" w:val="clear"/>
            <w:vAlign w:val="center"/>
          </w:tcPr>
          <w:p>
            <w:pPr>
              <w:pStyle w:val="TableContents"/>
              <w:bidi w:val="0"/>
              <w:spacing w:before="0" w:after="283"/>
              <w:jc w:val="left"/>
              <w:rPr/>
            </w:pPr>
            <w:hyperlink w:anchor="a_015">
              <w:r>
                <w:rPr>
                  <w:rStyle w:val="InternetLink"/>
                  <w:sz w:val="20"/>
                </w:rPr>
                <w:t>SELLING SECURITYHOLDERS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87</w:t>
            </w:r>
          </w:p>
        </w:tc>
      </w:tr>
      <w:tr>
        <w:trPr/>
        <w:tc>
          <w:tcPr>
            <w:tcW w:w="9500" w:type="dxa"/>
            <w:tcBorders/>
            <w:shd w:fill="FFFFFF" w:val="clear"/>
            <w:vAlign w:val="center"/>
          </w:tcPr>
          <w:p>
            <w:pPr>
              <w:pStyle w:val="TableContents"/>
              <w:bidi w:val="0"/>
              <w:spacing w:before="0" w:after="283"/>
              <w:jc w:val="left"/>
              <w:rPr/>
            </w:pPr>
            <w:hyperlink w:anchor="a_016">
              <w:r>
                <w:rPr>
                  <w:rStyle w:val="InternetLink"/>
                  <w:sz w:val="20"/>
                </w:rPr>
                <w:t>DESCRIPTION OF SECURITIES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108</w:t>
            </w:r>
          </w:p>
        </w:tc>
      </w:tr>
      <w:tr>
        <w:trPr/>
        <w:tc>
          <w:tcPr>
            <w:tcW w:w="9500" w:type="dxa"/>
            <w:tcBorders/>
            <w:shd w:fill="CCEEFF" w:val="clear"/>
            <w:vAlign w:val="center"/>
          </w:tcPr>
          <w:p>
            <w:pPr>
              <w:pStyle w:val="TableContents"/>
              <w:bidi w:val="0"/>
              <w:spacing w:before="0" w:after="283"/>
              <w:jc w:val="left"/>
              <w:rPr/>
            </w:pPr>
            <w:hyperlink w:anchor="a_017">
              <w:r>
                <w:rPr>
                  <w:rStyle w:val="InternetLink"/>
                  <w:sz w:val="20"/>
                </w:rPr>
                <w:t>PLAN OF DISTRIBUTION</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116</w:t>
            </w:r>
          </w:p>
        </w:tc>
      </w:tr>
      <w:tr>
        <w:trPr/>
        <w:tc>
          <w:tcPr>
            <w:tcW w:w="9500" w:type="dxa"/>
            <w:tcBorders/>
            <w:shd w:fill="FFFFFF" w:val="clear"/>
            <w:vAlign w:val="center"/>
          </w:tcPr>
          <w:p>
            <w:pPr>
              <w:pStyle w:val="TableContents"/>
              <w:bidi w:val="0"/>
              <w:spacing w:before="0" w:after="283"/>
              <w:jc w:val="left"/>
              <w:rPr/>
            </w:pPr>
            <w:hyperlink w:anchor="a_018">
              <w:r>
                <w:rPr>
                  <w:rStyle w:val="InternetLink"/>
                  <w:sz w:val="20"/>
                </w:rPr>
                <w:t>UNITED STATES FEDERAL INCOME TAX CONSIDERATIONS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119</w:t>
            </w:r>
          </w:p>
        </w:tc>
      </w:tr>
      <w:tr>
        <w:trPr/>
        <w:tc>
          <w:tcPr>
            <w:tcW w:w="9500" w:type="dxa"/>
            <w:tcBorders/>
            <w:shd w:fill="CCEEFF" w:val="clear"/>
            <w:vAlign w:val="center"/>
          </w:tcPr>
          <w:p>
            <w:pPr>
              <w:pStyle w:val="TableContents"/>
              <w:bidi w:val="0"/>
              <w:spacing w:before="0" w:after="283"/>
              <w:jc w:val="left"/>
              <w:rPr/>
            </w:pPr>
            <w:hyperlink w:anchor="a_019">
              <w:r>
                <w:rPr>
                  <w:rStyle w:val="InternetLink"/>
                  <w:sz w:val="20"/>
                </w:rPr>
                <w:t>EXPERTS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124</w:t>
            </w:r>
          </w:p>
        </w:tc>
      </w:tr>
      <w:tr>
        <w:trPr/>
        <w:tc>
          <w:tcPr>
            <w:tcW w:w="9500" w:type="dxa"/>
            <w:tcBorders/>
            <w:shd w:fill="FFFFFF" w:val="clear"/>
            <w:vAlign w:val="center"/>
          </w:tcPr>
          <w:p>
            <w:pPr>
              <w:pStyle w:val="TableContents"/>
              <w:bidi w:val="0"/>
              <w:spacing w:before="0" w:after="283"/>
              <w:jc w:val="left"/>
              <w:rPr/>
            </w:pPr>
            <w:hyperlink w:anchor="a_020">
              <w:r>
                <w:rPr>
                  <w:rStyle w:val="InternetLink"/>
                  <w:sz w:val="20"/>
                </w:rPr>
                <w:t>LEGAL MATTERS</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124</w:t>
            </w:r>
          </w:p>
        </w:tc>
      </w:tr>
      <w:tr>
        <w:trPr/>
        <w:tc>
          <w:tcPr>
            <w:tcW w:w="9500" w:type="dxa"/>
            <w:tcBorders/>
            <w:shd w:fill="CCEEFF" w:val="clear"/>
            <w:vAlign w:val="center"/>
          </w:tcPr>
          <w:p>
            <w:pPr>
              <w:pStyle w:val="TableContents"/>
              <w:bidi w:val="0"/>
              <w:spacing w:before="0" w:after="283"/>
              <w:jc w:val="left"/>
              <w:rPr/>
            </w:pPr>
            <w:hyperlink w:anchor="a_021">
              <w:r>
                <w:rPr>
                  <w:rStyle w:val="InternetLink"/>
                  <w:sz w:val="20"/>
                </w:rPr>
                <w:t>WHERE YOU CAN FIND ADDITIONAL INFORMATION</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pPr>
            <w:r>
              <w:rPr/>
              <w:t>124</w:t>
            </w:r>
          </w:p>
        </w:tc>
      </w:tr>
      <w:tr>
        <w:trPr/>
        <w:tc>
          <w:tcPr>
            <w:tcW w:w="9500" w:type="dxa"/>
            <w:tcBorders/>
            <w:shd w:fill="FFFFFF" w:val="clear"/>
            <w:vAlign w:val="center"/>
          </w:tcPr>
          <w:p>
            <w:pPr>
              <w:pStyle w:val="TableContents"/>
              <w:bidi w:val="0"/>
              <w:spacing w:before="0" w:after="283"/>
              <w:jc w:val="left"/>
              <w:rPr/>
            </w:pPr>
            <w:hyperlink w:anchor="a_022">
              <w:r>
                <w:rPr>
                  <w:rStyle w:val="InternetLink"/>
                  <w:sz w:val="20"/>
                </w:rPr>
                <w:t>CHANGES IN INDEPENDENT REGISTERED PUBLIC ACCOUNTING FIRM</w:t>
              </w:r>
            </w:hyperlink>
          </w:p>
        </w:tc>
        <w:tc>
          <w:tcPr>
            <w:tcW w:w="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124</w:t>
            </w:r>
          </w:p>
        </w:tc>
      </w:tr>
      <w:tr>
        <w:trPr/>
        <w:tc>
          <w:tcPr>
            <w:tcW w:w="9500" w:type="dxa"/>
            <w:tcBorders/>
            <w:shd w:fill="CCEEFF" w:val="clear"/>
            <w:vAlign w:val="center"/>
          </w:tcPr>
          <w:p>
            <w:pPr>
              <w:pStyle w:val="TableContents"/>
              <w:bidi w:val="0"/>
              <w:spacing w:before="0" w:after="283"/>
              <w:jc w:val="left"/>
              <w:rPr/>
            </w:pPr>
            <w:hyperlink w:anchor="a_023">
              <w:r>
                <w:rPr>
                  <w:rStyle w:val="InternetLink"/>
                  <w:sz w:val="20"/>
                </w:rPr>
                <w:t>INDEX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Warrants. We will receive proceeds from any exercise of the Warrants for cash. We may use the shelf registration statement to issue up to an aggregate of 15,654,983 shares of our Common Stock issuable by us consisting of (1) up to 14,999,983 Public Warrants; and (2) up to 655,000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use the shelf registration statement to sell up to: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Times;Serif" w:hAnsi="Times New Roman;Times;Serif"/>
          <w:b/>
          <w:i/>
          <w:caps w:val="false"/>
          <w:smallCaps w:val="false"/>
          <w:sz w:val="20"/>
        </w:rPr>
        <w:t>ShoulderUp Merger</w:t>
      </w:r>
      <w:r>
        <w:rPr>
          <w:rFonts w:ascii="Times New Roman;Times;Serif" w:hAnsi="Times New Roman;Times;Serif"/>
          <w:b w:val="false"/>
          <w:i w:val="false"/>
          <w:caps w:val="false"/>
          <w:smallCaps w:val="false"/>
          <w:sz w:val="20"/>
        </w:rPr>
        <w:t>”), with SUAC surviving the ShoulderUp Merger as a wholly-owned subsidiary of the Company (“</w:t>
      </w:r>
      <w:r>
        <w:rPr>
          <w:rFonts w:ascii="Times New Roman;Times;Serif" w:hAnsi="Times New Roman;Times;Serif"/>
          <w:b/>
          <w:i/>
          <w:caps w:val="false"/>
          <w:smallCaps w:val="false"/>
          <w:sz w:val="20"/>
        </w:rPr>
        <w:t>SUAC Surviving Company</w:t>
      </w:r>
      <w:r>
        <w:rPr>
          <w:rFonts w:ascii="Times New Roman;Times;Serif" w:hAnsi="Times New Roman;Times;Serif"/>
          <w:b w:val="false"/>
          <w:i w:val="false"/>
          <w:caps w:val="false"/>
          <w:smallCaps w:val="false"/>
          <w:sz w:val="20"/>
        </w:rPr>
        <w:t>”); and (ii) simultaneously with the ShoulderUp Merger, SEI Merger Sub merged with and into SEE ID (“</w:t>
      </w:r>
      <w:r>
        <w:rPr>
          <w:rFonts w:ascii="Times New Roman;Times;Serif" w:hAnsi="Times New Roman;Times;Serif"/>
          <w:b/>
          <w:i/>
          <w:caps w:val="false"/>
          <w:smallCaps w:val="false"/>
          <w:sz w:val="20"/>
        </w:rPr>
        <w:t>the SEE ID Merger</w:t>
      </w:r>
      <w:r>
        <w:rPr>
          <w:rFonts w:ascii="Times New Roman;Times;Serif" w:hAnsi="Times New Roman;Times;Serif"/>
          <w:b w:val="false"/>
          <w:i w:val="false"/>
          <w:caps w:val="false"/>
          <w:smallCaps w:val="false"/>
          <w:sz w:val="20"/>
        </w:rPr>
        <w:t>”), with SEE ID surviving the SEE ID Merger as a wholly-owned subsidiary of the Company (the “</w:t>
      </w:r>
      <w:r>
        <w:rPr>
          <w:rFonts w:ascii="Times New Roman;Times;Serif" w:hAnsi="Times New Roman;Times;Serif"/>
          <w:b/>
          <w:i/>
          <w:caps w:val="false"/>
          <w:smallCaps w:val="false"/>
          <w:sz w:val="20"/>
        </w:rPr>
        <w:t>Surviving Company</w:t>
      </w:r>
      <w:r>
        <w:rPr>
          <w:rFonts w:ascii="Times New Roman;Times;Serif" w:hAnsi="Times New Roman;Times;Serif"/>
          <w:b w:val="false"/>
          <w:i w:val="false"/>
          <w:caps w:val="false"/>
          <w:smallCaps w:val="false"/>
          <w:sz w:val="20"/>
        </w:rPr>
        <w:t>”) (the ShoulderUp Merger and the SEE ID Merger, together the “</w:t>
      </w:r>
      <w:r>
        <w:rPr>
          <w:rFonts w:ascii="Times New Roman;Times;Serif" w:hAnsi="Times New Roman;Times;Serif"/>
          <w:b/>
          <w:i/>
          <w:caps w:val="false"/>
          <w:smallCaps w:val="false"/>
          <w:sz w:val="20"/>
        </w:rPr>
        <w:t>Mergers</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the Company and the persons identified in Schedule A thereto, entered into the Registration Rights Agreement, which provides customary demand and piggyback registration rights. See “</w:t>
      </w:r>
      <w:r>
        <w:rPr>
          <w:rFonts w:ascii="Times New Roman;Times;Serif" w:hAnsi="Times New Roman;Times;Serif"/>
          <w:b w:val="false"/>
          <w:i/>
          <w:caps w:val="false"/>
          <w:smallCaps w:val="false"/>
          <w:sz w:val="20"/>
        </w:rPr>
        <w:t>Certain Relationships and Related Party Transactions -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pStyle w:val="TextBody"/>
        <w:bidi w:val="0"/>
        <w:spacing w:before="0" w:after="0"/>
        <w:ind w:left="1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outcome of any legal proceedings that may be instituted against the combined company or others following the consummation of the Business Combination and any definitive agreements with respect thereto;</w:t>
            </w:r>
          </w:p>
        </w:tc>
      </w:tr>
    </w:tbl>
    <w:p>
      <w:pPr>
        <w:pStyle w:val="TextBody"/>
        <w:bidi w:val="0"/>
        <w:spacing w:before="0" w:after="0"/>
        <w:ind w:left="1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to meet stock exchange listing standards following the consummation of the Business Combination;</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risk that the Business Combination disrupts current plans and operations of the Company and SEE ID;</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tc>
      </w:tr>
    </w:tbl>
    <w:p>
      <w:pPr>
        <w:pStyle w:val="TextBody"/>
        <w:bidi w:val="0"/>
        <w:spacing w:before="0" w:after="0"/>
        <w:ind w:left="120" w:right="0" w:hanging="36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68"/>
        <w:gridCol w:w="20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costs related to the Business Combination;</w:t>
            </w:r>
          </w:p>
        </w:tc>
      </w:tr>
    </w:tbl>
    <w:p>
      <w:pPr>
        <w:pStyle w:val="TextBody"/>
        <w:bidi w:val="0"/>
        <w:spacing w:before="0" w:after="0"/>
        <w:ind w:left="120" w:right="0" w:hanging="36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200"/>
        <w:gridCol w:w="4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applicable laws or regulations;</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possibility that SEE ID or the Company may be adversely affected by other economic, business, or competitive factors;</w:t>
            </w:r>
          </w:p>
        </w:tc>
      </w:tr>
    </w:tbl>
    <w:p>
      <w:pPr>
        <w:pStyle w:val="TextBody"/>
        <w:bidi w:val="0"/>
        <w:spacing w:before="0" w:after="0"/>
        <w:ind w:left="120" w:right="0" w:hanging="36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200"/>
        <w:gridCol w:w="5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5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estimates of expenses and profitability;</w:t>
            </w:r>
          </w:p>
        </w:tc>
      </w:tr>
    </w:tbl>
    <w:p>
      <w:pPr>
        <w:pStyle w:val="TextBody"/>
        <w:bidi w:val="0"/>
        <w:spacing w:before="0" w:after="0"/>
        <w:ind w:left="120" w:right="0" w:hanging="36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68"/>
        <w:gridCol w:w="200"/>
        <w:gridCol w:w="3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36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ability to raise financing in the future;</w:t>
            </w:r>
          </w:p>
        </w:tc>
      </w:tr>
    </w:tbl>
    <w:p>
      <w:pPr>
        <w:pStyle w:val="TextBody"/>
        <w:bidi w:val="0"/>
        <w:spacing w:before="0" w:after="0"/>
        <w:ind w:left="120" w:right="0" w:hanging="36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68"/>
        <w:gridCol w:w="200"/>
        <w:gridCol w:w="92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2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success in retaining or recruiting, or changes required in, our officers, key employees or directors;</w:t>
            </w:r>
          </w:p>
        </w:tc>
      </w:tr>
    </w:tbl>
    <w:p>
      <w:pPr>
        <w:pStyle w:val="TextBody"/>
        <w:bidi w:val="0"/>
        <w:spacing w:before="0" w:after="0"/>
        <w:ind w:left="120" w:right="0" w:hanging="36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68"/>
        <w:gridCol w:w="200"/>
        <w:gridCol w:w="6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6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public securities’ potential liquidity and trading;</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tc>
      </w:tr>
    </w:tbl>
    <w:p>
      <w:pPr>
        <w:pStyle w:val="TextBody"/>
        <w:bidi w:val="0"/>
        <w:spacing w:before="0" w:after="0"/>
        <w:ind w:left="120" w:right="0" w:hanging="36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68"/>
        <w:gridCol w:w="200"/>
        <w:gridCol w:w="8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litigation and the ability to adequately protect the Company’s intellectual property rights; and</w:t>
            </w:r>
          </w:p>
        </w:tc>
      </w:tr>
    </w:tbl>
    <w:p>
      <w:pPr>
        <w:pStyle w:val="TextBody"/>
        <w:bidi w:val="0"/>
        <w:spacing w:before="0" w:after="0"/>
        <w:ind w:left="1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factors relating to the business, operations and financial performance of the Company detailed under the section entitled “Risk Factors” herein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prospectus are more fully described under the heading “</w:t>
      </w:r>
      <w:r>
        <w:rPr>
          <w:rFonts w:ascii="Times New Roman;Times;Serif" w:hAnsi="Times New Roman;Times;Serif"/>
          <w:b w:val="false"/>
          <w:i/>
          <w:caps w:val="false"/>
          <w:smallCaps w:val="false"/>
          <w:sz w:val="20"/>
        </w:rPr>
        <w:t xml:space="preserve">Risk Factors” </w:t>
      </w:r>
      <w:r>
        <w:rPr>
          <w:rFonts w:ascii="Times New Roman;Times;Serif" w:hAnsi="Times New Roman;Times;Serif"/>
          <w:b w:val="false"/>
          <w:i w:val="false"/>
          <w:caps w:val="false"/>
          <w:smallCaps w:val="false"/>
          <w:sz w:val="20"/>
        </w:rPr>
        <w:t>and elsewhere in this prospectus. The risks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4" w:name="a_003"/>
      <w:bookmarkEnd w:id="4"/>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As used in this prospectus, unless the context otherwise requires or indicates, references to “Company,” “we,” “our,” and “us,” refer to CID HoldCo, Inc. and its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Business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short, we bring a next generation capability to know when, where and why assets move in the enterprise, providing an opportunity to apply AI to complex edge processes.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Combination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Registration Rights and Lock Up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Closing, the Company entered into that certain Registration Rights and Lock-Up Agreement (the “Registration Rights and Lock-Up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PIPE Financing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Equity Line of Credit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entry into the ELOC Agreement, the Company also entered into that certain Registration Rights Agreement (the “New Circle Registration Rights Agreement”) with New Circle.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5,524,624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Times;Serif" w:hAnsi="Times New Roman;Times;Serif"/>
          <w:b w:val="false"/>
          <w:i/>
          <w:caps w:val="false"/>
          <w:smallCaps w:val="false"/>
          <w:sz w:val="20"/>
          <w:bdr w:val="single" w:sz="12" w:space="1" w:color="000000"/>
        </w:rPr>
        <w:t>provided,</w:t>
      </w:r>
      <w:r>
        <w:rPr>
          <w:rFonts w:ascii="Times New Roman;Times;Serif" w:hAnsi="Times New Roman;Times;Serif"/>
          <w:b w:val="false"/>
          <w:i w:val="false"/>
          <w:caps w:val="false"/>
          <w:smallCaps w:val="false"/>
          <w:sz w:val="20"/>
          <w:bdr w:val="single" w:sz="12" w:space="1" w:color="000000"/>
        </w:rPr>
        <w:t> that upon delivery of a written notice to the Company, New Circle may from time to time increase (with such increase not effective until the sixty-first (61st) day after delivery of such notice) the Ownership Limitation to 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 (i) 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5,524,624 shares of Common Stock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5,524,624 shares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5.25% of the total number of shares of Common Stock outstanding as of September 4, 2025. If we elect to issue and sell more than the 5,524,624 shares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$1.07 billion or (c) in which the Company is deemed to be a large accelerated filer, which means the market value of our Common Stock that are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formed as a Delaware corporation on February 27, 2024.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 is located at 5661 S Cameron St, Suite 100, Las Vegas, Nevada 89118 and our telephone number is (303)-332-4122. Our website is https://daic.ai. The information found on, or that can be accessed from or that is hyperlinked to, our website is not part of this prospectus.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 investment in our Common Stock involves substantial risk. The occurrence of one or more of the events or circumstances described in the section entitled “</w:t>
      </w:r>
      <w:r>
        <w:rPr>
          <w:rFonts w:ascii="Times New Roman;Times;Serif" w:hAnsi="Times New Roman;Times;Serif"/>
          <w:b w:val="false"/>
          <w:i/>
          <w:caps w:val="false"/>
          <w:smallCaps w:val="false"/>
          <w:sz w:val="20"/>
          <w:bdr w:val="single" w:sz="12" w:space="1" w:color="000000"/>
        </w:rPr>
        <w:t>Risk Factors,”</w:t>
      </w:r>
      <w:r>
        <w:rPr>
          <w:rFonts w:ascii="Times New Roman;Times;Serif" w:hAnsi="Times New Roman;Times;Serif"/>
          <w:b w:val="false"/>
          <w:i w:val="false"/>
          <w:caps w:val="false"/>
          <w:smallCaps w:val="false"/>
          <w:sz w:val="20"/>
          <w:bdr w:val="single" w:sz="12" w:space="1" w:color="000000"/>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have identified material weaknesses in SEE ID’s internal control over financial reporting and may identify additional material weaknesses in the future or fail to maintain an effective system of internal control over financial reporting.</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Our success and our ability to grow the Company’s business depends on retaining and expanding the Company’s customer base.</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8058" w:type="dxa"/>
        <w:jc w:val="left"/>
        <w:tblInd w:w="0" w:type="dxa"/>
        <w:tblLayout w:type="fixed"/>
        <w:tblCellMar>
          <w:top w:w="0" w:type="dxa"/>
          <w:left w:w="0" w:type="dxa"/>
          <w:bottom w:w="0" w:type="dxa"/>
          <w:right w:w="0" w:type="dxa"/>
        </w:tblCellMar>
      </w:tblPr>
      <w:tblGrid>
        <w:gridCol w:w="68"/>
        <w:gridCol w:w="200"/>
        <w:gridCol w:w="7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pPr>
            <w:r>
              <w:rPr/>
              <w:t>We may be unable to maintain and enhance the Company’s brand and reputation.</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4683" w:type="dxa"/>
        <w:jc w:val="left"/>
        <w:tblInd w:w="0" w:type="dxa"/>
        <w:tblLayout w:type="fixed"/>
        <w:tblCellMar>
          <w:top w:w="0" w:type="dxa"/>
          <w:left w:w="0" w:type="dxa"/>
          <w:bottom w:w="0" w:type="dxa"/>
          <w:right w:w="0" w:type="dxa"/>
        </w:tblCellMar>
      </w:tblPr>
      <w:tblGrid>
        <w:gridCol w:w="68"/>
        <w:gridCol w:w="200"/>
        <w:gridCol w:w="4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pPr>
            <w:r>
              <w:rPr/>
              <w:t>The Company has a limited operating history.</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Security incidents or real or perceived errors, failures or bugs in the Company’s systems or website could impair its business.</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8613" w:type="dxa"/>
        <w:jc w:val="left"/>
        <w:tblInd w:w="0" w:type="dxa"/>
        <w:tblLayout w:type="fixed"/>
        <w:tblCellMar>
          <w:top w:w="0" w:type="dxa"/>
          <w:left w:w="0" w:type="dxa"/>
          <w:bottom w:w="0" w:type="dxa"/>
          <w:right w:w="0" w:type="dxa"/>
        </w:tblCellMar>
      </w:tblPr>
      <w:tblGrid>
        <w:gridCol w:w="68"/>
        <w:gridCol w:w="200"/>
        <w:gridCol w:w="83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8345" w:type="dxa"/>
            <w:tcBorders/>
            <w:vAlign w:val="center"/>
          </w:tcPr>
          <w:p>
            <w:pPr>
              <w:pStyle w:val="TableContents"/>
              <w:bidi w:val="0"/>
              <w:spacing w:before="0" w:after="283"/>
              <w:jc w:val="both"/>
              <w:rPr/>
            </w:pPr>
            <w:r>
              <w:rPr/>
              <w:t>The Company’s management team has limited experience managing a public company.</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The Company’s internal controls over financial reporting may not be effective and the Company’s independent registered public accounting firm may not be able to certify as to their effectiveness</w:t>
            </w:r>
          </w:p>
        </w:tc>
      </w:tr>
    </w:tbl>
    <w:p>
      <w:pPr>
        <w:pStyle w:val="TextBody"/>
        <w:bidi w:val="0"/>
        <w:spacing w:before="0" w:after="0"/>
        <w:ind w:left="765"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should carefully review and consider the risk factors set forth under the section entitled “</w:t>
      </w:r>
      <w:r>
        <w:rPr>
          <w:rFonts w:ascii="Times New Roman;Times;Serif" w:hAnsi="Times New Roman;Times;Serif"/>
          <w:b w:val="false"/>
          <w:i/>
          <w:caps w:val="false"/>
          <w:smallCaps w:val="false"/>
          <w:sz w:val="20"/>
          <w:bdr w:val="single" w:sz="12" w:space="1" w:color="000000"/>
        </w:rPr>
        <w:t>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a_004"/>
      <w:bookmarkEnd w:id="5"/>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230"/>
        <w:gridCol w:w="90"/>
        <w:gridCol w:w="7885"/>
      </w:tblGrid>
      <w:tr>
        <w:trPr/>
        <w:tc>
          <w:tcPr>
            <w:tcW w:w="2230" w:type="dxa"/>
            <w:tcBorders/>
            <w:vAlign w:val="center"/>
          </w:tcPr>
          <w:p>
            <w:pPr>
              <w:pStyle w:val="TableContents"/>
              <w:bidi w:val="0"/>
              <w:spacing w:before="0" w:after="283"/>
              <w:jc w:val="left"/>
              <w:rPr>
                <w:b/>
              </w:rPr>
            </w:pPr>
            <w:r>
              <w:rPr>
                <w:b/>
              </w:rPr>
              <w:t>Issuance of Common Stock</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ind w:left="0" w:right="0" w:hanging="180"/>
              <w:jc w:val="both"/>
              <w:rPr/>
            </w:pPr>
            <w:r>
              <w:rPr/>
              <w:t> </w:t>
            </w:r>
          </w:p>
        </w:tc>
      </w:tr>
      <w:tr>
        <w:trPr/>
        <w:tc>
          <w:tcPr>
            <w:tcW w:w="2230" w:type="dxa"/>
            <w:tcBorders/>
            <w:vAlign w:val="center"/>
          </w:tcPr>
          <w:p>
            <w:pPr>
              <w:pStyle w:val="TableContents"/>
              <w:bidi w:val="0"/>
              <w:spacing w:before="0" w:after="283"/>
              <w:jc w:val="left"/>
              <w:rPr/>
            </w:pPr>
            <w:r>
              <w:rPr/>
              <w:t>Shares of Common Stock offered by us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Up to 15,654,983 shares of Common Stock that may be issued upon exercise of the Warrants, consisting of: Up to 14,999,983 shares of Common Stock that are issuable upon the exercise of the Public Warrants. Up to 655,000 shares of Common Stock that are issuable upon the exercise of the Private Placement Warrants.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Exercise price of Warrants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$11.50 per share, subject to adjustment as described herein.</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Use of proceeds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We will receive up to an aggregate of approximately $180,032,304 from the exercise of the Warrants, assuming the exercise in full of all of the Warrants for cash. Unless we inform you otherwise in a prospectus supplement or free writing prospectus, we intend to use the net proceeds from the exercise of the Warrants for general corporate purposes.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ind w:left="0" w:right="0" w:hanging="180"/>
              <w:jc w:val="left"/>
              <w:rPr/>
            </w:pPr>
            <w:r>
              <w:rPr/>
              <w:t> </w:t>
            </w:r>
          </w:p>
        </w:tc>
      </w:tr>
      <w:tr>
        <w:trPr/>
        <w:tc>
          <w:tcPr>
            <w:tcW w:w="2230" w:type="dxa"/>
            <w:tcBorders/>
            <w:vAlign w:val="center"/>
          </w:tcPr>
          <w:p>
            <w:pPr>
              <w:pStyle w:val="TableContents"/>
              <w:bidi w:val="0"/>
              <w:spacing w:before="0" w:after="283"/>
              <w:jc w:val="left"/>
              <w:rPr>
                <w:b/>
              </w:rPr>
            </w:pPr>
            <w:r>
              <w:rPr>
                <w:b/>
              </w:rPr>
              <w:t>Resale of Common Stock and Certain Warrants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ind w:left="0" w:right="0" w:hanging="180"/>
              <w:jc w:val="left"/>
              <w:rPr/>
            </w:pPr>
            <w:r>
              <w:rPr/>
              <w:t> </w:t>
            </w:r>
          </w:p>
        </w:tc>
      </w:tr>
      <w:tr>
        <w:trPr/>
        <w:tc>
          <w:tcPr>
            <w:tcW w:w="2230" w:type="dxa"/>
            <w:tcBorders/>
            <w:vAlign w:val="center"/>
          </w:tcPr>
          <w:p>
            <w:pPr>
              <w:pStyle w:val="TableContents"/>
              <w:bidi w:val="0"/>
              <w:spacing w:before="0" w:after="283"/>
              <w:jc w:val="left"/>
              <w:rPr/>
            </w:pPr>
            <w:r>
              <w:rPr/>
              <w:t>Shares of Common Stock offered by the Selling Securityholders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Up to 29,701,559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5,524,624 New Circle Shares; and (6) up to 655,000 shares of Common Stock issuable upon exercise of the Private Placement Warrants.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ind w:left="0" w:right="0" w:hanging="180"/>
              <w:jc w:val="left"/>
              <w:rPr/>
            </w:pPr>
            <w:r>
              <w:rPr/>
              <w:t> </w:t>
            </w:r>
          </w:p>
        </w:tc>
      </w:tr>
      <w:tr>
        <w:trPr/>
        <w:tc>
          <w:tcPr>
            <w:tcW w:w="2230" w:type="dxa"/>
            <w:tcBorders/>
            <w:vAlign w:val="center"/>
          </w:tcPr>
          <w:p>
            <w:pPr>
              <w:pStyle w:val="TableContents"/>
              <w:bidi w:val="0"/>
              <w:spacing w:before="0" w:after="283"/>
              <w:jc w:val="left"/>
              <w:rPr/>
            </w:pPr>
            <w:r>
              <w:rPr/>
              <w:t>Warrants to purchase Common Stock by the Selling Securityholders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Up to 655,000 Private Placement Warrants: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Use of proceeds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We will not receive any proceeds from the sale of the shares of Common Stock or Warrants by the Selling Securityholders.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ind w:left="0" w:right="0" w:hanging="180"/>
              <w:jc w:val="both"/>
              <w:rPr/>
            </w:pPr>
            <w:r>
              <w:rPr/>
              <w:t> </w:t>
            </w:r>
          </w:p>
        </w:tc>
      </w:tr>
      <w:tr>
        <w:trPr/>
        <w:tc>
          <w:tcPr>
            <w:tcW w:w="2230" w:type="dxa"/>
            <w:tcBorders/>
            <w:vAlign w:val="center"/>
          </w:tcPr>
          <w:p>
            <w:pPr>
              <w:pStyle w:val="TableContents"/>
              <w:bidi w:val="0"/>
              <w:spacing w:before="0" w:after="283"/>
              <w:jc w:val="left"/>
              <w:rPr/>
            </w:pPr>
            <w:r>
              <w:rPr/>
              <w:t>Shares of Common Stock outstanding prior to exercise of all Warrants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sz w:val="20"/>
              </w:rPr>
            </w:pPr>
            <w:r>
              <w:rPr>
                <w:sz w:val="20"/>
              </w:rPr>
              <w:t>27,636,939 shares (as of September 4, 2025).</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ind w:left="0" w:right="0" w:hanging="180"/>
              <w:jc w:val="both"/>
              <w:rPr/>
            </w:pPr>
            <w:r>
              <w:rPr/>
              <w:t> </w:t>
            </w:r>
          </w:p>
        </w:tc>
      </w:tr>
      <w:tr>
        <w:trPr/>
        <w:tc>
          <w:tcPr>
            <w:tcW w:w="2230" w:type="dxa"/>
            <w:tcBorders/>
            <w:vAlign w:val="center"/>
          </w:tcPr>
          <w:p>
            <w:pPr>
              <w:pStyle w:val="TableContents"/>
              <w:bidi w:val="0"/>
              <w:spacing w:before="0" w:after="283"/>
              <w:jc w:val="left"/>
              <w:rPr/>
            </w:pPr>
            <w:r>
              <w:rPr/>
              <w:t>Shares of Common Stock outstanding assuming exercise of all Warrants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43,291,922 shares (as of September 4, 2025).</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Restrictions to sell</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Certain of our securityholders are subject to certain restrictions on transfer until the termination of applicable lockup periods. See the section entitled “</w:t>
            </w:r>
            <w:r>
              <w:rPr>
                <w:i/>
                <w:sz w:val="20"/>
              </w:rPr>
              <w:t>Plan of Distribution - Restrictions to Sell</w:t>
            </w:r>
            <w:r>
              <w:rPr>
                <w:sz w:val="20"/>
              </w:rPr>
              <w:t>.”</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Risk factors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Any investment in the securities offered hereby is speculative and involves a high degree of risk. You should carefully consider the information set forth under “</w:t>
            </w:r>
            <w:r>
              <w:rPr>
                <w:i/>
                <w:sz w:val="20"/>
              </w:rPr>
              <w:t>Risk Factors</w:t>
            </w:r>
            <w:r>
              <w:rPr>
                <w:sz w:val="20"/>
              </w:rPr>
              <w:t>.”</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Holders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As of September 4, 2025, there were approximately 284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Dividend Policy</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sz w:val="20"/>
              </w:rPr>
            </w:pPr>
            <w:r>
              <w:rPr>
                <w:sz w:val="20"/>
              </w:rPr>
              <w:t>We have no current plans to pay cash dividends.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both"/>
              <w:rPr/>
            </w:pPr>
            <w:r>
              <w:rPr/>
              <w:t> </w:t>
            </w:r>
          </w:p>
        </w:tc>
      </w:tr>
      <w:tr>
        <w:trPr/>
        <w:tc>
          <w:tcPr>
            <w:tcW w:w="2230" w:type="dxa"/>
            <w:tcBorders/>
            <w:vAlign w:val="center"/>
          </w:tcPr>
          <w:p>
            <w:pPr>
              <w:pStyle w:val="TableContents"/>
              <w:bidi w:val="0"/>
              <w:spacing w:before="0" w:after="283"/>
              <w:jc w:val="left"/>
              <w:rPr/>
            </w:pPr>
            <w:r>
              <w:rPr/>
              <w:t>Nasdaq ticker symbols</w:t>
            </w:r>
          </w:p>
        </w:tc>
        <w:tc>
          <w:tcPr>
            <w:tcW w:w="90"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jc w:val="left"/>
              <w:rPr/>
            </w:pPr>
            <w:r>
              <w:rPr/>
              <w:t>Common Stock: DAIC</w:t>
            </w:r>
          </w:p>
          <w:p>
            <w:pPr>
              <w:pStyle w:val="TableContents"/>
              <w:bidi w:val="0"/>
              <w:jc w:val="left"/>
              <w:rPr/>
            </w:pPr>
            <w:r>
              <w:rPr/>
              <w:t> </w:t>
            </w:r>
          </w:p>
          <w:p>
            <w:pPr>
              <w:pStyle w:val="TableContents"/>
              <w:bidi w:val="0"/>
              <w:spacing w:before="0" w:after="283"/>
              <w:jc w:val="left"/>
              <w:rPr/>
            </w:pPr>
            <w:r>
              <w:rPr/>
              <w:t>Warrants: DAIC.W</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to New Circle under the ELOC Agreement, or the actual gross proceeds resulting from those sales. We may not have access to the full amount available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ELOC Agreement provides that we may sell up to an aggregate of $50 million shares of Common Stock to the New Circle, only 5,524,624 shares of Common Stock that may be issued to the New Circle under the ELOC Agreement are being registered for resale by the New Circle under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sell to New Circle all of the 5,524,624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it becomes necessary for us to issue and sell to New Circle under the ELOC Agreement more than the 5,524,624 shares of Common Stock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delivery of a written notice to the Company, New Circle may from time to time increase (with such increase not effective until the sixty-first (61st) day after delivery of such notice) the Ownership Limitation to 9.99%. Any issuance and sale by us under the ELOC Agreement of a substantial amount of shares of our Common Stock in addition to the 5,524,624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rapid growth makes it difficult to evaluate our future prospects and increases the risk that we will not continue to grow at or near historical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largely a pre-revenue company, with revenue of $172,661 and $439,640 for the fiscal years ended December 31, 2024 and 2023, respectively, and revenue of $479,331 and $101,995 for the six-month periods ended June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growth of our business in new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most of our revenue has been derived from sales relating to research and development activities, including proof of concept demonstrations. For the first two quarters of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and results of operations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30 employees as of the last business day of the fiscal quarter ended June 30,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our future revenue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pStyle w:val="TextBody"/>
        <w:bidi w:val="0"/>
        <w:spacing w:before="0" w:after="0"/>
        <w:ind w:left="760" w:right="0" w:hanging="48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68"/>
        <w:gridCol w:w="200"/>
        <w:gridCol w:w="73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355" w:type="dxa"/>
            <w:tcBorders/>
            <w:vAlign w:val="center"/>
          </w:tcPr>
          <w:p>
            <w:pPr>
              <w:pStyle w:val="TableContents"/>
              <w:bidi w:val="0"/>
              <w:spacing w:before="0" w:after="283"/>
              <w:jc w:val="both"/>
              <w:rPr/>
            </w:pPr>
            <w:r>
              <w:rPr/>
              <w:t>potential customers’ commitments to or preferences for their existing vendors</w:t>
            </w:r>
          </w:p>
        </w:tc>
      </w:tr>
    </w:tbl>
    <w:p>
      <w:pPr>
        <w:pStyle w:val="TextBody"/>
        <w:bidi w:val="0"/>
        <w:spacing w:before="0" w:after="0"/>
        <w:ind w:left="760" w:right="0" w:hanging="48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68"/>
        <w:gridCol w:w="200"/>
        <w:gridCol w:w="3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left"/>
              <w:rPr/>
            </w:pPr>
            <w:r>
              <w:rPr/>
              <w:t>actual or perceived switching costs</w:t>
            </w:r>
          </w:p>
        </w:tc>
      </w:tr>
    </w:tbl>
    <w:p>
      <w:pPr>
        <w:pStyle w:val="TextBody"/>
        <w:bidi w:val="0"/>
        <w:spacing w:before="0" w:after="0"/>
        <w:ind w:left="760" w:right="0" w:hanging="48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68"/>
        <w:gridCol w:w="20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potential customers’ inexperience with or reluctance to adopt our solutions in their physical operations;</w:t>
            </w:r>
          </w:p>
        </w:tc>
      </w:tr>
    </w:tbl>
    <w:p>
      <w:pPr>
        <w:pStyle w:val="TextBody"/>
        <w:bidi w:val="0"/>
        <w:spacing w:before="0" w:after="0"/>
        <w:ind w:left="760" w:right="0" w:hanging="48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68"/>
        <w:gridCol w:w="200"/>
        <w:gridCol w:w="76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670" w:type="dxa"/>
            <w:tcBorders/>
            <w:vAlign w:val="center"/>
          </w:tcPr>
          <w:p>
            <w:pPr>
              <w:pStyle w:val="TableContents"/>
              <w:bidi w:val="0"/>
              <w:spacing w:before="0" w:after="283"/>
              <w:jc w:val="both"/>
              <w:rPr/>
            </w:pPr>
            <w:r>
              <w:rPr/>
              <w:t>our failure to help potential customers successfully deploy and use our solutions;</w:t>
            </w:r>
          </w:p>
        </w:tc>
      </w:tr>
    </w:tbl>
    <w:p>
      <w:pPr>
        <w:pStyle w:val="TextBody"/>
        <w:bidi w:val="0"/>
        <w:spacing w:before="0" w:after="0"/>
        <w:ind w:left="760" w:right="0" w:hanging="48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68"/>
        <w:gridCol w:w="200"/>
        <w:gridCol w:w="8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8915" w:type="dxa"/>
            <w:tcBorders/>
            <w:vAlign w:val="center"/>
          </w:tcPr>
          <w:p>
            <w:pPr>
              <w:pStyle w:val="TableContents"/>
              <w:bidi w:val="0"/>
              <w:spacing w:before="0" w:after="283"/>
              <w:jc w:val="both"/>
              <w:rPr/>
            </w:pPr>
            <w:r>
              <w:rPr/>
              <w:t>our failure to develop or expand relationships with existing partners or to attract new partners;</w:t>
            </w:r>
          </w:p>
        </w:tc>
      </w:tr>
    </w:tbl>
    <w:p>
      <w:pPr>
        <w:pStyle w:val="TextBody"/>
        <w:bidi w:val="0"/>
        <w:spacing w:before="0" w:after="0"/>
        <w:ind w:left="760" w:right="0" w:hanging="48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68"/>
        <w:gridCol w:w="200"/>
        <w:gridCol w:w="3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3800" w:type="dxa"/>
            <w:tcBorders/>
            <w:vAlign w:val="center"/>
          </w:tcPr>
          <w:p>
            <w:pPr>
              <w:pStyle w:val="TableContents"/>
              <w:bidi w:val="0"/>
              <w:spacing w:before="0" w:after="283"/>
              <w:jc w:val="both"/>
              <w:rPr/>
            </w:pPr>
            <w:r>
              <w:rPr/>
              <w:t>our failure to expand into new markets;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our failure to expand, retain, and motivate our engineering and research and development, sales and marketing, and other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the adoption of new, or the amendment of existing, laws, rules, or regulations that negatively impact the utility of, or that require difficult-to-implement changes to, our solutions; and</w:t>
            </w:r>
          </w:p>
        </w:tc>
      </w:tr>
    </w:tbl>
    <w:p>
      <w:pPr>
        <w:pStyle w:val="TextBody"/>
        <w:bidi w:val="0"/>
        <w:spacing w:before="0" w:after="0"/>
        <w:ind w:left="760" w:right="0" w:hanging="48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68"/>
        <w:gridCol w:w="200"/>
        <w:gridCol w:w="3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3440" w:type="dxa"/>
            <w:tcBorders/>
            <w:vAlign w:val="center"/>
          </w:tcPr>
          <w:p>
            <w:pPr>
              <w:pStyle w:val="TableContents"/>
              <w:bidi w:val="0"/>
              <w:spacing w:before="0" w:after="283"/>
              <w:jc w:val="both"/>
              <w:rPr/>
            </w:pPr>
            <w:r>
              <w:rPr/>
              <w:t>general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efforts to attract new customers are not successful, our business, financial condition,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and expand our relationships with existing customers, our financial position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estimates of market opportunity and forecasts of market growth included in this prospectus may prove to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execute our strategic initiatives or meet our long-term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limited number of joint design manufacturers and suppliers of manufacturing services and critical components within our supply chain for our IoT devices may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key supplier in Israel and the possibility of having to switch suppliers may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pipeline is immature, and as such, revenue forecasts and projections are likely to be unstable through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typical sales cycles to be nine to twelve months for most of our opportunities and are only six months into an aggressive pivot to active sales and marketing. As such, revenue forecasts and projections are likely to be unstable through fiscal year 2025,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length of our sales cycle can be unpredictable, particularly with respect to sales to large customers, and our sales efforts may require considerable time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adapt and respond effectively to rapidly changing technology, evolving industry standards, changing regulations, or changing customer needs, requirements or preferences, our Dot Cloud SaaS platform may become less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and increasing competition, and we may not be able to compete effectively, which could reduce demand for our solution and adversely affect our business, revenue growth, and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grow our business is dependent in part on strategic relationships we develop and maintain with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subscription or pricing models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pStyle w:val="TextBody"/>
        <w:bidi w:val="0"/>
        <w:spacing w:before="0" w:after="0"/>
        <w:ind w:left="760" w:right="0" w:hanging="48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Our ability to attract new customers, particularly large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68"/>
        <w:gridCol w:w="200"/>
        <w:gridCol w:w="7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055" w:type="dxa"/>
            <w:tcBorders/>
            <w:vAlign w:val="center"/>
          </w:tcPr>
          <w:p>
            <w:pPr>
              <w:pStyle w:val="TableContents"/>
              <w:bidi w:val="0"/>
              <w:spacing w:before="0" w:after="283"/>
              <w:jc w:val="both"/>
              <w:rPr/>
            </w:pPr>
            <w:r>
              <w:rPr/>
              <w:t>Our ability to retain and expand our relationships with existing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68"/>
        <w:gridCol w:w="200"/>
        <w:gridCol w:w="7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655" w:type="dxa"/>
            <w:tcBorders/>
            <w:vAlign w:val="center"/>
          </w:tcPr>
          <w:p>
            <w:pPr>
              <w:pStyle w:val="TableContents"/>
              <w:bidi w:val="0"/>
              <w:spacing w:before="0" w:after="283"/>
              <w:jc w:val="both"/>
              <w:rPr/>
            </w:pPr>
            <w:r>
              <w:rPr/>
              <w:t>Our ability to successfully expand our business domestically and internationally;</w:t>
            </w:r>
          </w:p>
        </w:tc>
      </w:tr>
    </w:tbl>
    <w:p>
      <w:pPr>
        <w:pStyle w:val="TextBody"/>
        <w:bidi w:val="0"/>
        <w:spacing w:before="0" w:after="0"/>
        <w:ind w:left="760" w:right="0" w:hanging="48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68"/>
        <w:gridCol w:w="200"/>
        <w:gridCol w:w="7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340" w:type="dxa"/>
            <w:tcBorders/>
            <w:vAlign w:val="center"/>
          </w:tcPr>
          <w:p>
            <w:pPr>
              <w:pStyle w:val="TableContents"/>
              <w:bidi w:val="0"/>
              <w:spacing w:before="0" w:after="283"/>
              <w:jc w:val="both"/>
              <w:rPr/>
            </w:pPr>
            <w:r>
              <w:rPr/>
              <w:t>Our ability to gain new channel partners and retain existing channel partners;</w:t>
            </w:r>
          </w:p>
        </w:tc>
      </w:tr>
    </w:tbl>
    <w:p>
      <w:pPr>
        <w:pStyle w:val="TextBody"/>
        <w:bidi w:val="0"/>
        <w:spacing w:before="0" w:after="0"/>
        <w:ind w:left="760" w:right="0" w:hanging="48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68"/>
        <w:gridCol w:w="200"/>
        <w:gridCol w:w="7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310" w:type="dxa"/>
            <w:tcBorders/>
            <w:vAlign w:val="center"/>
          </w:tcPr>
          <w:p>
            <w:pPr>
              <w:pStyle w:val="TableContents"/>
              <w:bidi w:val="0"/>
              <w:spacing w:before="0" w:after="283"/>
              <w:jc w:val="both"/>
              <w:rPr/>
            </w:pPr>
            <w:r>
              <w:rPr/>
              <w:t>Our ability to attract and retain key employees and other qualified personnel;</w:t>
            </w:r>
          </w:p>
        </w:tc>
      </w:tr>
    </w:tbl>
    <w:p>
      <w:pPr>
        <w:pStyle w:val="TextBody"/>
        <w:bidi w:val="0"/>
        <w:spacing w:before="0" w:after="0"/>
        <w:ind w:left="760" w:right="0" w:hanging="48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68"/>
        <w:gridCol w:w="20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595" w:type="dxa"/>
            <w:tcBorders/>
            <w:vAlign w:val="center"/>
          </w:tcPr>
          <w:p>
            <w:pPr>
              <w:pStyle w:val="TableContents"/>
              <w:bidi w:val="0"/>
              <w:spacing w:before="0" w:after="283"/>
              <w:jc w:val="both"/>
              <w:rPr/>
            </w:pPr>
            <w:r>
              <w:rPr/>
              <w:t>Fluctuations in the growth rate of the overall market that our solution addresses;</w:t>
            </w:r>
          </w:p>
        </w:tc>
      </w:tr>
    </w:tbl>
    <w:p>
      <w:pPr>
        <w:pStyle w:val="TextBody"/>
        <w:bidi w:val="0"/>
        <w:spacing w:before="0" w:after="0"/>
        <w:ind w:left="760" w:right="0" w:hanging="48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68"/>
        <w:gridCol w:w="200"/>
        <w:gridCol w:w="4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370" w:type="dxa"/>
            <w:tcBorders/>
            <w:vAlign w:val="center"/>
          </w:tcPr>
          <w:p>
            <w:pPr>
              <w:pStyle w:val="TableContents"/>
              <w:bidi w:val="0"/>
              <w:spacing w:before="0" w:after="283"/>
              <w:jc w:val="both"/>
              <w:rPr/>
            </w:pPr>
            <w:r>
              <w:rPr/>
              <w:t>Our ability to effectively manage our growth;</w:t>
            </w:r>
          </w:p>
        </w:tc>
      </w:tr>
    </w:tbl>
    <w:p>
      <w:pPr>
        <w:pStyle w:val="TextBody"/>
        <w:bidi w:val="0"/>
        <w:spacing w:before="0" w:after="0"/>
        <w:ind w:left="760" w:right="0" w:hanging="48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68"/>
        <w:gridCol w:w="200"/>
        <w:gridCol w:w="3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3755" w:type="dxa"/>
            <w:tcBorders/>
            <w:vAlign w:val="center"/>
          </w:tcPr>
          <w:p>
            <w:pPr>
              <w:pStyle w:val="TableContents"/>
              <w:bidi w:val="0"/>
              <w:spacing w:before="0" w:after="283"/>
              <w:jc w:val="both"/>
              <w:rPr/>
            </w:pPr>
            <w:r>
              <w:rPr/>
              <w:t>Fluctuations in the mix of our revenue;</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The amount and timing of operating expenses related to the maintenance and expansion of our business and operations, including continued investments in sales and marketing, research and development and general and administrative resources;</w:t>
            </w:r>
          </w:p>
        </w:tc>
      </w:tr>
    </w:tbl>
    <w:p>
      <w:pPr>
        <w:pStyle w:val="TextBody"/>
        <w:bidi w:val="0"/>
        <w:spacing w:before="0" w:after="0"/>
        <w:ind w:left="760" w:right="0" w:hanging="48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6380" w:type="dxa"/>
            <w:tcBorders/>
            <w:vAlign w:val="center"/>
          </w:tcPr>
          <w:p>
            <w:pPr>
              <w:pStyle w:val="TableContents"/>
              <w:bidi w:val="0"/>
              <w:spacing w:before="0" w:after="283"/>
              <w:jc w:val="both"/>
              <w:rPr/>
            </w:pPr>
            <w:r>
              <w:rPr/>
              <w:t>Network outages or performance degradation of our cloud service;</w:t>
            </w:r>
          </w:p>
        </w:tc>
      </w:tr>
    </w:tbl>
    <w:p>
      <w:pPr>
        <w:pStyle w:val="TextBody"/>
        <w:bidi w:val="0"/>
        <w:spacing w:before="0" w:after="0"/>
        <w:ind w:left="760" w:right="0" w:hanging="48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68"/>
        <w:gridCol w:w="200"/>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520" w:type="dxa"/>
            <w:tcBorders/>
            <w:vAlign w:val="center"/>
          </w:tcPr>
          <w:p>
            <w:pPr>
              <w:pStyle w:val="TableContents"/>
              <w:bidi w:val="0"/>
              <w:spacing w:before="0" w:after="283"/>
              <w:jc w:val="both"/>
              <w:rPr/>
            </w:pPr>
            <w:r>
              <w:rPr/>
              <w:t>Information security or cybersecurity breaches;</w:t>
            </w:r>
          </w:p>
        </w:tc>
      </w:tr>
    </w:tbl>
    <w:p>
      <w:pPr>
        <w:pStyle w:val="TextBody"/>
        <w:bidi w:val="0"/>
        <w:spacing w:before="0" w:after="0"/>
        <w:ind w:left="760" w:right="0" w:hanging="48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200"/>
        <w:gridCol w:w="4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910" w:type="dxa"/>
            <w:tcBorders/>
            <w:vAlign w:val="center"/>
          </w:tcPr>
          <w:p>
            <w:pPr>
              <w:pStyle w:val="TableContents"/>
              <w:bidi w:val="0"/>
              <w:spacing w:before="0" w:after="283"/>
              <w:jc w:val="both"/>
              <w:rPr/>
            </w:pPr>
            <w:r>
              <w:rPr/>
              <w:t>General economic, industry and market conditions;</w:t>
            </w:r>
          </w:p>
        </w:tc>
      </w:tr>
    </w:tbl>
    <w:p>
      <w:pPr>
        <w:pStyle w:val="TextBody"/>
        <w:bidi w:val="0"/>
        <w:spacing w:before="0" w:after="0"/>
        <w:ind w:left="760" w:right="0" w:hanging="48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68"/>
        <w:gridCol w:w="200"/>
        <w:gridCol w:w="9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605" w:type="dxa"/>
            <w:tcBorders/>
            <w:vAlign w:val="center"/>
          </w:tcPr>
          <w:p>
            <w:pPr>
              <w:pStyle w:val="TableContents"/>
              <w:bidi w:val="0"/>
              <w:spacing w:before="0" w:after="283"/>
              <w:jc w:val="both"/>
              <w:rPr/>
            </w:pPr>
            <w:r>
              <w:rPr/>
              <w:t>Changes in law and regulations affecting our and our customers’ businesses or product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Increases or decreases in the number of subscriptions or pricing changes upon any renewals of customer agreements;</w:t>
            </w:r>
          </w:p>
        </w:tc>
      </w:tr>
    </w:tbl>
    <w:p>
      <w:pPr>
        <w:pStyle w:val="TextBody"/>
        <w:bidi w:val="0"/>
        <w:spacing w:before="0" w:after="0"/>
        <w:ind w:left="760" w:right="0" w:hanging="48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68"/>
        <w:gridCol w:w="200"/>
        <w:gridCol w:w="5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5690" w:type="dxa"/>
            <w:tcBorders/>
            <w:vAlign w:val="center"/>
          </w:tcPr>
          <w:p>
            <w:pPr>
              <w:pStyle w:val="TableContents"/>
              <w:bidi w:val="0"/>
              <w:spacing w:before="0" w:after="283"/>
              <w:jc w:val="both"/>
              <w:rPr/>
            </w:pPr>
            <w:r>
              <w:rPr/>
              <w:t>Changes in our pricing policies or those of our competitors;</w:t>
            </w:r>
          </w:p>
        </w:tc>
      </w:tr>
    </w:tbl>
    <w:p>
      <w:pPr>
        <w:pStyle w:val="TextBody"/>
        <w:bidi w:val="0"/>
        <w:spacing w:before="0" w:after="0"/>
        <w:ind w:left="760" w:right="0" w:hanging="48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68"/>
        <w:gridCol w:w="200"/>
        <w:gridCol w:w="58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5825" w:type="dxa"/>
            <w:tcBorders/>
            <w:vAlign w:val="center"/>
          </w:tcPr>
          <w:p>
            <w:pPr>
              <w:pStyle w:val="TableContents"/>
              <w:bidi w:val="0"/>
              <w:spacing w:before="0" w:after="283"/>
              <w:jc w:val="both"/>
              <w:rPr/>
            </w:pPr>
            <w:r>
              <w:rPr/>
              <w:t>The budgeting cycles and purchasing practices of customers;</w:t>
            </w:r>
          </w:p>
        </w:tc>
      </w:tr>
    </w:tbl>
    <w:p>
      <w:pPr>
        <w:pStyle w:val="TextBody"/>
        <w:bidi w:val="0"/>
        <w:spacing w:before="0" w:after="0"/>
        <w:ind w:left="760" w:right="0" w:hanging="48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68"/>
        <w:gridCol w:w="200"/>
        <w:gridCol w:w="8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8195" w:type="dxa"/>
            <w:tcBorders/>
            <w:vAlign w:val="center"/>
          </w:tcPr>
          <w:p>
            <w:pPr>
              <w:pStyle w:val="TableContents"/>
              <w:bidi w:val="0"/>
              <w:spacing w:before="0" w:after="283"/>
              <w:jc w:val="both"/>
              <w:rPr/>
            </w:pPr>
            <w:r>
              <w:rPr/>
              <w:t>Decisions by potential customers to purchase alternative solutions from other vendors;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Insolvency or credit difficulties confronting our customers, which could adversely affect their ability to purchase or pay for a subscription to use our solution;</w:t>
            </w:r>
          </w:p>
        </w:tc>
      </w:tr>
    </w:tbl>
    <w:p>
      <w:pPr>
        <w:pStyle w:val="TextBody"/>
        <w:bidi w:val="0"/>
        <w:spacing w:before="0" w:after="0"/>
        <w:ind w:left="760" w:right="0" w:hanging="48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6575" w:type="dxa"/>
            <w:tcBorders/>
            <w:vAlign w:val="center"/>
          </w:tcPr>
          <w:p>
            <w:pPr>
              <w:pStyle w:val="TableContents"/>
              <w:bidi w:val="0"/>
              <w:spacing w:before="0" w:after="283"/>
              <w:jc w:val="both"/>
              <w:rPr/>
            </w:pPr>
            <w:r>
              <w:rPr/>
              <w:t>The cost and potential outcomes of future litigation or other disputes;</w:t>
            </w:r>
          </w:p>
        </w:tc>
      </w:tr>
    </w:tbl>
    <w:p>
      <w:pPr>
        <w:pStyle w:val="TextBody"/>
        <w:bidi w:val="0"/>
        <w:spacing w:before="0" w:after="0"/>
        <w:ind w:left="760" w:right="0" w:hanging="48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68"/>
        <w:gridCol w:w="200"/>
        <w:gridCol w:w="7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055" w:type="dxa"/>
            <w:tcBorders/>
            <w:vAlign w:val="center"/>
          </w:tcPr>
          <w:p>
            <w:pPr>
              <w:pStyle w:val="TableContents"/>
              <w:bidi w:val="0"/>
              <w:spacing w:before="0" w:after="283"/>
              <w:jc w:val="both"/>
              <w:rPr/>
            </w:pPr>
            <w:r>
              <w:rPr/>
              <w:t>Future accounting pronouncements or changes in our accounting policies;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Our overall effective tax rate, including impacts caused by any reorganization in our corporate tax structure and any new legislation or regulatory developments;</w:t>
            </w:r>
          </w:p>
        </w:tc>
      </w:tr>
    </w:tbl>
    <w:p>
      <w:pPr>
        <w:pStyle w:val="TextBody"/>
        <w:bidi w:val="0"/>
        <w:spacing w:before="0" w:after="0"/>
        <w:ind w:left="760" w:right="0" w:hanging="48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200"/>
        <w:gridCol w:w="4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910" w:type="dxa"/>
            <w:tcBorders/>
            <w:vAlign w:val="center"/>
          </w:tcPr>
          <w:p>
            <w:pPr>
              <w:pStyle w:val="TableContents"/>
              <w:bidi w:val="0"/>
              <w:spacing w:before="0" w:after="283"/>
              <w:jc w:val="both"/>
              <w:rPr/>
            </w:pPr>
            <w:r>
              <w:rPr/>
              <w:t>Fluctuations in stock-based compensation expense;</w:t>
            </w:r>
          </w:p>
        </w:tc>
      </w:tr>
    </w:tbl>
    <w:p>
      <w:pPr>
        <w:pStyle w:val="TextBody"/>
        <w:bidi w:val="0"/>
        <w:spacing w:before="0" w:after="0"/>
        <w:ind w:left="760" w:right="0" w:hanging="48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335" w:type="dxa"/>
            <w:tcBorders/>
            <w:vAlign w:val="center"/>
          </w:tcPr>
          <w:p>
            <w:pPr>
              <w:pStyle w:val="TableContents"/>
              <w:bidi w:val="0"/>
              <w:spacing w:before="0" w:after="283"/>
              <w:jc w:val="both"/>
              <w:rPr/>
            </w:pPr>
            <w:r>
              <w:rPr/>
              <w:t>Trade protection measures (such as tariffs and duties) and import or export licensing requirements;</w:t>
            </w:r>
          </w:p>
        </w:tc>
      </w:tr>
    </w:tbl>
    <w:p>
      <w:pPr>
        <w:pStyle w:val="TextBody"/>
        <w:bidi w:val="0"/>
        <w:spacing w:before="0" w:after="0"/>
        <w:ind w:left="760" w:right="0" w:hanging="48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68"/>
        <w:gridCol w:w="200"/>
        <w:gridCol w:w="46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4625" w:type="dxa"/>
            <w:tcBorders/>
            <w:vAlign w:val="center"/>
          </w:tcPr>
          <w:p>
            <w:pPr>
              <w:pStyle w:val="TableContents"/>
              <w:bidi w:val="0"/>
              <w:spacing w:before="0" w:after="283"/>
              <w:jc w:val="both"/>
              <w:rPr/>
            </w:pPr>
            <w:r>
              <w:rPr/>
              <w:t>Fluctuations in foreign currency exchange rates;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Our timing and success in introducing new features and Applications to the market, including integrations of our solution with additional third-party software and devices;</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pPr>
            <w:r>
              <w:rPr/>
              <w:t>The actions of our competitors or any other change in the competitive dynamics of our industry, including consolidation among competitors, customers or strategic partners;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ability to successfully manage and realize the anticipated benefits of any future acquisitions of businesses, solutions, or technologies;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timing of expenses related to the development or acquisition of businesses, solutions, or technologies and potential future charges for impairment of goodwill from acquired companies; or</w:t>
            </w:r>
          </w:p>
        </w:tc>
      </w:tr>
    </w:tbl>
    <w:p>
      <w:pPr>
        <w:pStyle w:val="TextBody"/>
        <w:bidi w:val="0"/>
        <w:spacing w:before="0" w:after="0"/>
        <w:ind w:left="760" w:right="0" w:hanging="48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68"/>
        <w:gridCol w:w="200"/>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pPr>
            <w:r>
              <w:rPr/>
              <w:t>Other risk factors described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achieve and sustain a level of liquidity sufficient to support our operations and fulfill our obligations,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related to third-party financing of our customers’ subscriptions to our Dot Cloud SaaS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and expand our business if we are not able to hire, retain and manage qualified personnel, and in particular, our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and enhance our brand,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maintain our company culture as we grow, our success and our business and competitive position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Challenges in implementation or incorrect use of, or our customers’ failure to update, our solution could result in customer dissatisfaction and negatively affect our business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fund our business and support our growth, and any inability to generate or obtain such capital may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warranty and recall claims that may increase the costs of doing business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currency exchange rates fluctuate substantially in the future, the results of our operations, which are reported in U.S. dollars,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Managing the supply of our devices is complex. Insufficient supply and inventory may result in lost sales opportunities or delayed revenue, while excess inventory may harm our gross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impacted by U.S. and global market and economic conditions adverse to industries that depend on physical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have serious adverse consequences on our future revenue and financial condition and result in losses that may not be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operations are international in scope, and we plan further geographic expansion, creating a variety of operational 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international business and operations involve a variety of risks, including:</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slower than anticipated availability and adoption of cloud and hybrid infrastructures by international businesses;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tc>
      </w:tr>
    </w:tbl>
    <w:p>
      <w:pPr>
        <w:pStyle w:val="TextBody"/>
        <w:bidi w:val="0"/>
        <w:spacing w:before="0" w:after="0"/>
        <w:ind w:left="760" w:right="0" w:hanging="48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68"/>
        <w:gridCol w:w="200"/>
        <w:gridCol w:w="6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the need to adapt and localize our solution for specific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greater difficulty collecting accounts receivable, longer sales and payment cycles, and different pricing environments;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new, evolving, potentially inconsistent and often more stringent regulations relating to privacy, data protection and data security and the unauthorized use of, or access to, commercial, biometric, and/or personal information, particularly in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differing labor regulations, including with respect to wage and hour laws, that make it harder to do business in certain regions such as Europe;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difficulties in managing a business in new markets with diverse cultures, languages, customs, legal systems, alternative dispute systems, and regulatory systems;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increased travel, real estate, infrastructure, legal and compliance costs associated with international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68"/>
        <w:gridCol w:w="200"/>
        <w:gridCol w:w="67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increased financial accounting and reporting burdens and complexities;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currency exchange rate fluctuations and the resulting effect on our revenue and expenses, and the cost and risk of entering into hedging transactions if we chose to do so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limitations on our ability to reinvest earnings from operations in one country to fund the capital needs of our operations in other countries;</w:t>
            </w:r>
          </w:p>
        </w:tc>
      </w:tr>
    </w:tbl>
    <w:p>
      <w:pPr>
        <w:pStyle w:val="TextBody"/>
        <w:bidi w:val="0"/>
        <w:spacing w:before="0" w:after="0"/>
        <w:ind w:left="760" w:right="0" w:hanging="48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68"/>
        <w:gridCol w:w="200"/>
        <w:gridCol w:w="40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pPr>
            <w:r>
              <w:rPr/>
              <w:t>new and different sources of competition;</w:t>
            </w:r>
          </w:p>
        </w:tc>
      </w:tr>
    </w:tbl>
    <w:p>
      <w:pPr>
        <w:pStyle w:val="TextBody"/>
        <w:bidi w:val="0"/>
        <w:spacing w:before="0" w:after="0"/>
        <w:ind w:left="760" w:right="0" w:hanging="48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68"/>
        <w:gridCol w:w="20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laws and business practices favoring local competitors or general market preferences for local vendors;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limited or insufficient intellectual property protection or difficulties obtaining, maintaining, protecting, or enforcing our intellectual property rights, including our trademarks and patents, or obtaining necessary intellectual property licenses from third parties;</w:t>
            </w:r>
          </w:p>
        </w:tc>
      </w:tr>
    </w:tbl>
    <w:p>
      <w:pPr>
        <w:pStyle w:val="TextBody"/>
        <w:bidi w:val="0"/>
        <w:spacing w:before="0" w:after="0"/>
        <w:ind w:left="760" w:right="0" w:hanging="48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68"/>
        <w:gridCol w:w="200"/>
        <w:gridCol w:w="3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both"/>
              <w:rPr/>
            </w:pPr>
            <w:r>
              <w:rPr/>
              <w:t>political instability or terrorist activities;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exposure to liabilities under anti-corruption and anti-money laundering laws, including the U.S. Foreign Corrupt Practices Act (FCPA), U.S. domestic bribery laws, the UK Bribery Act, and similar laws and regulations in other jurisdictions;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burdens of complying with U.S. and non-U.S. export control laws and regulations, including Export Administration Regulations (EAR); or</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burdens of complying with laws and regulations related to taxation; and regulations, adverse tax burdens, and foreign exchange controls that could make it difficult to repatriate earnings and cash.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invest substantial time and resources to further expand our international operations and are unable to do so successfully and in a timely manner, our business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wholly-owned subsidiary in Puerto Rico has been granted certain incentives under Act 60 (described below), and the validity of these incentives are conditioned on our continuous compliance with the terms and conditions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or expect to enter into, various arrangements with our subsidiary in Puerto Rico regarding the intercompany provision of services. Applicable taxing authorities could challenge the prices for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Regulatory or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applicable tax laws, regulations or administrative interpretations thereof may materially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changes in applicable tax laws, regulations, or administrative interpretations thereof. For example, the U.S. federal tax legislation commonly referred to as the Tax Cuts and Jobs Act (the “</w:t>
      </w:r>
      <w:r>
        <w:rPr>
          <w:rFonts w:ascii="Times New Roman;Times;Serif" w:hAnsi="Times New Roman;Times;Serif"/>
          <w:b/>
          <w:i/>
          <w:caps w:val="false"/>
          <w:smallCaps w:val="false"/>
          <w:sz w:val="20"/>
        </w:rPr>
        <w:t>TCJA</w:t>
      </w:r>
      <w:r>
        <w:rPr>
          <w:rFonts w:ascii="Times New Roman;Times;Serif" w:hAnsi="Times New Roman;Times;Serif"/>
          <w:b w:val="false"/>
          <w:i w:val="false"/>
          <w:caps w:val="false"/>
          <w:smallCaps w:val="false"/>
          <w:sz w:val="20"/>
        </w:rPr>
        <w:t>”),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Times;Serif" w:hAnsi="Times New Roman;Times;Serif"/>
          <w:b/>
          <w:i/>
          <w:caps w:val="false"/>
          <w:smallCaps w:val="false"/>
          <w:sz w:val="20"/>
        </w:rPr>
        <w:t>CARES Act</w:t>
      </w:r>
      <w:r>
        <w:rPr>
          <w:rFonts w:ascii="Times New Roman;Times;Serif" w:hAnsi="Times New Roman;Times;Serif"/>
          <w:b w:val="false"/>
          <w:i w:val="false"/>
          <w:caps w:val="false"/>
          <w:smallCaps w:val="false"/>
          <w:sz w:val="20"/>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federal government or independent standards organizations may implement significant regulations or standards that could adversely affect our ability to produce or market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and regulations applicable to our business could subject us to fines and penalties and could also cause us to lose customers or otherwise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before="0" w:after="0"/>
        <w:ind w:left="760" w:right="0" w:hanging="48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200"/>
        <w:gridCol w:w="4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pPr>
            <w:r>
              <w:rPr/>
              <w:t>investigations, enforcement actions, and sanctions;</w:t>
            </w:r>
          </w:p>
        </w:tc>
      </w:tr>
    </w:tbl>
    <w:p>
      <w:pPr>
        <w:pStyle w:val="TextBody"/>
        <w:bidi w:val="0"/>
        <w:spacing w:before="0" w:after="0"/>
        <w:ind w:left="760" w:right="0" w:hanging="48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68"/>
        <w:gridCol w:w="200"/>
        <w:gridCol w:w="47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pPr>
            <w:r>
              <w:rPr/>
              <w:t>mandatory changes to our solutions and services;</w:t>
            </w:r>
          </w:p>
        </w:tc>
      </w:tr>
    </w:tbl>
    <w:p>
      <w:pPr>
        <w:pStyle w:val="TextBody"/>
        <w:bidi w:val="0"/>
        <w:spacing w:before="0" w:after="0"/>
        <w:ind w:left="760" w:right="0" w:hanging="48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68"/>
        <w:gridCol w:w="200"/>
        <w:gridCol w:w="42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pPr>
            <w:r>
              <w:rPr/>
              <w:t>disgorgement of profits, fines, and damages;</w:t>
            </w:r>
          </w:p>
        </w:tc>
      </w:tr>
    </w:tbl>
    <w:p>
      <w:pPr>
        <w:pStyle w:val="TextBody"/>
        <w:bidi w:val="0"/>
        <w:spacing w:before="0" w:after="0"/>
        <w:ind w:left="760" w:right="0" w:hanging="48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200"/>
        <w:gridCol w:w="4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civil and criminal penalties or injunctions;</w:t>
            </w:r>
          </w:p>
        </w:tc>
      </w:tr>
    </w:tbl>
    <w:p>
      <w:pPr>
        <w:pStyle w:val="TextBody"/>
        <w:bidi w:val="0"/>
        <w:spacing w:before="0" w:after="0"/>
        <w:ind w:left="760" w:right="0" w:hanging="48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68"/>
        <w:gridCol w:w="200"/>
        <w:gridCol w:w="5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claims for damages by our customers or channel partners;</w:t>
            </w:r>
          </w:p>
        </w:tc>
      </w:tr>
    </w:tbl>
    <w:p>
      <w:pPr>
        <w:pStyle w:val="TextBody"/>
        <w:bidi w:val="0"/>
        <w:spacing w:before="0" w:after="0"/>
        <w:ind w:left="760" w:right="0" w:hanging="48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68"/>
        <w:gridCol w:w="200"/>
        <w:gridCol w:w="2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pPr>
            <w:r>
              <w:rPr/>
              <w:t>termination of contracts;</w:t>
            </w:r>
          </w:p>
        </w:tc>
      </w:tr>
    </w:tbl>
    <w:p>
      <w:pPr>
        <w:pStyle w:val="TextBody"/>
        <w:bidi w:val="0"/>
        <w:spacing w:before="0" w:after="0"/>
        <w:ind w:left="760" w:right="0" w:hanging="48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68"/>
        <w:gridCol w:w="200"/>
        <w:gridCol w:w="3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loss of intellectual property rights; and</w:t>
            </w:r>
          </w:p>
        </w:tc>
      </w:tr>
    </w:tbl>
    <w:p>
      <w:pPr>
        <w:pStyle w:val="TextBody"/>
        <w:bidi w:val="0"/>
        <w:spacing w:before="0" w:after="0"/>
        <w:ind w:left="760" w:right="0" w:hanging="48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68"/>
        <w:gridCol w:w="200"/>
        <w:gridCol w:w="72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pPr>
            <w:r>
              <w:rPr/>
              <w:t>temporary or permanent debarment from sales to government organizations.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requirements of applicable environmental legislation and regulation could have a material adverse effect on our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our revenue is generated by sales to government entities, which are subject to a number of challenges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government entities are subject to a number of risks. Selling to government entities can be highly competitive, expensive, and time-consuming, often requiring significant upfront time and expense without any assurance that these efforts will generate a sale. Despite our efforts, we may not be able to obtain the requisite certifications to sell to certain government entities, and government certification requirements for products like ours may change, thereby restricting our ability to sell to the U.S. federal government, state governments, or non-U.S. government sectors until we have attained the appropriate certification. Government demand and payment for our products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and any unfavorable audit could result in the government refusing to continue buying our subscriptions, a reduction of revenue, or fines or civil or criminal liability if the audit uncovers improper or illegal activities,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regulations, or contractual provisions applicable to our business could cause us to lose government customers or our ability to contract with the U.S. and other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conflict minerals may cause us to incur additional expenses and could limit the supply and increase the costs of certain metals used in the manufacturing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changes in the use of artificial intelligence are unpredictable and therefore we are not able to accurately predict how potential regulatory changes in artificial intelligence space may affect our current and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fines, penalties, or other costs, either directly or vicariously, if any of our partners, resellers, contractors, vendors or other third parties fail to adhere to their compliance obligations under our policies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Cybersecurity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or real or perceived errors, failures or bugs in our systems or our website could impair our operations, result in loss of personal customer information, damage our reputation, and brand,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Abuse or misuse of our internal platform controls and system tools could cause significant harm to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performance problems with either our technology and infrastructure or our data center hosting facilities could, among other things:</w:t>
      </w:r>
    </w:p>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result in the destruction or disruption of any of our critical business operations, controls, or procedures or information technology systems;</w:t>
            </w:r>
          </w:p>
        </w:tc>
      </w:tr>
    </w:tbl>
    <w:p>
      <w:pPr>
        <w:pStyle w:val="TextBody"/>
        <w:bidi w:val="0"/>
        <w:spacing w:before="0" w:after="0"/>
        <w:ind w:left="760" w:right="0" w:hanging="48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200"/>
        <w:gridCol w:w="6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severely affect our ability to conduct normal business operations;</w:t>
            </w:r>
          </w:p>
        </w:tc>
      </w:tr>
    </w:tbl>
    <w:p>
      <w:pPr>
        <w:pStyle w:val="TextBody"/>
        <w:bidi w:val="0"/>
        <w:spacing w:before="0" w:after="0"/>
        <w:ind w:left="760" w:right="0" w:hanging="48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68"/>
        <w:gridCol w:w="200"/>
        <w:gridCol w:w="7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result in a material weakness in our internal control over financial reporting;</w:t>
            </w:r>
          </w:p>
        </w:tc>
      </w:tr>
    </w:tbl>
    <w:p>
      <w:pPr>
        <w:pStyle w:val="TextBody"/>
        <w:bidi w:val="0"/>
        <w:spacing w:before="0" w:after="0"/>
        <w:ind w:left="760" w:right="0" w:hanging="48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200"/>
        <w:gridCol w:w="5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cause our customers to terminate their subscriptions;</w:t>
            </w:r>
          </w:p>
        </w:tc>
      </w:tr>
    </w:tbl>
    <w:p>
      <w:pPr>
        <w:pStyle w:val="TextBody"/>
        <w:bidi w:val="0"/>
        <w:spacing w:before="0" w:after="0"/>
        <w:ind w:left="760" w:right="0" w:hanging="48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68"/>
        <w:gridCol w:w="200"/>
        <w:gridCol w:w="5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pPr>
            <w:r>
              <w:rPr/>
              <w:t>result in our issuing credits or paying penalties or fines;</w:t>
            </w:r>
          </w:p>
        </w:tc>
      </w:tr>
    </w:tbl>
    <w:p>
      <w:pPr>
        <w:pStyle w:val="TextBody"/>
        <w:bidi w:val="0"/>
        <w:spacing w:before="0" w:after="0"/>
        <w:ind w:left="760" w:right="0" w:hanging="48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68"/>
        <w:gridCol w:w="200"/>
        <w:gridCol w:w="30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pPr>
            <w:r>
              <w:rPr/>
              <w:t>harm our brand and reputation;</w:t>
            </w:r>
          </w:p>
        </w:tc>
      </w:tr>
    </w:tbl>
    <w:p>
      <w:pPr>
        <w:pStyle w:val="TextBody"/>
        <w:bidi w:val="0"/>
        <w:spacing w:before="0" w:after="0"/>
        <w:ind w:left="760" w:right="0" w:hanging="48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68"/>
        <w:gridCol w:w="200"/>
        <w:gridCol w:w="7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adversely affect our renewal rates or our ability to attract new customers; or</w:t>
            </w:r>
          </w:p>
        </w:tc>
      </w:tr>
    </w:tbl>
    <w:p>
      <w:pPr>
        <w:pStyle w:val="TextBody"/>
        <w:bidi w:val="0"/>
        <w:spacing w:before="0" w:after="0"/>
        <w:ind w:left="760" w:right="0" w:hanging="48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68"/>
        <w:gridCol w:w="200"/>
        <w:gridCol w:w="5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cause our solution to be perceived as not being secure.</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prevent or address the misappropriation of our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software for certain essential financial and operational services, and a failure or disruption in these services could materially and adversely affect our ability to manage our business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our proprietary technology and intellectual property rights could substantially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our patents or patent applications will be enforceable or otherwise upheld as 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Confidentiality agreements with employees and others may not adequately prevent disclosure of trade secrets and other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intellectual property disputes, which are costly and may subject us to significant liability and increased costs of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exposure to risks associated with the use of intellectual property may be increased as a result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Issues in the use of artificial intelligence (“AI”) in our solution may result in reputational harm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negatively affect our ability to sell subscriptions to our Dot Cloud SaaS platform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misappropriation, violation, and other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and Public Warrants may be highly volatile and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or presented elsewhere in this proxy statement/prospectus, and, among others, the following:</w:t>
      </w:r>
    </w:p>
    <w:p>
      <w:pPr>
        <w:pStyle w:val="TextBody"/>
        <w:bidi w:val="0"/>
        <w:spacing w:before="0" w:after="0"/>
        <w:ind w:left="760" w:right="0" w:hanging="48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68"/>
        <w:gridCol w:w="200"/>
        <w:gridCol w:w="9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our operating and financial performance, quarterly or annual earnings relative to similar companies;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publication of research reports or news stories about the us, our competitors or our industry, or positive or negative recommendations or withdrawal of research coverage by securities analysts;</w:t>
            </w:r>
          </w:p>
        </w:tc>
      </w:tr>
    </w:tbl>
    <w:p>
      <w:pPr>
        <w:pStyle w:val="TextBody"/>
        <w:bidi w:val="0"/>
        <w:spacing w:before="0" w:after="0"/>
        <w:ind w:left="760" w:right="0" w:hanging="48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68"/>
        <w:gridCol w:w="200"/>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the public’s reaction to our press-releases, other public announcements and filings with the SEC;</w:t>
            </w:r>
          </w:p>
        </w:tc>
      </w:tr>
    </w:tbl>
    <w:p>
      <w:pPr>
        <w:pStyle w:val="TextBody"/>
        <w:bidi w:val="0"/>
        <w:spacing w:before="0" w:after="0"/>
        <w:ind w:left="760" w:right="0" w:hanging="48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announcements by us or our competitors of acquisitions, business plans or commercial relationships;</w:t>
            </w:r>
          </w:p>
        </w:tc>
      </w:tr>
    </w:tbl>
    <w:p>
      <w:pPr>
        <w:pStyle w:val="TextBody"/>
        <w:bidi w:val="0"/>
        <w:spacing w:before="0" w:after="0"/>
        <w:ind w:left="760" w:right="0" w:hanging="48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68"/>
        <w:gridCol w:w="20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any major change in the Board or senior management;</w:t>
            </w:r>
          </w:p>
        </w:tc>
      </w:tr>
    </w:tbl>
    <w:p>
      <w:pPr>
        <w:pStyle w:val="TextBody"/>
        <w:bidi w:val="0"/>
        <w:spacing w:before="0" w:after="0"/>
        <w:ind w:left="760" w:right="0" w:hanging="48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00"/>
        <w:gridCol w:w="93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sales of Common Stock by the Company, our directors, executive officers, principal shareholders;</w:t>
            </w:r>
          </w:p>
        </w:tc>
      </w:tr>
    </w:tbl>
    <w:p>
      <w:pPr>
        <w:pStyle w:val="TextBody"/>
        <w:bidi w:val="0"/>
        <w:spacing w:before="0" w:after="0"/>
        <w:ind w:left="760" w:right="0" w:hanging="48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68"/>
        <w:gridCol w:w="200"/>
        <w:gridCol w:w="9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adverse market reaction to any indebtedness we may incur or securities we may issue in the future;</w:t>
            </w:r>
          </w:p>
        </w:tc>
      </w:tr>
    </w:tbl>
    <w:p>
      <w:pPr>
        <w:pStyle w:val="TextBody"/>
        <w:bidi w:val="0"/>
        <w:spacing w:before="0" w:after="0"/>
        <w:ind w:left="760" w:right="0" w:hanging="48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68"/>
        <w:gridCol w:w="200"/>
        <w:gridCol w:w="72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pPr>
            <w:r>
              <w:rPr/>
              <w:t>short sales, hedging and other derivative transactions in our Common Stock;</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exposure to capital market risks related to changes in interest rates, realized investment losses, credit spreads, equity prices, foreign exchange rates and performance of insurance-linked investments;</w:t>
            </w:r>
          </w:p>
        </w:tc>
      </w:tr>
    </w:tbl>
    <w:p>
      <w:pPr>
        <w:pStyle w:val="TextBody"/>
        <w:bidi w:val="0"/>
        <w:spacing w:before="0" w:after="0"/>
        <w:ind w:left="760" w:right="0" w:hanging="48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pPr>
            <w:r>
              <w:rPr/>
              <w:t>our creditworthiness, financial condition, performance and prospects;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dividend policy and whether dividends on our Common Stock have been, and are likely to be, declared and paid from time to time;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perceptions of the investment opportunity associated with our Common Stock relative to other investment alternatives;</w:t>
            </w:r>
          </w:p>
        </w:tc>
      </w:tr>
    </w:tbl>
    <w:p>
      <w:pPr>
        <w:pStyle w:val="TextBody"/>
        <w:bidi w:val="0"/>
        <w:spacing w:before="0" w:after="0"/>
        <w:ind w:left="760" w:right="0" w:hanging="48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68"/>
        <w:gridCol w:w="200"/>
        <w:gridCol w:w="3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pPr>
            <w:r>
              <w:rPr/>
              <w:t>regulatory or legal developments;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tc>
      </w:tr>
    </w:tbl>
    <w:p>
      <w:pPr>
        <w:pStyle w:val="TextBody"/>
        <w:bidi w:val="0"/>
        <w:spacing w:before="0" w:after="0"/>
        <w:ind w:left="760" w:right="0" w:hanging="48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68"/>
        <w:gridCol w:w="20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pPr>
            <w:r>
              <w:rPr/>
              <w:t>conditions or trends in our industry, geographies or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200"/>
        <w:gridCol w:w="5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threatened or actual litigation or government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subject to additional laws, regulations, and stock exchange listing standards, which impose additional costs on us and may strain our resources and divert our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we entered into the Registration Rights and Lock-Up Agreement with each of SEE ID and certain of the holders party thereto, pursuant to, and on the terms and conditions of which, subject to certain exceptions, such holders shall not transfer or make any announcement of any intention to effect a transfer of any of the equity interests of securities of the Company beneficially owned by the holder during the period ending 180 days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applicable expiration of the lock-up period, the holders subject to the Registration Rights and Lock-Up Agreement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restrictions on resale end and registration statements for the sale of shares of Common Stock by the parties to the registration rights agreement are available for use, the sale or possibility of sale of these shares of Common Stock, could have the effect of increasing the volatility in the market price of our Common Stock, or decreasing the market price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will become exercisable for Common Stock, which will increase the number of shares eligible for future resale in the public market and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15,654,983 outstanding Warrants to purchase 15,654,983 shares of Common Stock at an exercise price of $11.50 per share, which Warrants became exercisable 30 days after the completion of the Business Combination. To the extent such Warrants are exercised, additional shares of Common Stock will be issued, which will result in dilution to the holders of our Common Stock and increase the number of shares eligible for resale in the public market. Sales of substantial numbers of such shares of Common Stock in the public market or the fact that such Warrants may be exercised could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and other operating metrics may fluctuate from quarter to quarter, which makes these metrics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pStyle w:val="TextBody"/>
        <w:bidi w:val="0"/>
        <w:spacing w:before="0" w:after="0"/>
        <w:ind w:left="760" w:right="0" w:hanging="48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68"/>
        <w:gridCol w:w="200"/>
        <w:gridCol w:w="47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our ability to maintain and attract new customers;</w:t>
            </w:r>
          </w:p>
        </w:tc>
      </w:tr>
    </w:tbl>
    <w:p>
      <w:pPr>
        <w:pStyle w:val="TextBody"/>
        <w:bidi w:val="0"/>
        <w:spacing w:before="0" w:after="0"/>
        <w:ind w:left="760" w:right="0" w:hanging="48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the continued development and upgrading of our technology platform;</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timing and success of new product, service, feature, and content introductions by us or our competitors or any other change in the competitive landscape of our market;</w:t>
            </w:r>
          </w:p>
        </w:tc>
      </w:tr>
    </w:tbl>
    <w:p>
      <w:pPr>
        <w:pStyle w:val="TextBody"/>
        <w:bidi w:val="0"/>
        <w:spacing w:before="0" w:after="0"/>
        <w:ind w:left="760" w:right="0" w:hanging="48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68"/>
        <w:gridCol w:w="200"/>
        <w:gridCol w:w="5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pPr>
            <w:r>
              <w:rPr/>
              <w:t>pricing pressure as a result of competition or otherwise;</w:t>
            </w:r>
          </w:p>
        </w:tc>
      </w:tr>
    </w:tbl>
    <w:p>
      <w:pPr>
        <w:pStyle w:val="TextBody"/>
        <w:bidi w:val="0"/>
        <w:spacing w:before="0" w:after="0"/>
        <w:ind w:left="760" w:right="0" w:hanging="48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00"/>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pPr>
            <w:r>
              <w:rPr/>
              <w:t>delays or disruptions in our supply chain;</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errors in our forecasting of the demand for our products and services, which could lead to lower revenue or increased costs, or both;</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increases in marketing, sales, and other operating expenses that we may incur to grow and expand our operations and to remain competitive;</w:t>
            </w:r>
          </w:p>
        </w:tc>
      </w:tr>
    </w:tbl>
    <w:p>
      <w:pPr>
        <w:pStyle w:val="TextBody"/>
        <w:bidi w:val="0"/>
        <w:spacing w:before="0" w:after="0"/>
        <w:ind w:left="760" w:right="0" w:hanging="48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68"/>
        <w:gridCol w:w="200"/>
        <w:gridCol w:w="4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t>successful expansion into international markets;</w:t>
            </w:r>
          </w:p>
        </w:tc>
      </w:tr>
    </w:tbl>
    <w:p>
      <w:pPr>
        <w:pStyle w:val="TextBody"/>
        <w:bidi w:val="0"/>
        <w:spacing w:before="0" w:after="0"/>
        <w:ind w:left="760" w:right="0" w:hanging="48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68"/>
        <w:gridCol w:w="200"/>
        <w:gridCol w:w="51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the diversification and growth of our revenue sources;</w:t>
            </w:r>
          </w:p>
        </w:tc>
      </w:tr>
    </w:tbl>
    <w:p>
      <w:pPr>
        <w:pStyle w:val="TextBody"/>
        <w:bidi w:val="0"/>
        <w:spacing w:before="0" w:after="0"/>
        <w:ind w:left="760" w:right="0" w:hanging="48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68"/>
        <w:gridCol w:w="200"/>
        <w:gridCol w:w="5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our ability to maintain gross margins and operating margins;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constraints on the availability of consumer financing or increased down payment requirements to finance purchases of our products;</w:t>
            </w:r>
          </w:p>
        </w:tc>
      </w:tr>
    </w:tbl>
    <w:p>
      <w:pPr>
        <w:pStyle w:val="TextBody"/>
        <w:bidi w:val="0"/>
        <w:spacing w:before="0" w:after="0"/>
        <w:ind w:left="760" w:right="0" w:hanging="48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68"/>
        <w:gridCol w:w="20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system failures or breaches of security or privacy;</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adverse litigation judgments, settlements, or other litigation-related costs, including content costs for past use;</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the legislative or regulatory environment, including with respect to insurance and consumer product regulations;</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fluctuations in currency exchange rates and changes in the proportion of our revenue and expenses denominated in foreign currencies;</w:t>
            </w:r>
          </w:p>
        </w:tc>
      </w:tr>
    </w:tbl>
    <w:p>
      <w:pPr>
        <w:pStyle w:val="TextBody"/>
        <w:bidi w:val="0"/>
        <w:spacing w:before="0" w:after="0"/>
        <w:ind w:left="760" w:right="0" w:hanging="48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68"/>
        <w:gridCol w:w="20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pPr>
            <w:r>
              <w:rPr/>
              <w:t>changes in our effective tax rate;</w:t>
            </w:r>
          </w:p>
        </w:tc>
      </w:tr>
    </w:tbl>
    <w:p>
      <w:pPr>
        <w:pStyle w:val="TextBody"/>
        <w:bidi w:val="0"/>
        <w:spacing w:before="0" w:after="0"/>
        <w:ind w:left="760" w:right="0" w:hanging="48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t>changes in accounting standards, policies, guidance, interpretations, or principles; and</w:t>
            </w:r>
          </w:p>
        </w:tc>
      </w:tr>
    </w:tbl>
    <w:p>
      <w:pPr>
        <w:pStyle w:val="TextBody"/>
        <w:bidi w:val="0"/>
        <w:spacing w:before="0" w:after="0"/>
        <w:ind w:left="7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business or macroeconomic conditions, including lower consumer confidence, recessionary conditions, increased unemployment rates, or stagnant or declining wages.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factors above or the cumulative effect of some of the factors above may result in significant fluctuations in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establish and maintain effective internal controls in accordance with Section 404 of the Sarbanes-Oxley Act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Taking advantage of the reduced disclosure requirements applicable to “emerging growth companies” may make our Common Stock less attractive to investors.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provides that, so long as a company qualifies as an “emerging growth company,” it will, among other things:</w:t>
      </w:r>
    </w:p>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 exempt from the provisions of Section 404(b) of the Sarbanes-Oxley Act requiring that its independent registered public accounting firm provide an attestation report on the effectiveness of its internal control over financial reporting;</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 exempt from the “say on pay” and “say on golden parachute” advisory vote requirements of the Dodd-Frank Wall Street Reform and Consumer Protection Act (the “</w:t>
            </w:r>
            <w:r>
              <w:rPr>
                <w:b/>
                <w:i/>
              </w:rPr>
              <w:t>Dodd-Frank Act</w:t>
            </w:r>
            <w:r>
              <w:rPr/>
              <w:t>”);</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 exempt from certain disclosure requirements of the Dodd-Frank Act relating to compensation of its executive officers and be permitted to omit the detailed compensation discussion and analysis from proxy statements and reports filed under the Exchange Act; and</w:t>
            </w:r>
          </w:p>
        </w:tc>
      </w:tr>
    </w:tbl>
    <w:p>
      <w:pPr>
        <w:pStyle w:val="TextBody"/>
        <w:bidi w:val="0"/>
        <w:spacing w:before="0" w:after="0"/>
        <w:ind w:left="7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$1.07 billion in annual gross revenue, (2) we qualify as a “large accelerated filer” as defined in Rule 12b-2 under the Exchange Act, or (3) we issue, in any three-year period, more than $1.0 billion in non-convertible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raise capital in the future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holders of our Public Warrants with the approval by the holders of at least 50% of the then outstanding Public Warrants. As a result, the exercise price of your warrants could be increased, the exercise period could be shortened and the number of shares of Common Stock purchasable upon exercise of a Public Warrant could be decreased, all without a warrant holder’s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a warrant agreement, which provides that the terms of the Public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Public Warrants, convert the Public Warrants into cash or Common Stock, shorten the exercise period or decrease the number of shares of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unexpired Public Warrants may be redeemed prior to their exercise at a time that is disadvantageous to you, thereby making your Public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Public Warrants may be redeemed at any time after they become exercisable and prior to their expiration, at a price of $0.01 per Public Warrant, provided that the last reported sales price of the Common Stock equals or exceeds $18.00 per share for any 20 trading days within a 30 trading-day period ending on the third trading day prior to the date we send the notice of Redemption to the Public Warrantholders. If and when the Public Warrants become redeemable by us, we may not exercise its Redemption Rights if the issuance of shares of Common Stock upon exercise of the Public Warrants is not exempt from registration or qualification under applicable state blue sky laws or we are unable to effect such registration or qualification, subject to our obligation in such case to use our best efforts to register or qualify the shares of Common Stock under the blue sky laws of the state of residence in those states in which the Public Warrants were initially offered. Redemption of the outstanding Public Warrants could force you to (i) exercise your Public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Public Warrants. None of the Private Placement Warrants will be redeemable by us so long as they are held by their initial purchasers or their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we will not receive any proceeds from the sale of securities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exercise of all outstanding warrants for cash, we will receive an aggregate of approximately $180,032,304 but will not receive any proceeds from the sale of the shares of Common Stock issuable upon such exercise. We expect to use the net proceeds from the exercise of the Warrants, if any, for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shares of Common Stock underlying the Warrants offered hereby is determined by reference to the exercise price of the Warrants of $11.50 per share. The Public Warrants are listed on the Nasdaq under the symbol “DAIC.W.”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our Common Stock or Warrants may be sold by the Selling Securityholders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MARKET INFORMATION FOR SECURITIES AND 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September 4, 2025, there were 27,636,939 shares of Common Stock issued and outstanding held of record by 284 holders, and warrants to purchase an aggregate of 15,654,983 shares of Common Stock outstanding held of record by 4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generally discusses our financial condition and results of operations for fiscal years 2023 and 2024, and year-to-year comparisons between Q2 results in 2024 and 2025 in accordance with U.S. Generally Accepted Accounting Principles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4 to the unaudited condensed consolidated financial statements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Within Our Existing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Innovation and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revenues are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primarily of interest incurred for our short term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SAFE agreements represents the unrealized gains or losses resulting from the fluctuations in the estimated value of the outstanding SAFE agreements, or reevaluation of updated market conditions and company-specific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Cost of Revenue,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revenue, gross profit, and gross margin for the three and six months ended June 30, 2025 and 2024 are summarized as follows:</w:t>
      </w:r>
    </w:p>
    <w:p>
      <w:pPr>
        <w:pStyle w:val="TextBody"/>
        <w:bidi w:val="0"/>
        <w:spacing w:before="0" w:after="0"/>
        <w:ind w:left="0" w:right="0" w:hanging="0"/>
        <w:jc w:val="both"/>
        <w:rPr>
          <w:caps w:val="false"/>
          <w:smallCaps w:val="false"/>
        </w:rPr>
      </w:pPr>
      <w:r>
        <w:rPr>
          <w:caps w:val="false"/>
          <w:smallCaps w:val="false"/>
        </w:rPr>
        <w:t> </w:t>
      </w:r>
    </w:p>
    <w:tbl>
      <w:tblPr>
        <w:tblW w:w="8072" w:type="dxa"/>
        <w:jc w:val="left"/>
        <w:tblInd w:w="0" w:type="dxa"/>
        <w:tblLayout w:type="fixed"/>
        <w:tblCellMar>
          <w:top w:w="0" w:type="dxa"/>
          <w:left w:w="0" w:type="dxa"/>
          <w:bottom w:w="0" w:type="dxa"/>
          <w:right w:w="0" w:type="dxa"/>
        </w:tblCellMar>
      </w:tblPr>
      <w:tblGrid>
        <w:gridCol w:w="1835"/>
        <w:gridCol w:w="90"/>
        <w:gridCol w:w="220"/>
        <w:gridCol w:w="1075"/>
        <w:gridCol w:w="317"/>
        <w:gridCol w:w="116"/>
        <w:gridCol w:w="220"/>
        <w:gridCol w:w="919"/>
        <w:gridCol w:w="245"/>
        <w:gridCol w:w="90"/>
        <w:gridCol w:w="174"/>
        <w:gridCol w:w="851"/>
        <w:gridCol w:w="320"/>
        <w:gridCol w:w="90"/>
        <w:gridCol w:w="151"/>
        <w:gridCol w:w="994"/>
        <w:gridCol w:w="36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17"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126,833</w:t>
            </w:r>
          </w:p>
        </w:tc>
        <w:tc>
          <w:tcPr>
            <w:tcW w:w="317"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919" w:type="dxa"/>
            <w:tcBorders/>
            <w:shd w:fill="CCEEFF" w:val="clear"/>
            <w:vAlign w:val="center"/>
          </w:tcPr>
          <w:p>
            <w:pPr>
              <w:pStyle w:val="TableContents"/>
              <w:bidi w:val="0"/>
              <w:spacing w:before="0" w:after="283"/>
              <w:jc w:val="right"/>
              <w:rPr/>
            </w:pPr>
            <w:r>
              <w:rPr/>
              <w:t>23,442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103,391</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441.1</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67,194</w:t>
            </w:r>
          </w:p>
        </w:tc>
        <w:tc>
          <w:tcPr>
            <w:tcW w:w="317"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pPr>
            <w:r>
              <w:rPr/>
              <w:t>6,442</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60,752</w:t>
            </w:r>
          </w:p>
        </w:tc>
        <w:tc>
          <w:tcPr>
            <w:tcW w:w="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943.1</w:t>
            </w:r>
          </w:p>
        </w:tc>
        <w:tc>
          <w:tcPr>
            <w:tcW w:w="36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Gross (loss) profit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59,639</w:t>
            </w:r>
          </w:p>
        </w:tc>
        <w:tc>
          <w:tcPr>
            <w:tcW w:w="317"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pPr>
            <w:r>
              <w:rPr/>
              <w:t>17,000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42,639</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250.8</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Gross margin %</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47.0</w:t>
            </w:r>
          </w:p>
        </w:tc>
        <w:tc>
          <w:tcPr>
            <w:tcW w:w="317"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pPr>
            <w:r>
              <w:rPr/>
              <w:t>72.5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(25.5</w:t>
            </w:r>
          </w:p>
        </w:tc>
        <w:tc>
          <w:tcPr>
            <w:tcW w:w="32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(35.2</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817" w:type="dxa"/>
        <w:jc w:val="left"/>
        <w:tblInd w:w="0" w:type="dxa"/>
        <w:tblLayout w:type="fixed"/>
        <w:tblCellMar>
          <w:top w:w="0" w:type="dxa"/>
          <w:left w:w="0" w:type="dxa"/>
          <w:bottom w:w="0" w:type="dxa"/>
          <w:right w:w="0" w:type="dxa"/>
        </w:tblCellMar>
      </w:tblPr>
      <w:tblGrid>
        <w:gridCol w:w="1835"/>
        <w:gridCol w:w="90"/>
        <w:gridCol w:w="190"/>
        <w:gridCol w:w="929"/>
        <w:gridCol w:w="274"/>
        <w:gridCol w:w="100"/>
        <w:gridCol w:w="190"/>
        <w:gridCol w:w="929"/>
        <w:gridCol w:w="245"/>
        <w:gridCol w:w="90"/>
        <w:gridCol w:w="174"/>
        <w:gridCol w:w="851"/>
        <w:gridCol w:w="320"/>
        <w:gridCol w:w="90"/>
        <w:gridCol w:w="151"/>
        <w:gridCol w:w="994"/>
        <w:gridCol w:w="36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4"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479,331</w:t>
            </w:r>
          </w:p>
        </w:tc>
        <w:tc>
          <w:tcPr>
            <w:tcW w:w="27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101,995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377,336</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370.0</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84,272</w:t>
            </w:r>
          </w:p>
        </w:tc>
        <w:tc>
          <w:tcPr>
            <w:tcW w:w="27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10,009</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74,263</w:t>
            </w:r>
          </w:p>
        </w:tc>
        <w:tc>
          <w:tcPr>
            <w:tcW w:w="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742.0</w:t>
            </w:r>
          </w:p>
        </w:tc>
        <w:tc>
          <w:tcPr>
            <w:tcW w:w="36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Gross (loss) profit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395,059</w:t>
            </w:r>
          </w:p>
        </w:tc>
        <w:tc>
          <w:tcPr>
            <w:tcW w:w="27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91,986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303,073</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329.5</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Gross margin %</w:t>
            </w:r>
          </w:p>
        </w:tc>
        <w:tc>
          <w:tcPr>
            <w:tcW w:w="9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82.4</w:t>
            </w:r>
          </w:p>
        </w:tc>
        <w:tc>
          <w:tcPr>
            <w:tcW w:w="274"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90.2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32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(8.6</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$103,391, or 441.1%, for the three months ended June 30, 2025 compared to the three months ended June 30, 2024 and $377,336, or 370.0% for the six months ended June 30, 2025 compared to the six months ended June 30, 2024. The increase in revenue is primarily due to an increase in feasibility studies to new and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$60,752, or 943.1%, for the three months ended June 30, 2025 compared to the three months ended June 30, 2024. Cost of goods sold increased $74,263 or 742.0% for the six months ended June 30, 2025 compared to the six months ended June 30, 2024. The increases are primarily due to additional warehouse expenditure related to the new Puerto Rico lease and increased tariffs on imported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was 47.0% for the three months ended June 30, 2025 compared to 72.5% for the three months ended June 30, 2024 and 82.4% for the six months ended June 30, 2025 compared to 90.2% for the six months ended June 30, 2024. The decrease in gross margin is primarily due to additional warehouse expenditure related to the new Puerto Rico lease and increased tariffs on imported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and six months ended June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547" w:type="dxa"/>
        <w:jc w:val="left"/>
        <w:tblInd w:w="0" w:type="dxa"/>
        <w:tblLayout w:type="fixed"/>
        <w:tblCellMar>
          <w:top w:w="0" w:type="dxa"/>
          <w:left w:w="0" w:type="dxa"/>
          <w:bottom w:w="0" w:type="dxa"/>
          <w:right w:w="0" w:type="dxa"/>
        </w:tblCellMar>
      </w:tblPr>
      <w:tblGrid>
        <w:gridCol w:w="2615"/>
        <w:gridCol w:w="90"/>
        <w:gridCol w:w="208"/>
        <w:gridCol w:w="1020"/>
        <w:gridCol w:w="301"/>
        <w:gridCol w:w="110"/>
        <w:gridCol w:w="208"/>
        <w:gridCol w:w="1020"/>
        <w:gridCol w:w="245"/>
        <w:gridCol w:w="90"/>
        <w:gridCol w:w="198"/>
        <w:gridCol w:w="827"/>
        <w:gridCol w:w="90"/>
        <w:gridCol w:w="90"/>
        <w:gridCol w:w="184"/>
        <w:gridCol w:w="961"/>
        <w:gridCol w:w="29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181,641</w:t>
            </w:r>
          </w:p>
        </w:tc>
        <w:tc>
          <w:tcPr>
            <w:tcW w:w="30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152,467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29,174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19.1</w:t>
            </w:r>
          </w:p>
        </w:tc>
        <w:tc>
          <w:tcPr>
            <w:tcW w:w="290"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143.2</w:t>
            </w:r>
          </w:p>
        </w:tc>
        <w:tc>
          <w:tcPr>
            <w:tcW w:w="301"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650.4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92" w:type="dxa"/>
        <w:jc w:val="left"/>
        <w:tblInd w:w="0" w:type="dxa"/>
        <w:tblLayout w:type="fixed"/>
        <w:tblCellMar>
          <w:top w:w="0" w:type="dxa"/>
          <w:left w:w="0" w:type="dxa"/>
          <w:bottom w:w="0" w:type="dxa"/>
          <w:right w:w="0" w:type="dxa"/>
        </w:tblCellMar>
      </w:tblPr>
      <w:tblGrid>
        <w:gridCol w:w="2615"/>
        <w:gridCol w:w="90"/>
        <w:gridCol w:w="190"/>
        <w:gridCol w:w="929"/>
        <w:gridCol w:w="274"/>
        <w:gridCol w:w="100"/>
        <w:gridCol w:w="190"/>
        <w:gridCol w:w="929"/>
        <w:gridCol w:w="245"/>
        <w:gridCol w:w="90"/>
        <w:gridCol w:w="174"/>
        <w:gridCol w:w="851"/>
        <w:gridCol w:w="90"/>
        <w:gridCol w:w="90"/>
        <w:gridCol w:w="151"/>
        <w:gridCol w:w="994"/>
        <w:gridCol w:w="29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4"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575,505</w:t>
            </w:r>
          </w:p>
        </w:tc>
        <w:tc>
          <w:tcPr>
            <w:tcW w:w="27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273,313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302,192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110.6</w:t>
            </w:r>
          </w:p>
        </w:tc>
        <w:tc>
          <w:tcPr>
            <w:tcW w:w="290"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120.1</w:t>
            </w:r>
          </w:p>
        </w:tc>
        <w:tc>
          <w:tcPr>
            <w:tcW w:w="274"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268.0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by $29,174, or 19.1%, for the three months ended June 30, 2025 compared to the three months ended June 30, 2024 and by $302,192, or 110.6%, for the six months ended June 30, 2025 compared to the six months ended June 30, 2024. Our spending for research and development reflects growing capacity to satisfy customer feature requests and investing in our technology roadmap. The increases are primarily driven by onboarding of additional software and hardware development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three and six months ended June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097" w:type="dxa"/>
        <w:jc w:val="left"/>
        <w:tblInd w:w="0" w:type="dxa"/>
        <w:tblLayout w:type="fixed"/>
        <w:tblCellMar>
          <w:top w:w="0" w:type="dxa"/>
          <w:left w:w="0" w:type="dxa"/>
          <w:bottom w:w="0" w:type="dxa"/>
          <w:right w:w="0" w:type="dxa"/>
        </w:tblCellMar>
      </w:tblPr>
      <w:tblGrid>
        <w:gridCol w:w="2165"/>
        <w:gridCol w:w="90"/>
        <w:gridCol w:w="208"/>
        <w:gridCol w:w="1020"/>
        <w:gridCol w:w="301"/>
        <w:gridCol w:w="110"/>
        <w:gridCol w:w="208"/>
        <w:gridCol w:w="1020"/>
        <w:gridCol w:w="245"/>
        <w:gridCol w:w="90"/>
        <w:gridCol w:w="198"/>
        <w:gridCol w:w="827"/>
        <w:gridCol w:w="90"/>
        <w:gridCol w:w="90"/>
        <w:gridCol w:w="234"/>
        <w:gridCol w:w="911"/>
        <w:gridCol w:w="290"/>
      </w:tblGrid>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770,247</w:t>
            </w:r>
          </w:p>
        </w:tc>
        <w:tc>
          <w:tcPr>
            <w:tcW w:w="30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730,620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39,627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290" w:type="dxa"/>
            <w:tcBorders/>
            <w:shd w:fill="CCEEFF" w:val="clear"/>
            <w:vAlign w:val="center"/>
          </w:tcPr>
          <w:p>
            <w:pPr>
              <w:pStyle w:val="TableContents"/>
              <w:bidi w:val="0"/>
              <w:spacing w:before="0" w:after="283"/>
              <w:jc w:val="left"/>
              <w:rPr/>
            </w:pPr>
            <w:r>
              <w:rPr/>
              <w:t>%</w:t>
            </w:r>
          </w:p>
        </w:tc>
      </w:tr>
      <w:tr>
        <w:trPr/>
        <w:tc>
          <w:tcPr>
            <w:tcW w:w="216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607.3</w:t>
            </w:r>
          </w:p>
        </w:tc>
        <w:tc>
          <w:tcPr>
            <w:tcW w:w="301"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3,116.7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85" w:type="dxa"/>
        <w:jc w:val="left"/>
        <w:tblInd w:w="0" w:type="dxa"/>
        <w:tblLayout w:type="fixed"/>
        <w:tblCellMar>
          <w:top w:w="0" w:type="dxa"/>
          <w:left w:w="0" w:type="dxa"/>
          <w:bottom w:w="0" w:type="dxa"/>
          <w:right w:w="0" w:type="dxa"/>
        </w:tblCellMar>
      </w:tblPr>
      <w:tblGrid>
        <w:gridCol w:w="2165"/>
        <w:gridCol w:w="90"/>
        <w:gridCol w:w="170"/>
        <w:gridCol w:w="1010"/>
        <w:gridCol w:w="245"/>
        <w:gridCol w:w="90"/>
        <w:gridCol w:w="170"/>
        <w:gridCol w:w="1010"/>
        <w:gridCol w:w="245"/>
        <w:gridCol w:w="90"/>
        <w:gridCol w:w="106"/>
        <w:gridCol w:w="979"/>
        <w:gridCol w:w="90"/>
        <w:gridCol w:w="90"/>
        <w:gridCol w:w="184"/>
        <w:gridCol w:w="961"/>
        <w:gridCol w:w="290"/>
      </w:tblGrid>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1,452,996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1,124,586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328,410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29.2</w:t>
            </w:r>
          </w:p>
        </w:tc>
        <w:tc>
          <w:tcPr>
            <w:tcW w:w="290" w:type="dxa"/>
            <w:tcBorders/>
            <w:shd w:fill="CCEEFF" w:val="clear"/>
            <w:vAlign w:val="center"/>
          </w:tcPr>
          <w:p>
            <w:pPr>
              <w:pStyle w:val="TableContents"/>
              <w:bidi w:val="0"/>
              <w:spacing w:before="0" w:after="283"/>
              <w:jc w:val="left"/>
              <w:rPr/>
            </w:pPr>
            <w:r>
              <w:rPr/>
              <w:t>%</w:t>
            </w:r>
          </w:p>
        </w:tc>
      </w:tr>
      <w:tr>
        <w:trPr/>
        <w:tc>
          <w:tcPr>
            <w:tcW w:w="216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303.1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1,102.6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increased by $39,627, or 5.4%, for the three months ended June 30, 2025 compared to the three months ended June 30, 2024 and by $328,410 or 29.2%, for the six months ended June 30, 2025 compared to the six months ended June 30, 2024. Our spending for the three months ended March 31, 2025 reflects our continued pivot towards the market, with sales and marketing spending increasing by $328,410 or 29.2% year over year. We expect to increase this further in the following quarter to take advantage of additional public investment to build this department to drive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increases are primarily driven by the usage of additional modules and users in the customer relationship management software. Customer support labor cost also contributed to the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for the three and six months ended June 30, 2025 and 2024 is summarized as follows:</w:t>
      </w:r>
    </w:p>
    <w:p>
      <w:pPr>
        <w:pStyle w:val="TextBody"/>
        <w:bidi w:val="0"/>
        <w:spacing w:before="0" w:after="0"/>
        <w:ind w:left="0" w:right="0" w:hanging="0"/>
        <w:jc w:val="both"/>
        <w:rPr>
          <w:caps w:val="false"/>
          <w:smallCaps w:val="false"/>
        </w:rPr>
      </w:pPr>
      <w:r>
        <w:rPr>
          <w:caps w:val="false"/>
          <w:smallCaps w:val="false"/>
        </w:rPr>
        <w:t> </w:t>
      </w:r>
    </w:p>
    <w:tbl>
      <w:tblPr>
        <w:tblW w:w="8532" w:type="dxa"/>
        <w:jc w:val="left"/>
        <w:tblInd w:w="0" w:type="dxa"/>
        <w:tblLayout w:type="fixed"/>
        <w:tblCellMar>
          <w:top w:w="0" w:type="dxa"/>
          <w:left w:w="0" w:type="dxa"/>
          <w:bottom w:w="0" w:type="dxa"/>
          <w:right w:w="0" w:type="dxa"/>
        </w:tblCellMar>
      </w:tblPr>
      <w:tblGrid>
        <w:gridCol w:w="2600"/>
        <w:gridCol w:w="90"/>
        <w:gridCol w:w="208"/>
        <w:gridCol w:w="1020"/>
        <w:gridCol w:w="301"/>
        <w:gridCol w:w="110"/>
        <w:gridCol w:w="208"/>
        <w:gridCol w:w="1020"/>
        <w:gridCol w:w="245"/>
        <w:gridCol w:w="90"/>
        <w:gridCol w:w="174"/>
        <w:gridCol w:w="851"/>
        <w:gridCol w:w="90"/>
        <w:gridCol w:w="90"/>
        <w:gridCol w:w="151"/>
        <w:gridCol w:w="994"/>
        <w:gridCol w:w="290"/>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824,204</w:t>
            </w:r>
          </w:p>
        </w:tc>
        <w:tc>
          <w:tcPr>
            <w:tcW w:w="301"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246,216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577,988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234.7</w:t>
            </w:r>
          </w:p>
        </w:tc>
        <w:tc>
          <w:tcPr>
            <w:tcW w:w="290"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649.8</w:t>
            </w:r>
          </w:p>
        </w:tc>
        <w:tc>
          <w:tcPr>
            <w:tcW w:w="301"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1,050.3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77" w:type="dxa"/>
        <w:jc w:val="left"/>
        <w:tblInd w:w="0" w:type="dxa"/>
        <w:tblLayout w:type="fixed"/>
        <w:tblCellMar>
          <w:top w:w="0" w:type="dxa"/>
          <w:left w:w="0" w:type="dxa"/>
          <w:bottom w:w="0" w:type="dxa"/>
          <w:right w:w="0" w:type="dxa"/>
        </w:tblCellMar>
      </w:tblPr>
      <w:tblGrid>
        <w:gridCol w:w="2600"/>
        <w:gridCol w:w="90"/>
        <w:gridCol w:w="176"/>
        <w:gridCol w:w="1050"/>
        <w:gridCol w:w="254"/>
        <w:gridCol w:w="93"/>
        <w:gridCol w:w="176"/>
        <w:gridCol w:w="863"/>
        <w:gridCol w:w="245"/>
        <w:gridCol w:w="90"/>
        <w:gridCol w:w="174"/>
        <w:gridCol w:w="851"/>
        <w:gridCol w:w="90"/>
        <w:gridCol w:w="90"/>
        <w:gridCol w:w="151"/>
        <w:gridCol w:w="994"/>
        <w:gridCol w:w="290"/>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1,441,935</w:t>
            </w:r>
          </w:p>
        </w:tc>
        <w:tc>
          <w:tcPr>
            <w:tcW w:w="25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pPr>
            <w:r>
              <w:rPr/>
              <w:t>557,575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51" w:type="dxa"/>
            <w:tcBorders>
              <w:bottom w:val="single" w:sz="12" w:space="0" w:color="000000"/>
            </w:tcBorders>
            <w:shd w:fill="CCEEFF" w:val="clear"/>
            <w:tcMar>
              <w:bottom w:w="28" w:type="dxa"/>
            </w:tcMar>
            <w:vAlign w:val="center"/>
          </w:tcPr>
          <w:p>
            <w:pPr>
              <w:pStyle w:val="TableContents"/>
              <w:bidi w:val="0"/>
              <w:spacing w:before="0" w:after="283"/>
              <w:jc w:val="right"/>
              <w:rPr/>
            </w:pPr>
            <w:r>
              <w:rPr/>
              <w:t>884,360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290"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300.8</w:t>
            </w:r>
          </w:p>
        </w:tc>
        <w:tc>
          <w:tcPr>
            <w:tcW w:w="254"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pPr>
            <w:r>
              <w:rPr/>
              <w:t>546.7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by $577,988, or 234.7%, for the three months ended June 30, 2025 compared to the three months ended June 30, 2024 and increased by $884,360, or 158.6%, for the six months ended June 30, 2025 compared to the six months ended June 30, 2024. The increases are primarily due to labor cost pertaining to ramp up of the manufacturing facility in Puerto Rico, shipment of hardware, equipment and inventories between our manufacturing and testing facilities, and increased headcount in back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three and six months ended June 30, 2025 and 2024:</w:t>
      </w:r>
    </w:p>
    <w:p>
      <w:pPr>
        <w:pStyle w:val="TextBody"/>
        <w:bidi w:val="0"/>
        <w:spacing w:before="0" w:after="0"/>
        <w:ind w:left="0" w:right="0" w:hanging="0"/>
        <w:jc w:val="both"/>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3455"/>
        <w:gridCol w:w="90"/>
        <w:gridCol w:w="196"/>
        <w:gridCol w:w="1307"/>
        <w:gridCol w:w="104"/>
        <w:gridCol w:w="104"/>
        <w:gridCol w:w="196"/>
        <w:gridCol w:w="960"/>
        <w:gridCol w:w="90"/>
        <w:gridCol w:w="90"/>
        <w:gridCol w:w="170"/>
        <w:gridCol w:w="1130"/>
        <w:gridCol w:w="90"/>
        <w:gridCol w:w="90"/>
        <w:gridCol w:w="151"/>
        <w:gridCol w:w="994"/>
        <w:gridCol w:w="290"/>
      </w:tblGrid>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17,980,118</w:t>
            </w:r>
          </w:p>
        </w:tc>
        <w:tc>
          <w:tcPr>
            <w:tcW w:w="104"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660,755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17,319,363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2,621</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3455"/>
        <w:gridCol w:w="90"/>
        <w:gridCol w:w="170"/>
        <w:gridCol w:w="1130"/>
        <w:gridCol w:w="90"/>
        <w:gridCol w:w="90"/>
        <w:gridCol w:w="170"/>
        <w:gridCol w:w="1130"/>
        <w:gridCol w:w="90"/>
        <w:gridCol w:w="90"/>
        <w:gridCol w:w="170"/>
        <w:gridCol w:w="1010"/>
        <w:gridCol w:w="90"/>
        <w:gridCol w:w="90"/>
        <w:gridCol w:w="271"/>
        <w:gridCol w:w="874"/>
        <w:gridCol w:w="290"/>
      </w:tblGrid>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17,368,415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13,462,710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3,905,705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0"/>
        <w:gridCol w:w="90"/>
        <w:gridCol w:w="170"/>
        <w:gridCol w:w="1205"/>
        <w:gridCol w:w="125"/>
        <w:gridCol w:w="90"/>
        <w:gridCol w:w="170"/>
        <w:gridCol w:w="1130"/>
        <w:gridCol w:w="90"/>
        <w:gridCol w:w="90"/>
        <w:gridCol w:w="170"/>
        <w:gridCol w:w="1205"/>
        <w:gridCol w:w="125"/>
        <w:gridCol w:w="90"/>
        <w:gridCol w:w="170"/>
        <w:gridCol w:w="1130"/>
        <w:gridCol w:w="135"/>
      </w:tblGrid>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35" w:type="dxa"/>
            <w:tcBorders/>
            <w:vAlign w:val="center"/>
          </w:tcPr>
          <w:p>
            <w:pPr>
              <w:pStyle w:val="TableContents"/>
              <w:bidi w:val="0"/>
              <w:spacing w:before="0" w:after="283"/>
              <w:jc w:val="left"/>
              <w:rPr/>
            </w:pPr>
            <w:r>
              <w:rPr/>
              <w:t> </w:t>
            </w:r>
          </w:p>
        </w:tc>
      </w:tr>
      <w:tr>
        <w:trPr/>
        <w:tc>
          <w:tcPr>
            <w:tcW w:w="4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SAFE agreements at fair value,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22,746,675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18,904,905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23,334,626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4,602,950</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pPr>
            <w:r>
              <w:rPr/>
              <w:t>SAFE agreements issued for 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1,634,500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23,752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3,134,500</w:t>
            </w:r>
          </w:p>
        </w:tc>
        <w:tc>
          <w:tcPr>
            <w:tcW w:w="135" w:type="dxa"/>
            <w:tcBorders/>
            <w:shd w:fill="FFFFFF" w:val="clear"/>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17,980,118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660,755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17,368,415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13,462,710</w:t>
            </w:r>
          </w:p>
        </w:tc>
        <w:tc>
          <w:tcPr>
            <w:tcW w:w="135" w:type="dxa"/>
            <w:tcBorders/>
            <w:shd w:fill="CCEEFF" w:val="clear"/>
            <w:vAlign w:val="center"/>
          </w:tcPr>
          <w:p>
            <w:pPr>
              <w:pStyle w:val="TableContents"/>
              <w:bidi w:val="0"/>
              <w:spacing w:before="0" w:after="283"/>
              <w:jc w:val="left"/>
              <w:rPr/>
            </w:pPr>
            <w:r>
              <w:rPr/>
              <w:t> </w:t>
            </w:r>
          </w:p>
        </w:tc>
      </w:tr>
      <w:tr>
        <w:trPr/>
        <w:tc>
          <w:tcPr>
            <w:tcW w:w="4020" w:type="dxa"/>
            <w:tcBorders/>
            <w:shd w:fill="FFFFFF" w:val="clear"/>
            <w:vAlign w:val="center"/>
          </w:tcPr>
          <w:p>
            <w:pPr>
              <w:pStyle w:val="TableContents"/>
              <w:bidi w:val="0"/>
              <w:spacing w:before="0" w:after="283"/>
              <w:jc w:val="left"/>
              <w:rPr/>
            </w:pPr>
            <w:r>
              <w:rPr/>
              <w:t>SAFE notes converted into shares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(40,726,793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4020" w:type="dxa"/>
            <w:tcBorders/>
            <w:shd w:fill="CCEEFF" w:val="clear"/>
            <w:vAlign w:val="center"/>
          </w:tcPr>
          <w:p>
            <w:pPr>
              <w:pStyle w:val="TableContents"/>
              <w:bidi w:val="0"/>
              <w:spacing w:before="0" w:after="283"/>
              <w:jc w:val="left"/>
              <w:rPr/>
            </w:pPr>
            <w:r>
              <w:rPr/>
              <w:t>SAFE agreements at fair value,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21,200,160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21,200,160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change in fair value of SAFE expense line item was primarily driven by the increased estimated fair value of the Company and an increased probability of the Business Combination that closed on June 18, 2025, as described in Note 4 to the unaudited condensed consolidated financial statements for the three and six months ended June 30, 2025, qualified as an “Equity Financing.” The Company recognized a fair value change in the SAFE notes of $17,368,415, based on the fair value of the Common Stock at Closing of $14.00 per share. Contemporaneously with the Business Combination that closed on June 18, 2025, all outstanding SAFE notes were converted into 2,909,057 shares of Common Stock. No SAFE notes remained outstanding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Cost of Revenue, 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revenue, gross profit, and gross margin for the years ended December 31, 2024 and 2023 are summarized as follows:</w:t>
      </w:r>
    </w:p>
    <w:p>
      <w:pPr>
        <w:pStyle w:val="TextBody"/>
        <w:bidi w:val="0"/>
        <w:spacing w:before="0" w:after="0"/>
        <w:ind w:left="0" w:right="0" w:hanging="0"/>
        <w:jc w:val="both"/>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1835"/>
        <w:gridCol w:w="90"/>
        <w:gridCol w:w="170"/>
        <w:gridCol w:w="905"/>
        <w:gridCol w:w="320"/>
        <w:gridCol w:w="90"/>
        <w:gridCol w:w="170"/>
        <w:gridCol w:w="830"/>
        <w:gridCol w:w="245"/>
        <w:gridCol w:w="90"/>
        <w:gridCol w:w="170"/>
        <w:gridCol w:w="905"/>
        <w:gridCol w:w="320"/>
        <w:gridCol w:w="90"/>
        <w:gridCol w:w="136"/>
        <w:gridCol w:w="1009"/>
        <w:gridCol w:w="36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172,661</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439,640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(266,979</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(60.7</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86,888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257,001</w:t>
            </w:r>
          </w:p>
        </w:tc>
        <w:tc>
          <w:tcPr>
            <w:tcW w:w="3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295.8</w:t>
            </w:r>
          </w:p>
        </w:tc>
        <w:tc>
          <w:tcPr>
            <w:tcW w:w="365" w:type="dxa"/>
            <w:tcBorders/>
            <w:shd w:fill="FFFFFF" w:val="clear"/>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Gross (loss)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(171,228</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352,752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(523,980</w:t>
            </w:r>
          </w:p>
        </w:tc>
        <w:tc>
          <w:tcPr>
            <w:tcW w:w="32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pPr>
            <w:r>
              <w:rPr/>
              <w:t>(148.5</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shd w:fill="FFFFFF" w:val="clear"/>
            <w:vAlign w:val="center"/>
          </w:tcPr>
          <w:p>
            <w:pPr>
              <w:pStyle w:val="TableContents"/>
              <w:bidi w:val="0"/>
              <w:spacing w:before="0" w:after="283"/>
              <w:jc w:val="left"/>
              <w:rPr/>
            </w:pPr>
            <w:r>
              <w:rPr/>
              <w:t>Gross margin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(99.2</w:t>
            </w:r>
          </w:p>
        </w:tc>
        <w:tc>
          <w:tcPr>
            <w:tcW w:w="32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80.2</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(179.4</w:t>
            </w:r>
          </w:p>
        </w:tc>
        <w:tc>
          <w:tcPr>
            <w:tcW w:w="320"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(223.6</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$266,979, or 60.7%, for the year ended December 31, 2024 compared to the year ended December 31, 2023. The decrease in revenue is primarily due to a decrease in feasibility studies to new and existing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$257,001, or 295.8%, for the year ended December 31, 2024 compared to the year ended December 31, 2023. The increases are primarily due to additional support staff salaries, compliance cost and cloud hosting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was (99.2%) for the year ended December 31, 2024 compared to 80.2% for the year ended December 31, 2023. The decrease in gross margin is primarily due to additional support staff salaries, compliance cost and cloud hosting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years ended December 31, 2024 and 2023 is summarized as follows:</w:t>
      </w:r>
    </w:p>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2615"/>
        <w:gridCol w:w="90"/>
        <w:gridCol w:w="170"/>
        <w:gridCol w:w="830"/>
        <w:gridCol w:w="245"/>
        <w:gridCol w:w="90"/>
        <w:gridCol w:w="170"/>
        <w:gridCol w:w="830"/>
        <w:gridCol w:w="245"/>
        <w:gridCol w:w="90"/>
        <w:gridCol w:w="182"/>
        <w:gridCol w:w="843"/>
        <w:gridCol w:w="125"/>
        <w:gridCol w:w="90"/>
        <w:gridCol w:w="200"/>
        <w:gridCol w:w="945"/>
        <w:gridCol w:w="365"/>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759,967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837,453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3" w:type="dxa"/>
            <w:tcBorders>
              <w:bottom w:val="single" w:sz="12" w:space="0" w:color="000000"/>
            </w:tcBorders>
            <w:shd w:fill="CCEEFF" w:val="clear"/>
            <w:tcMar>
              <w:bottom w:w="28" w:type="dxa"/>
            </w:tcMar>
            <w:vAlign w:val="center"/>
          </w:tcPr>
          <w:p>
            <w:pPr>
              <w:pStyle w:val="TableContents"/>
              <w:bidi w:val="0"/>
              <w:spacing w:before="0" w:after="283"/>
              <w:jc w:val="right"/>
              <w:rPr/>
            </w:pPr>
            <w:r>
              <w:rPr/>
              <w:t>(77,486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365"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440.1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190.5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decreased by $77,486, or 9.3%, for the year ended December 31, 2024 compared to the year ended December 31, 2023. The decreases are primarily driven by reduced utilization of software and hardware development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years ended December 31, 2024 and 2023 is summarized as follows:</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2165"/>
        <w:gridCol w:w="90"/>
        <w:gridCol w:w="170"/>
        <w:gridCol w:w="1010"/>
        <w:gridCol w:w="245"/>
        <w:gridCol w:w="90"/>
        <w:gridCol w:w="170"/>
        <w:gridCol w:w="830"/>
        <w:gridCol w:w="245"/>
        <w:gridCol w:w="90"/>
        <w:gridCol w:w="170"/>
        <w:gridCol w:w="1010"/>
        <w:gridCol w:w="90"/>
        <w:gridCol w:w="90"/>
        <w:gridCol w:w="151"/>
        <w:gridCol w:w="994"/>
        <w:gridCol w:w="290"/>
      </w:tblGrid>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2,524,930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449,936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2,074,994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461.2</w:t>
            </w:r>
          </w:p>
        </w:tc>
        <w:tc>
          <w:tcPr>
            <w:tcW w:w="290" w:type="dxa"/>
            <w:tcBorders/>
            <w:shd w:fill="CCEEFF" w:val="clear"/>
            <w:vAlign w:val="center"/>
          </w:tcPr>
          <w:p>
            <w:pPr>
              <w:pStyle w:val="TableContents"/>
              <w:bidi w:val="0"/>
              <w:spacing w:before="0" w:after="283"/>
              <w:jc w:val="left"/>
              <w:rPr/>
            </w:pPr>
            <w:r>
              <w:rPr/>
              <w:t>%</w:t>
            </w:r>
          </w:p>
        </w:tc>
      </w:tr>
      <w:tr>
        <w:trPr/>
        <w:tc>
          <w:tcPr>
            <w:tcW w:w="2165"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1,462.4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102.3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years ended December 31, 2024 and 2023 are summarized as follows:</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600"/>
        <w:gridCol w:w="90"/>
        <w:gridCol w:w="170"/>
        <w:gridCol w:w="1010"/>
        <w:gridCol w:w="245"/>
        <w:gridCol w:w="90"/>
        <w:gridCol w:w="170"/>
        <w:gridCol w:w="830"/>
        <w:gridCol w:w="245"/>
        <w:gridCol w:w="90"/>
        <w:gridCol w:w="170"/>
        <w:gridCol w:w="1010"/>
        <w:gridCol w:w="90"/>
        <w:gridCol w:w="90"/>
        <w:gridCol w:w="151"/>
        <w:gridCol w:w="994"/>
        <w:gridCol w:w="290"/>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3,588,548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742,041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2,846,507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383.6</w:t>
            </w:r>
          </w:p>
        </w:tc>
        <w:tc>
          <w:tcPr>
            <w:tcW w:w="290" w:type="dxa"/>
            <w:tcBorders/>
            <w:shd w:fill="CCEEFF" w:val="clear"/>
            <w:vAlign w:val="center"/>
          </w:tcPr>
          <w:p>
            <w:pPr>
              <w:pStyle w:val="TableContents"/>
              <w:bidi w:val="0"/>
              <w:spacing w:before="0" w:after="283"/>
              <w:jc w:val="left"/>
              <w:rPr/>
            </w:pPr>
            <w:r>
              <w:rPr/>
              <w:t>%</w:t>
            </w:r>
          </w:p>
        </w:tc>
      </w:tr>
      <w:tr>
        <w:trPr/>
        <w:tc>
          <w:tcPr>
            <w:tcW w:w="2600" w:type="dxa"/>
            <w:tcBorders/>
            <w:shd w:fill="FFFFFF" w:val="clear"/>
            <w:vAlign w:val="center"/>
          </w:tcPr>
          <w:p>
            <w:pPr>
              <w:pStyle w:val="TableContents"/>
              <w:bidi w:val="0"/>
              <w:spacing w:before="0" w:after="283"/>
              <w:jc w:val="left"/>
              <w:rPr/>
            </w:pPr>
            <w:r>
              <w:rPr/>
              <w:t>Percentage of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2,078.4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168.8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by $2,846,507, or 383.6%, for the year ended December 31, 2024 compared to the year ended December 31, 2023. The increases are primarily due to additional labor costs pertaining to the ramp up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expenses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year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0" w:type="dxa"/>
          <w:right w:w="0" w:type="dxa"/>
        </w:tblCellMar>
      </w:tblPr>
      <w:tblGrid>
        <w:gridCol w:w="3455"/>
        <w:gridCol w:w="90"/>
        <w:gridCol w:w="170"/>
        <w:gridCol w:w="1130"/>
        <w:gridCol w:w="90"/>
        <w:gridCol w:w="90"/>
        <w:gridCol w:w="170"/>
        <w:gridCol w:w="830"/>
        <w:gridCol w:w="90"/>
        <w:gridCol w:w="90"/>
        <w:gridCol w:w="170"/>
        <w:gridCol w:w="1130"/>
        <w:gridCol w:w="90"/>
        <w:gridCol w:w="90"/>
        <w:gridCol w:w="159"/>
        <w:gridCol w:w="1046"/>
        <w:gridCol w:w="290"/>
      </w:tblGrid>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14,228,937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5,405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4940"/>
        <w:gridCol w:w="90"/>
        <w:gridCol w:w="170"/>
        <w:gridCol w:w="1130"/>
        <w:gridCol w:w="90"/>
        <w:gridCol w:w="90"/>
        <w:gridCol w:w="170"/>
        <w:gridCol w:w="1010"/>
        <w:gridCol w:w="135"/>
      </w:tblGrid>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SAFE agreements at fair value,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4,602,950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2,219,711</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SAFE agreements issued for 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4,239,500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2,120,000</w:t>
            </w:r>
          </w:p>
        </w:tc>
        <w:tc>
          <w:tcPr>
            <w:tcW w:w="13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SAFE agreements at fair value, end of period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4,602,950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we had cash of $6,492,646 and $721,032, respectively, and working capital (deficit) of $454,040 and ($1,215,988),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funded our operations primarily with proceeds from the issuance of common shares to PIPE investors contemporaneously with the close of the Business Combination in the amount of $10,837,643 and proceeds from the issuance of bridge loans. As of June 30, 2025, we had cash of $6,492,646. In the future, we expect to finance our cash needs through a combination of equity, debt financings, and improvement of cash from operations derived from selling subscriptions to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option to issue a variable number of shares of Common Stock or cash in satisfaction of the $350,000 commitment fee agreed upon in SEPA. The Company has not paid the commitment fee as of the date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3920"/>
        <w:gridCol w:w="90"/>
        <w:gridCol w:w="170"/>
        <w:gridCol w:w="1130"/>
        <w:gridCol w:w="125"/>
        <w:gridCol w:w="90"/>
        <w:gridCol w:w="170"/>
        <w:gridCol w:w="1085"/>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(3,762,742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(2,327,632</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left"/>
              <w:rPr/>
            </w:pPr>
            <w:r>
              <w:rPr/>
              <w:t>Net cash (used in)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(743,798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(361,862</w:t>
            </w:r>
          </w:p>
        </w:tc>
        <w:tc>
          <w:tcPr>
            <w:tcW w:w="17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10,278,154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3,134,500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hanging="0"/>
        <w:jc w:val="both"/>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3920"/>
        <w:gridCol w:w="90"/>
        <w:gridCol w:w="170"/>
        <w:gridCol w:w="1085"/>
        <w:gridCol w:w="125"/>
        <w:gridCol w:w="90"/>
        <w:gridCol w:w="170"/>
        <w:gridCol w:w="1085"/>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(3,290,008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(1,668,503</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left"/>
              <w:rPr/>
            </w:pPr>
            <w:r>
              <w:rPr/>
              <w:t>Net cash (used in) 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(834,220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(672,319</w:t>
            </w:r>
          </w:p>
        </w:tc>
        <w:tc>
          <w:tcPr>
            <w:tcW w:w="17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4,239,500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2,120,000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operating cash is from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issuance of SAFE agreements and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$3.8 million for the six months ended June 30, 2025. This consisted of a net loss of $30.1 million, adjusted for non-cash charges of $18.5 million, and changes in our operating assets and liabilities of $7.8 million. The non-cash charges were primarily composed of change in fair value expense of $17.4 million and loss on extinguishment of debt of $5.7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$2.3 million for the six months ended June 30, 2024. This consisted of a net loss of $16.2 million, adjusted for non-cash charges of $13.6 million, and changes in our operating assets and liabilities of $229 thousand. The non-cash charges were primarily composed of change in fair value SAFE note expense of $13.5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 expense of $263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$744 thousand for the six months ended June 30, 2025, which primarily consisted of $107 thousand of property and equipment purchases and $637 thousand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$362 thousand for the six months ended June 30, 2024,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$834 thousand for the year ended December 31, 2024,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$672 thousand for the year ended December 31, 2023, which consisted of capital expenditures for internal-use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$10.3 million for the six months ended June 30, 2025, which primarily consisted of $10.8 million in proceeds from 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$3.1 million for the six months ended June 30, 2024, which consisted of $3.1 million of proceeds from issuance of bridge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$4.2 million for the year ended December 31, 2024, which consisted of proceeds from issuance of SAFE agreements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$2.1 million for the year ended December 31, 2023, which consisted of proceeds from issuance of SAFE agreements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leases and non-cancelable purchase commitments as of June 30, 2025. For additional discussion on our leases and other commitments, refer to Note 12 – Leases and Note 14 – Commitments and Contingencies to our unaudited condensed consolidated financial statements for the three and six months ended June 30, 2025 included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more fully described in Note 2 to our unaudited condensed consolidated financial statements for the three and six months ended June 30, 2025, we believe that the following accounting policies are the most critical to fully understanding and evaluating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815 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promised goods or services are transferred to customers in an amount that reflects the consideration to which we expect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revenue recognition through the following steps:</w:t>
      </w:r>
    </w:p>
    <w:p>
      <w:pPr>
        <w:pStyle w:val="TextBody"/>
        <w:bidi w:val="0"/>
        <w:spacing w:before="0" w:after="0"/>
        <w:ind w:left="0" w:right="0" w:firstLine="72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05"/>
        <w:gridCol w:w="200"/>
        <w:gridCol w:w="48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1.</w:t>
            </w:r>
          </w:p>
        </w:tc>
        <w:tc>
          <w:tcPr>
            <w:tcW w:w="4880" w:type="dxa"/>
            <w:tcBorders/>
            <w:vAlign w:val="center"/>
          </w:tcPr>
          <w:p>
            <w:pPr>
              <w:pStyle w:val="TableContents"/>
              <w:bidi w:val="0"/>
              <w:spacing w:before="0" w:after="283"/>
              <w:jc w:val="both"/>
              <w:rPr>
                <w:sz w:val="20"/>
              </w:rPr>
            </w:pPr>
            <w:r>
              <w:rPr>
                <w:sz w:val="20"/>
              </w:rPr>
              <w:t>Identification of the contract, or contracts,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2.</w:t>
            </w:r>
          </w:p>
        </w:tc>
        <w:tc>
          <w:tcPr>
            <w:tcW w:w="5015" w:type="dxa"/>
            <w:tcBorders/>
            <w:vAlign w:val="center"/>
          </w:tcPr>
          <w:p>
            <w:pPr>
              <w:pStyle w:val="TableContents"/>
              <w:bidi w:val="0"/>
              <w:spacing w:before="0" w:after="283"/>
              <w:jc w:val="both"/>
              <w:rPr>
                <w:sz w:val="20"/>
              </w:rPr>
            </w:pPr>
            <w:r>
              <w:rPr>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05"/>
        <w:gridCol w:w="200"/>
        <w:gridCol w:w="3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3.</w:t>
            </w:r>
          </w:p>
        </w:tc>
        <w:tc>
          <w:tcPr>
            <w:tcW w:w="3230" w:type="dxa"/>
            <w:tcBorders/>
            <w:vAlign w:val="center"/>
          </w:tcPr>
          <w:p>
            <w:pPr>
              <w:pStyle w:val="TableContents"/>
              <w:bidi w:val="0"/>
              <w:spacing w:before="0" w:after="283"/>
              <w:jc w:val="both"/>
              <w:rPr>
                <w:sz w:val="20"/>
              </w:rPr>
            </w:pPr>
            <w:r>
              <w:rPr>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05"/>
        <w:gridCol w:w="200"/>
        <w:gridCol w:w="70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4.</w:t>
            </w:r>
          </w:p>
        </w:tc>
        <w:tc>
          <w:tcPr>
            <w:tcW w:w="7025" w:type="dxa"/>
            <w:tcBorders/>
            <w:vAlign w:val="center"/>
          </w:tcPr>
          <w:p>
            <w:pPr>
              <w:pStyle w:val="TableContents"/>
              <w:bidi w:val="0"/>
              <w:spacing w:before="0" w:after="283"/>
              <w:jc w:val="both"/>
              <w:rPr>
                <w:sz w:val="20"/>
              </w:rPr>
            </w:pPr>
            <w:r>
              <w:rPr>
                <w:sz w:val="20"/>
              </w:rPr>
              <w:t>Allocation of the transaction price to the performance obligations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5.</w:t>
            </w:r>
          </w:p>
        </w:tc>
        <w:tc>
          <w:tcPr>
            <w:tcW w:w="5975" w:type="dxa"/>
            <w:tcBorders/>
            <w:vAlign w:val="center"/>
          </w:tcPr>
          <w:p>
            <w:pPr>
              <w:pStyle w:val="TableContents"/>
              <w:bidi w:val="0"/>
              <w:spacing w:before="0" w:after="283"/>
              <w:jc w:val="both"/>
              <w:rPr>
                <w:sz w:val="20"/>
              </w:rPr>
            </w:pPr>
            <w:r>
              <w:rPr>
                <w:sz w:val="20"/>
              </w:rPr>
              <w:t>Recognition of revenue when, or as, we satisfy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Internal-Use 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Topic 350 40, </w:t>
      </w:r>
      <w:r>
        <w:rPr>
          <w:rFonts w:ascii="Times New Roman;Times;Serif" w:hAnsi="Times New Roman;Times;Serif"/>
          <w:b w:val="false"/>
          <w:i/>
          <w:caps w:val="false"/>
          <w:smallCaps w:val="false"/>
          <w:sz w:val="20"/>
        </w:rPr>
        <w:t>Intangibles Goodwill and Other Internal Use Software</w:t>
      </w:r>
      <w:r>
        <w:rPr>
          <w:rFonts w:ascii="Times New Roman;Times;Serif" w:hAnsi="Times New Roman;Times;Serif"/>
          <w:b w:val="false"/>
          <w:i w:val="false"/>
          <w:caps w:val="false"/>
          <w:smallCaps w:val="false"/>
          <w:sz w:val="20"/>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the recently issued accounting pronouncements that apply in Note 2 of the unaudited condensed consolidated financial statements as of and for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Industry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State of Operations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operations-intensive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Challenges with Operations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Lack of Data Access and Siloed Systems</w:t>
            </w:r>
            <w:r>
              <w:rPr>
                <w:rFonts w:ascii="Times New Roman;Times;Serif" w:hAnsi="Times New Roman;Times;Serif"/>
              </w:rPr>
              <w:t>.    Many assets used for physical operations, such as vehicle fleets, machinery, factories, and remote equipment 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Breadth and Diversity of Data</w:t>
            </w:r>
            <w:r>
              <w:rPr>
                <w:rFonts w:ascii="Times New Roman;Times;Serif" w:hAnsi="Times New Roman;Times;Serif"/>
              </w:rPr>
              <w:t>.    The breadth and diversity of data collected from physical operations limits the ability for users to consolidate different data types and make better operational decisions. This data, which can be both structured and unstructured, can be challenging to cleanse and normalize before analysis.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Reliance on Legacy Tools</w:t>
            </w:r>
            <w:r>
              <w:rPr>
                <w:rFonts w:ascii="Times New Roman;Times;Serif" w:hAnsi="Times New Roman;Times;Serif"/>
              </w:rPr>
              <w:t>.    Many operations-intensive businesses run on legacy software designed to manage and monitor individual tasks. Others still rely on spreadsheets and paper. These legacy tools were built decades ago and are not designed for scalable analytics.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Limited In-House Innovation</w:t>
            </w:r>
            <w:r>
              <w:rPr>
                <w:rFonts w:ascii="Times New Roman;Times;Serif" w:hAnsi="Times New Roman;Times;Serif"/>
              </w:rPr>
              <w:t>.    Businesses with physical operations typically have limited engineering personnel, IT resources, and funds dedicated to identifying causes of inefficiency and opportunities to avoid future safety, security or sustainability issues. These businesses have traditionally relied on third-party vendors to seek ways to improve their business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Compliance Burden</w:t>
            </w:r>
            <w:r>
              <w:rPr>
                <w:rFonts w:ascii="Times New Roman;Times;Serif" w:hAnsi="Times New Roman;Times;Serif"/>
              </w:rPr>
              <w:t>.    Businesses with extensive physical operations are subject to an increasingly complex patchwork of regulations that cover the range of their physical operations footprint, from environmental conditions to workplace safety and employee monitoring. Compliance with these regulations can be complicated, costly, and time-consuming.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Rugged Environments and Uses</w:t>
            </w:r>
            <w:r>
              <w:rPr>
                <w:rFonts w:ascii="Times New Roman;Times;Serif" w:hAnsi="Times New Roman;Times;Serif"/>
              </w:rPr>
              <w:t>.    Industrial processes often operate in rugged environments, including both indoor and outdoor settings. Many IoT implementations are made first for consumers and office spaces, where devices do not need to meet these standards. The environment and rough handling of the industrial market makes adoption harder.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IoT in Connected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advances have made it possible for companies to visualize their operations digitally in the cloud in real time. These advances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Proliferation of Connected Physical Assets</w:t>
            </w:r>
            <w:r>
              <w:rPr>
                <w:rFonts w:ascii="Times New Roman;Times;Serif" w:hAnsi="Times New Roman;Times;Serif"/>
              </w:rPr>
              <w:t>.    According to data from IDC, the number of connected IoT assets, such as machinery, vehicles, warehouses, and factories, is expected to significantly increase, from approximately 33 billion in 2021 to 39 billion by 2024.</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Advances in Cloud-Based Big Data</w:t>
            </w:r>
            <w:r>
              <w:rPr>
                <w:rFonts w:ascii="Times New Roman;Times;Serif" w:hAnsi="Times New Roman;Times;Serif"/>
              </w:rPr>
              <w:t>.    The cloud has significantly lowered computing and storage costs, which has enabled massive amounts of data to be processed and analyzed efficiently. With these advances, more businesses are transitioning to the cloud, which simplifies data extraction and data integration.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Faster and Cheaper Wireless Capabilities</w:t>
            </w:r>
            <w:r>
              <w:rPr>
                <w:rFonts w:ascii="Times New Roman;Times;Serif" w:hAnsi="Times New Roman;Times;Serif"/>
              </w:rPr>
              <w:t>.    The proliferation of Bluetooth Low Energy and advances in cellular technology have increased the bandwidth 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Improvements in Camera and Sensor Technology</w:t>
            </w:r>
            <w:r>
              <w:rPr>
                <w:rFonts w:ascii="Times New Roman;Times;Serif" w:hAnsi="Times New Roman;Times;Serif"/>
              </w:rPr>
              <w:t>.    Cameras and other sensor technology have experienced rapid innovation, with improvements in capture quality at lower cost. Cameras and other sensors have become smaller, more affordable, more energy-efficient, and more sensitive, resulting in their widespread proliferation.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More Powerful Artificial Intelligence</w:t>
            </w:r>
            <w:r>
              <w:rPr>
                <w:rFonts w:ascii="Times New Roman;Times;Serif" w:hAnsi="Times New Roman;Times;Serif"/>
              </w:rPr>
              <w:t>.    AI algorithms are becoming increasingly accurate and flexible, while AI processing capabilities at the edge and in the cloud are growing. The resulting AI capabilities make it possible to analyze quantities of operations and IoT data too voluminous for ordinary human analysis or legacy software, and to distill it down in real-time.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CID Holdco brings a next generation capability to know when, where and why assets move in the enterprise, providing an opportunity to apply AI to complex edge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summary of the state of development of each of our software products and services offerings: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96"/>
        <w:gridCol w:w="90"/>
        <w:gridCol w:w="2868"/>
        <w:gridCol w:w="90"/>
        <w:gridCol w:w="1745"/>
        <w:gridCol w:w="90"/>
        <w:gridCol w:w="1220"/>
        <w:gridCol w:w="90"/>
        <w:gridCol w:w="170"/>
        <w:gridCol w:w="1010"/>
        <w:gridCol w:w="136"/>
      </w:tblGrid>
      <w:tr>
        <w:trPr/>
        <w:tc>
          <w:tcPr>
            <w:tcW w:w="2696" w:type="dxa"/>
            <w:tcBorders>
              <w:bottom w:val="single" w:sz="12" w:space="0" w:color="000000"/>
            </w:tcBorders>
            <w:vAlign w:val="center"/>
          </w:tcPr>
          <w:p>
            <w:pPr>
              <w:pStyle w:val="TableContents"/>
              <w:bidi w:val="0"/>
              <w:spacing w:before="0" w:after="283"/>
              <w:jc w:val="left"/>
              <w:rPr>
                <w:b/>
              </w:rPr>
            </w:pPr>
            <w:r>
              <w:rPr>
                <w:b/>
              </w:rPr>
              <w:t>Software Capitalization</w:t>
            </w:r>
          </w:p>
        </w:tc>
        <w:tc>
          <w:tcPr>
            <w:tcW w:w="90" w:type="dxa"/>
            <w:tcBorders/>
            <w:tcMar>
              <w:bottom w:w="0" w:type="dxa"/>
            </w:tcMar>
            <w:vAlign w:val="center"/>
          </w:tcPr>
          <w:p>
            <w:pPr>
              <w:pStyle w:val="TableContents"/>
              <w:bidi w:val="0"/>
              <w:spacing w:before="0" w:after="283"/>
              <w:jc w:val="left"/>
              <w:rPr/>
            </w:pPr>
            <w:r>
              <w:rPr/>
              <w:t> </w:t>
            </w:r>
          </w:p>
        </w:tc>
        <w:tc>
          <w:tcPr>
            <w:tcW w:w="2868" w:type="dxa"/>
            <w:tcBorders>
              <w:bottom w:val="single" w:sz="12" w:space="0" w:color="000000"/>
            </w:tcBorders>
            <w:vAlign w:val="center"/>
          </w:tcPr>
          <w:p>
            <w:pPr>
              <w:pStyle w:val="TableContents"/>
              <w:bidi w:val="0"/>
              <w:spacing w:before="0" w:after="283"/>
              <w:jc w:val="center"/>
              <w:rPr>
                <w:b/>
              </w:rPr>
            </w:pPr>
            <w:r>
              <w:rPr>
                <w:b/>
              </w:rPr>
              <w:t>Description</w:t>
            </w:r>
          </w:p>
        </w:tc>
        <w:tc>
          <w:tcPr>
            <w:tcW w:w="90" w:type="dxa"/>
            <w:tcBorders/>
            <w:tcMar>
              <w:bottom w:w="0" w:type="dxa"/>
            </w:tcMar>
            <w:vAlign w:val="center"/>
          </w:tcPr>
          <w:p>
            <w:pPr>
              <w:pStyle w:val="TableContents"/>
              <w:bidi w:val="0"/>
              <w:spacing w:before="0" w:after="283"/>
              <w:jc w:val="left"/>
              <w:rPr/>
            </w:pPr>
            <w:r>
              <w:rPr/>
              <w:t> </w:t>
            </w:r>
          </w:p>
        </w:tc>
        <w:tc>
          <w:tcPr>
            <w:tcW w:w="1745" w:type="dxa"/>
            <w:tcBorders>
              <w:bottom w:val="single" w:sz="12" w:space="0" w:color="000000"/>
            </w:tcBorders>
            <w:vAlign w:val="center"/>
          </w:tcPr>
          <w:p>
            <w:pPr>
              <w:pStyle w:val="TableContents"/>
              <w:bidi w:val="0"/>
              <w:spacing w:before="0" w:after="283"/>
              <w:jc w:val="center"/>
              <w:rPr>
                <w:b/>
              </w:rPr>
            </w:pPr>
            <w:r>
              <w:rPr>
                <w:b/>
              </w:rPr>
              <w:t>Currently under</w:t>
              <w:br/>
              <w:t>development</w:t>
            </w:r>
          </w:p>
        </w:tc>
        <w:tc>
          <w:tcPr>
            <w:tcW w:w="9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b/>
              </w:rPr>
            </w:pPr>
            <w:r>
              <w:rPr>
                <w:b/>
              </w:rPr>
              <w:t>Timing for</w:t>
              <w:br/>
              <w:t>commercial</w:t>
              <w:br/>
              <w:t>release</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Remaining</w:t>
              <w:br/>
              <w:t>estimated</w:t>
              <w:br/>
              <w:t>costs</w:t>
            </w:r>
          </w:p>
        </w:tc>
        <w:tc>
          <w:tcPr>
            <w:tcW w:w="136" w:type="dxa"/>
            <w:tcBorders/>
            <w:tcMar>
              <w:bottom w:w="0" w:type="dxa"/>
            </w:tcMar>
            <w:vAlign w:val="center"/>
          </w:tcPr>
          <w:p>
            <w:pPr>
              <w:pStyle w:val="TableContents"/>
              <w:bidi w:val="0"/>
              <w:spacing w:before="0" w:after="283"/>
              <w:jc w:val="left"/>
              <w:rPr/>
            </w:pPr>
            <w:r>
              <w:rPr/>
              <w:t> </w:t>
            </w:r>
          </w:p>
        </w:tc>
      </w:tr>
      <w:tr>
        <w:trPr/>
        <w:tc>
          <w:tcPr>
            <w:tcW w:w="2696" w:type="dxa"/>
            <w:tcBorders/>
            <w:shd w:fill="CCEEFF" w:val="clear"/>
            <w:tcMar>
              <w:bottom w:w="0" w:type="dxa"/>
            </w:tcMar>
            <w:vAlign w:val="center"/>
          </w:tcPr>
          <w:p>
            <w:pPr>
              <w:pStyle w:val="TableContents"/>
              <w:bidi w:val="0"/>
              <w:spacing w:before="0" w:after="283"/>
              <w:jc w:val="left"/>
              <w:rPr>
                <w:b/>
              </w:rPr>
            </w:pPr>
            <w:r>
              <w:rPr>
                <w:b/>
              </w:rPr>
              <w:t>BLE Protocol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8" w:type="dxa"/>
            <w:tcBorders/>
            <w:shd w:fill="CCEEFF" w:val="clear"/>
            <w:tcMar>
              <w:bottom w:w="0" w:type="dxa"/>
            </w:tcMar>
            <w:vAlign w:val="center"/>
          </w:tcPr>
          <w:p>
            <w:pPr>
              <w:pStyle w:val="TableContents"/>
              <w:bidi w:val="0"/>
              <w:spacing w:before="0" w:after="283"/>
              <w:jc w:val="left"/>
              <w:rPr/>
            </w:pPr>
            <w:r>
              <w:rPr/>
              <w:t>Software protocol development for communication between bridges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1.4 in progress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2025 Q4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347,000</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2696" w:type="dxa"/>
            <w:tcBorders/>
            <w:shd w:fill="FFFFFF" w:val="clear"/>
            <w:tcMar>
              <w:bottom w:w="0" w:type="dxa"/>
            </w:tcMar>
            <w:vAlign w:val="center"/>
          </w:tcPr>
          <w:p>
            <w:pPr>
              <w:pStyle w:val="TableContents"/>
              <w:bidi w:val="0"/>
              <w:spacing w:before="0" w:after="283"/>
              <w:jc w:val="left"/>
              <w:rPr>
                <w:b/>
              </w:rPr>
            </w:pPr>
            <w:r>
              <w:rPr>
                <w:b/>
              </w:rPr>
              <w:t>Locating Protocol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8" w:type="dxa"/>
            <w:tcBorders/>
            <w:shd w:fill="FFFFFF" w:val="clear"/>
            <w:tcMar>
              <w:bottom w:w="0" w:type="dxa"/>
            </w:tcMar>
            <w:vAlign w:val="center"/>
          </w:tcPr>
          <w:p>
            <w:pPr>
              <w:pStyle w:val="TableContents"/>
              <w:bidi w:val="0"/>
              <w:spacing w:before="0" w:after="283"/>
              <w:jc w:val="left"/>
              <w:rPr/>
            </w:pPr>
            <w:r>
              <w:rPr/>
              <w:t>Software protocol development for locating items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center"/>
              <w:rPr/>
            </w:pPr>
            <w:r>
              <w:rPr/>
              <w:t>1.4 in progress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pPr>
            <w:r>
              <w:rPr/>
              <w:t>2025 Q4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312,000</w:t>
            </w:r>
          </w:p>
        </w:tc>
        <w:tc>
          <w:tcPr>
            <w:tcW w:w="136" w:type="dxa"/>
            <w:tcBorders/>
            <w:shd w:fill="FFFFFF" w:val="clear"/>
            <w:tcMar>
              <w:bottom w:w="0" w:type="dxa"/>
            </w:tcMar>
            <w:vAlign w:val="center"/>
          </w:tcPr>
          <w:p>
            <w:pPr>
              <w:pStyle w:val="TableContents"/>
              <w:bidi w:val="0"/>
              <w:spacing w:before="0" w:after="283"/>
              <w:jc w:val="left"/>
              <w:rPr/>
            </w:pPr>
            <w:r>
              <w:rPr/>
              <w:t> </w:t>
            </w:r>
          </w:p>
        </w:tc>
      </w:tr>
      <w:tr>
        <w:trPr/>
        <w:tc>
          <w:tcPr>
            <w:tcW w:w="2696" w:type="dxa"/>
            <w:tcBorders/>
            <w:shd w:fill="CCEEFF" w:val="clear"/>
            <w:tcMar>
              <w:bottom w:w="0" w:type="dxa"/>
            </w:tcMar>
            <w:vAlign w:val="center"/>
          </w:tcPr>
          <w:p>
            <w:pPr>
              <w:pStyle w:val="TableContents"/>
              <w:bidi w:val="0"/>
              <w:spacing w:before="0" w:after="283"/>
              <w:jc w:val="left"/>
              <w:rPr>
                <w:b/>
              </w:rPr>
            </w:pPr>
            <w:r>
              <w:rPr>
                <w:b/>
              </w:rPr>
              <w:t>Web Backend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8" w:type="dxa"/>
            <w:tcBorders/>
            <w:shd w:fill="CCEEFF" w:val="clear"/>
            <w:tcMar>
              <w:bottom w:w="0" w:type="dxa"/>
            </w:tcMar>
            <w:vAlign w:val="center"/>
          </w:tcPr>
          <w:p>
            <w:pPr>
              <w:pStyle w:val="TableContents"/>
              <w:bidi w:val="0"/>
              <w:spacing w:before="0" w:after="283"/>
              <w:jc w:val="left"/>
              <w:rPr/>
            </w:pPr>
            <w:r>
              <w:rPr/>
              <w:t>Software infrastructure to support web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3.0 in progress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2025 Q4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249,600</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2696" w:type="dxa"/>
            <w:tcBorders/>
            <w:shd w:fill="FFFFFF" w:val="clear"/>
            <w:tcMar>
              <w:bottom w:w="0" w:type="dxa"/>
            </w:tcMar>
            <w:vAlign w:val="center"/>
          </w:tcPr>
          <w:p>
            <w:pPr>
              <w:pStyle w:val="TableContents"/>
              <w:bidi w:val="0"/>
              <w:spacing w:before="0" w:after="283"/>
              <w:jc w:val="left"/>
              <w:rPr>
                <w:b/>
              </w:rPr>
            </w:pPr>
            <w:r>
              <w:rPr>
                <w:b/>
              </w:rPr>
              <w:t>Rest API</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8" w:type="dxa"/>
            <w:tcBorders/>
            <w:shd w:fill="FFFFFF" w:val="clear"/>
            <w:tcMar>
              <w:bottom w:w="0" w:type="dxa"/>
            </w:tcMar>
            <w:vAlign w:val="center"/>
          </w:tcPr>
          <w:p>
            <w:pPr>
              <w:pStyle w:val="TableContents"/>
              <w:bidi w:val="0"/>
              <w:spacing w:before="0" w:after="283"/>
              <w:jc w:val="left"/>
              <w:rPr/>
            </w:pPr>
            <w:r>
              <w:rPr/>
              <w:t>RestFull interface development for 3</w:t>
            </w:r>
            <w:r>
              <w:rPr>
                <w:position w:val="8"/>
                <w:sz w:val="19"/>
              </w:rPr>
              <w:t>rd</w:t>
            </w:r>
            <w:r>
              <w:rPr/>
              <w:t> party software connection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center"/>
              <w:rPr/>
            </w:pPr>
            <w:r>
              <w:rPr/>
              <w:t>3.0 in progress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pPr>
            <w:r>
              <w:rPr/>
              <w:t>2025 Q4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146,800</w:t>
            </w:r>
          </w:p>
        </w:tc>
        <w:tc>
          <w:tcPr>
            <w:tcW w:w="136" w:type="dxa"/>
            <w:tcBorders/>
            <w:shd w:fill="FFFFFF" w:val="clear"/>
            <w:tcMar>
              <w:bottom w:w="0" w:type="dxa"/>
            </w:tcMar>
            <w:vAlign w:val="center"/>
          </w:tcPr>
          <w:p>
            <w:pPr>
              <w:pStyle w:val="TableContents"/>
              <w:bidi w:val="0"/>
              <w:spacing w:before="0" w:after="283"/>
              <w:jc w:val="left"/>
              <w:rPr/>
            </w:pPr>
            <w:r>
              <w:rPr/>
              <w:t> </w:t>
            </w:r>
          </w:p>
        </w:tc>
      </w:tr>
      <w:tr>
        <w:trPr/>
        <w:tc>
          <w:tcPr>
            <w:tcW w:w="2696" w:type="dxa"/>
            <w:tcBorders/>
            <w:shd w:fill="CCEEFF" w:val="clear"/>
            <w:tcMar>
              <w:bottom w:w="0" w:type="dxa"/>
            </w:tcMar>
            <w:vAlign w:val="center"/>
          </w:tcPr>
          <w:p>
            <w:pPr>
              <w:pStyle w:val="TableContents"/>
              <w:bidi w:val="0"/>
              <w:spacing w:before="0" w:after="283"/>
              <w:jc w:val="left"/>
              <w:rPr>
                <w:b/>
              </w:rPr>
            </w:pPr>
            <w:r>
              <w:rPr>
                <w:b/>
              </w:rPr>
              <w:t>Web Front End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8" w:type="dxa"/>
            <w:tcBorders/>
            <w:shd w:fill="CCEEFF" w:val="clear"/>
            <w:tcMar>
              <w:bottom w:w="0" w:type="dxa"/>
            </w:tcMar>
            <w:vAlign w:val="center"/>
          </w:tcPr>
          <w:p>
            <w:pPr>
              <w:pStyle w:val="TableContents"/>
              <w:bidi w:val="0"/>
              <w:spacing w:before="0" w:after="283"/>
              <w:jc w:val="left"/>
              <w:rPr/>
            </w:pPr>
            <w:r>
              <w:rPr/>
              <w:t>User interface to web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3.0 in progress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2025 Q4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249,600</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2696" w:type="dxa"/>
            <w:tcBorders/>
            <w:shd w:fill="FFFFFF" w:val="clear"/>
            <w:tcMar>
              <w:bottom w:w="0" w:type="dxa"/>
            </w:tcMar>
            <w:vAlign w:val="center"/>
          </w:tcPr>
          <w:p>
            <w:pPr>
              <w:pStyle w:val="TableContents"/>
              <w:bidi w:val="0"/>
              <w:spacing w:before="0" w:after="283"/>
              <w:jc w:val="left"/>
              <w:rPr>
                <w:b/>
              </w:rPr>
            </w:pPr>
            <w:r>
              <w:rPr>
                <w:b/>
              </w:rPr>
              <w:t>AWS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8" w:type="dxa"/>
            <w:tcBorders/>
            <w:shd w:fill="FFFFFF" w:val="clear"/>
            <w:tcMar>
              <w:bottom w:w="0" w:type="dxa"/>
            </w:tcMar>
            <w:vAlign w:val="center"/>
          </w:tcPr>
          <w:p>
            <w:pPr>
              <w:pStyle w:val="TableContents"/>
              <w:bidi w:val="0"/>
              <w:spacing w:before="0" w:after="283"/>
              <w:jc w:val="left"/>
              <w:rPr/>
            </w:pPr>
            <w:r>
              <w:rPr/>
              <w:t>Development of structure to use AWS service modules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center"/>
              <w:rPr/>
            </w:pPr>
            <w:r>
              <w:rPr/>
              <w:t>3.0 in progress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pPr>
            <w:r>
              <w:rPr/>
              <w:t>2025 Q4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112,000</w:t>
            </w:r>
          </w:p>
        </w:tc>
        <w:tc>
          <w:tcPr>
            <w:tcW w:w="136" w:type="dxa"/>
            <w:tcBorders/>
            <w:shd w:fill="FFFFFF" w:val="clear"/>
            <w:tcMar>
              <w:bottom w:w="0" w:type="dxa"/>
            </w:tcMar>
            <w:vAlign w:val="center"/>
          </w:tcPr>
          <w:p>
            <w:pPr>
              <w:pStyle w:val="TableContents"/>
              <w:bidi w:val="0"/>
              <w:spacing w:before="0" w:after="283"/>
              <w:jc w:val="left"/>
              <w:rPr/>
            </w:pPr>
            <w:r>
              <w:rPr/>
              <w:t> </w:t>
            </w:r>
          </w:p>
        </w:tc>
      </w:tr>
      <w:tr>
        <w:trPr/>
        <w:tc>
          <w:tcPr>
            <w:tcW w:w="2696" w:type="dxa"/>
            <w:tcBorders/>
            <w:shd w:fill="CCEEFF" w:val="clear"/>
            <w:tcMar>
              <w:bottom w:w="0" w:type="dxa"/>
            </w:tcMar>
            <w:vAlign w:val="center"/>
          </w:tcPr>
          <w:p>
            <w:pPr>
              <w:pStyle w:val="TableContents"/>
              <w:bidi w:val="0"/>
              <w:spacing w:before="0" w:after="283"/>
              <w:jc w:val="left"/>
              <w:rPr>
                <w:b/>
              </w:rPr>
            </w:pPr>
            <w:r>
              <w:rPr>
                <w:b/>
              </w:rPr>
              <w:t>CI/CD Pipelines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8" w:type="dxa"/>
            <w:tcBorders/>
            <w:shd w:fill="CCEEFF" w:val="clear"/>
            <w:tcMar>
              <w:bottom w:w="0" w:type="dxa"/>
            </w:tcMar>
            <w:vAlign w:val="center"/>
          </w:tcPr>
          <w:p>
            <w:pPr>
              <w:pStyle w:val="TableContents"/>
              <w:bidi w:val="0"/>
              <w:spacing w:before="0" w:after="283"/>
              <w:jc w:val="left"/>
              <w:rPr/>
            </w:pPr>
            <w:r>
              <w:rPr/>
              <w:t>Integration and deployment tool development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3.0 in progress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2025 Q4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57,200</w:t>
            </w:r>
          </w:p>
        </w:tc>
        <w:tc>
          <w:tcPr>
            <w:tcW w:w="136" w:type="dxa"/>
            <w:tcBorders/>
            <w:shd w:fill="CCEEFF" w:val="clear"/>
            <w:tcMar>
              <w:bottom w:w="0" w:type="dxa"/>
            </w:tcMar>
            <w:vAlign w:val="center"/>
          </w:tcPr>
          <w:p>
            <w:pPr>
              <w:pStyle w:val="TableContents"/>
              <w:bidi w:val="0"/>
              <w:spacing w:before="0" w:after="283"/>
              <w:jc w:val="left"/>
              <w:rPr/>
            </w:pPr>
            <w:r>
              <w:rPr/>
              <w:t> </w:t>
            </w:r>
          </w:p>
        </w:tc>
      </w:tr>
      <w:tr>
        <w:trPr/>
        <w:tc>
          <w:tcPr>
            <w:tcW w:w="2696" w:type="dxa"/>
            <w:tcBorders/>
            <w:shd w:fill="FFFFFF" w:val="clear"/>
            <w:tcMar>
              <w:bottom w:w="0" w:type="dxa"/>
            </w:tcMar>
            <w:vAlign w:val="center"/>
          </w:tcPr>
          <w:p>
            <w:pPr>
              <w:pStyle w:val="TableContents"/>
              <w:bidi w:val="0"/>
              <w:spacing w:before="0" w:after="283"/>
              <w:jc w:val="left"/>
              <w:rPr>
                <w:b/>
              </w:rPr>
            </w:pPr>
            <w:r>
              <w:rPr>
                <w:b/>
              </w:rPr>
              <w:t>LORA LoRa &amp; Reliability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8" w:type="dxa"/>
            <w:tcBorders/>
            <w:shd w:fill="FFFFFF" w:val="clear"/>
            <w:tcMar>
              <w:bottom w:w="0" w:type="dxa"/>
            </w:tcMar>
            <w:vAlign w:val="center"/>
          </w:tcPr>
          <w:p>
            <w:pPr>
              <w:pStyle w:val="TableContents"/>
              <w:bidi w:val="0"/>
              <w:spacing w:before="0" w:after="283"/>
              <w:jc w:val="left"/>
              <w:rPr/>
            </w:pPr>
            <w:r>
              <w:rPr/>
              <w:t>Long range communication protocol development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5" w:type="dxa"/>
            <w:tcBorders/>
            <w:shd w:fill="FFFFFF" w:val="clear"/>
            <w:tcMar>
              <w:bottom w:w="0" w:type="dxa"/>
            </w:tcMar>
            <w:vAlign w:val="center"/>
          </w:tcPr>
          <w:p>
            <w:pPr>
              <w:pStyle w:val="TableContents"/>
              <w:bidi w:val="0"/>
              <w:spacing w:before="0" w:after="283"/>
              <w:jc w:val="center"/>
              <w:rPr/>
            </w:pPr>
            <w:r>
              <w:rPr/>
              <w:t>1.4 in progress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pPr>
            <w:r>
              <w:rPr/>
              <w:t>2025 Q4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w:t>
            </w:r>
          </w:p>
        </w:tc>
        <w:tc>
          <w:tcPr>
            <w:tcW w:w="1010" w:type="dxa"/>
            <w:tcBorders>
              <w:bottom w:val="single" w:sz="12" w:space="0" w:color="000000"/>
            </w:tcBorders>
            <w:shd w:fill="FFFFFF" w:val="clear"/>
            <w:vAlign w:val="center"/>
          </w:tcPr>
          <w:p>
            <w:pPr>
              <w:pStyle w:val="TableContents"/>
              <w:bidi w:val="0"/>
              <w:spacing w:before="0" w:after="283"/>
              <w:jc w:val="right"/>
              <w:rPr/>
            </w:pPr>
            <w:r>
              <w:rPr/>
              <w:t>154,000</w:t>
            </w:r>
          </w:p>
        </w:tc>
        <w:tc>
          <w:tcPr>
            <w:tcW w:w="13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96" w:type="dxa"/>
            <w:tcBorders/>
            <w:shd w:fill="CCEEFF" w:val="clear"/>
            <w:tcMar>
              <w:bottom w:w="0" w:type="dxa"/>
            </w:tcMar>
            <w:vAlign w:val="center"/>
          </w:tcPr>
          <w:p>
            <w:pPr>
              <w:pStyle w:val="TableContents"/>
              <w:bidi w:val="0"/>
              <w:spacing w:before="0" w:after="283"/>
              <w:jc w:val="left"/>
              <w:rPr>
                <w:b/>
              </w:rPr>
            </w:pPr>
            <w:r>
              <w:rPr>
                <w:b/>
              </w:rPr>
              <w:t>Total Projected Software Development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1,628,200</w:t>
            </w:r>
          </w:p>
        </w:tc>
        <w:tc>
          <w:tcPr>
            <w:tcW w:w="13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Real-Time Location Systems (“RTLS”)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RTLS is a real-time indoor and outdoor location tracking system that locates and monitors any person, asset or vehicle within a defined zone covered by a radio frequency (“RF”)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Tracking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personnel tracking enabled with passive or wireless rechargeable ID badges or belt clips, allowing data-driven efficiency and safety. Both indoor and outdoor tracking capabilities are supported by CID Holdco innovative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and vehicles can often be tracked with vision systems as well. In many instances, tracking through key POI (Points of Interest) with RF and vision is essential to provide enhanced safety or assurance for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CID Holdco utilizes vehicle telematics systems where appropriate to track vehicles over wide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Sensors (temperature, motion, pressure etc.) are also often deployed as part of the system to track key process parameters and can be inputs into the rules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that need to know when, where and why assets and personnel are moving, and to have assurance that orders are progressing, CID Holdco provides a variety of solutions,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Management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and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Military Operations and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Airport and Aviation Ground Support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solutions allow customers to create a connected network of vehicles, ground support equipment (“GSE”) and personnel with more control over the coordination of airport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Forklift Collision Warning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RTLS healthcare system includes a comprehensive digital pattern of human and asset movement and their use and interaction, so that customers get actionable insights to improve patient experience and outcome while optimizing internal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Artificial Intelligence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5"/>
        <w:gridCol w:w="9962"/>
      </w:tblGrid>
      <w:tr>
        <w:trPr/>
        <w:tc>
          <w:tcPr>
            <w:tcW w:w="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w:t>
            </w:r>
            <w:r>
              <w:rPr>
                <w:rFonts w:ascii="Times New Roman;Times;Serif" w:hAnsi="Times New Roman;Times;Serif"/>
                <w:b/>
              </w:rPr>
              <w:t>AI Cameras</w:t>
            </w:r>
            <w:r>
              <w:rPr>
                <w:rFonts w:ascii="Times New Roman;Times;Serif" w:hAnsi="Times New Roman;Times;Serif"/>
              </w:rPr>
              <w:t>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7"/>
        <w:gridCol w:w="9960"/>
      </w:tblGrid>
      <w:tr>
        <w:trPr/>
        <w:tc>
          <w:tcPr>
            <w:tcW w:w="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a </w:t>
            </w:r>
            <w:r>
              <w:rPr>
                <w:rFonts w:ascii="Times New Roman;Times;Serif" w:hAnsi="Times New Roman;Times;Serif"/>
                <w:b/>
              </w:rPr>
              <w:t>Rules Engine</w:t>
            </w:r>
            <w:r>
              <w:rPr>
                <w:rFonts w:ascii="Times New Roman;Times;Serif" w:hAnsi="Times New Roman;Times;Serif"/>
              </w:rPr>
              <w:t>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6"/>
        <w:gridCol w:w="9961"/>
      </w:tblGrid>
      <w:tr>
        <w:trPr/>
        <w:tc>
          <w:tcPr>
            <w:tcW w:w="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use AI to implement </w:t>
            </w:r>
            <w:r>
              <w:rPr>
                <w:rFonts w:ascii="Times New Roman;Times;Serif" w:hAnsi="Times New Roman;Times;Serif"/>
                <w:b/>
              </w:rPr>
              <w:t>Enhanced Workflows</w:t>
            </w:r>
            <w:r>
              <w:rPr>
                <w:rFonts w:ascii="Times New Roman;Times;Serif" w:hAnsi="Times New Roman;Times;Serif"/>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developing and implementing our AI algorithms, we use the following third-party toolkits: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AWS Services: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AWS KVS: Used for video streaming, not inherently AI, but can be integrated with AI for video analysis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Libraries: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YOLOv8 &amp; YOLOv10: These are object detection models specifically used for AI purposes, particularly computer vision.</w:t>
            </w:r>
          </w:p>
        </w:tc>
      </w:tr>
    </w:tbl>
    <w:p>
      <w:pPr>
        <w:pStyle w:val="TextBody"/>
        <w:bidi w:val="0"/>
        <w:spacing w:before="0" w:after="0"/>
        <w:ind w:left="960" w:right="0" w:hanging="48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68"/>
        <w:gridCol w:w="290"/>
        <w:gridCol w:w="951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open-cv: An open-source library used for computer vision tasks, commonly used in AI applications.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deepsort: Used for tracking objects, often paired with AI models like YOLO for real-time AI-based tracking.</w:t>
            </w:r>
          </w:p>
        </w:tc>
      </w:tr>
    </w:tbl>
    <w:p>
      <w:pPr>
        <w:pStyle w:val="TextBody"/>
        <w:bidi w:val="0"/>
        <w:spacing w:before="0" w:after="0"/>
        <w:ind w:left="960" w:right="0" w:hanging="480"/>
        <w:jc w:val="left"/>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68"/>
        <w:gridCol w:w="290"/>
        <w:gridCol w:w="875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pytorch: A deep learning library, essential for AI and machine learning model development.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numpy: A fundamental library for numerical computations, frequently used in AI tasks for handling data arrays.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 Tools &amp; Data:</w:t>
      </w:r>
    </w:p>
    <w:p>
      <w:pPr>
        <w:pStyle w:val="TextBody"/>
        <w:bidi w:val="0"/>
        <w:spacing w:before="0" w:after="0"/>
        <w:ind w:left="960" w:right="0" w:hanging="48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68"/>
        <w:gridCol w:w="290"/>
        <w:gridCol w:w="518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Stable Diffusion: An AI model for generating images.</w:t>
            </w:r>
          </w:p>
        </w:tc>
      </w:tr>
    </w:tbl>
    <w:p>
      <w:pPr>
        <w:pStyle w:val="TextBody"/>
        <w:bidi w:val="0"/>
        <w:spacing w:before="0" w:after="0"/>
        <w:ind w:left="960" w:right="0" w:hanging="48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90"/>
        <w:gridCol w:w="626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Midjourney: An AI tool for generating images from text prompts.</w:t>
            </w:r>
          </w:p>
        </w:tc>
      </w:tr>
    </w:tbl>
    <w:p>
      <w:pPr>
        <w:pStyle w:val="TextBody"/>
        <w:bidi w:val="0"/>
        <w:spacing w:before="0" w:after="0"/>
        <w:ind w:left="960" w:right="0" w:hanging="48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68"/>
        <w:gridCol w:w="29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Adobe Firefly: AI-powered creative tools for image and video editing.</w:t>
            </w:r>
          </w:p>
        </w:tc>
      </w:tr>
    </w:tbl>
    <w:p>
      <w:pPr>
        <w:pStyle w:val="TextBody"/>
        <w:bidi w:val="0"/>
        <w:spacing w:before="0" w:after="0"/>
        <w:ind w:left="960" w:right="0" w:hanging="48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9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Roboflow: A platform that assists in building computer vision models, supporting AI workflows.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Tools: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labelImg: Used for labeling images, an important step in AI model training, especially for computer 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having 44 full-time equivalent employees in 2025. These resources are organized into five major departments, each headed by an executive as shown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81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3810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based in the United States with four existing or planned locations of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 hosts our Go-To-Market team including our Sales, Marketing and Professional Services leadership, a Western Experience Center for demonstrations as well as customer and channel training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Maryland — hosts our General &amp; Administration leadership team, an Eastern Experience Center for demonstrations as well as customer and channel training facilities.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Manati, Puerto Rico — the site of our hardware manufacturing, a small factory producing selected tags and bridges that are specific to the unique tracking system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Leaders in Tracking and AutoID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Zebra</w:t>
      </w:r>
      <w:r>
        <w:rPr>
          <w:rFonts w:ascii="Times New Roman;Times;Serif" w:hAnsi="Times New Roman;Times;Serif"/>
          <w:b w:val="false"/>
          <w:i w:val="false"/>
          <w:caps w:val="false"/>
          <w:smallCaps w:val="false"/>
          <w:sz w:val="20"/>
        </w:rPr>
        <w:t>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Samsara</w:t>
      </w:r>
      <w:r>
        <w:rPr>
          <w:rFonts w:ascii="Times New Roman;Times;Serif" w:hAnsi="Times New Roman;Times;Serif"/>
          <w:b w:val="false"/>
          <w:i w:val="false"/>
          <w:caps w:val="false"/>
          <w:smallCaps w:val="false"/>
          <w:sz w:val="20"/>
        </w:rPr>
        <w:t>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Niche or Regional Tracking System Players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crowded with small players as is typical in periods of generational transition. Many are attempting to apply IoT technology in a specific way or focused on a particular vertical application.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01"/>
        <w:gridCol w:w="90"/>
        <w:gridCol w:w="1413"/>
        <w:gridCol w:w="90"/>
        <w:gridCol w:w="7511"/>
      </w:tblGrid>
      <w:tr>
        <w:trPr/>
        <w:tc>
          <w:tcPr>
            <w:tcW w:w="110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90" w:type="dxa"/>
            <w:tcBorders/>
            <w:tcMar>
              <w:bottom w:w="0" w:type="dxa"/>
            </w:tcMar>
            <w:vAlign w:val="center"/>
          </w:tcPr>
          <w:p>
            <w:pPr>
              <w:pStyle w:val="TableContents"/>
              <w:bidi w:val="0"/>
              <w:spacing w:before="0" w:after="283"/>
              <w:jc w:val="left"/>
              <w:rPr/>
            </w:pPr>
            <w:r>
              <w:rPr/>
              <w:t> </w:t>
            </w:r>
          </w:p>
        </w:tc>
        <w:tc>
          <w:tcPr>
            <w:tcW w:w="141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751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Link Labs</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Annapolis, MD</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a patented overlay protocol XLE (extreme low energy). Phase-ranging with 3 – 7 years battery life and accuracy in asset location to within a meter. Use pRFID too.</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Cognosos</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Atlanta, GA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Location AI technology, LoRA distance backhaul using Semtech LPWA, 1-3m accuracy. Use pRFID too.</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Spot</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Irving, TX</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system, focused on Health Care market</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Blueiot</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China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They claim to have done a BLE implementation with accuracy to 10cm.</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Dusun</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China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some zigbee, broad hardware offer.</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Mokosmart</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Shenzen, China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Big hardware maker, #1 in our space for private labelling</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Milesight</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Fujian, China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Lora, BLE and video feeds in their system</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Matter</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Perth, AUS</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Telematics and tracking systems, LoRA and BLE</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Abeeway</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 France</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indoor and outdoor capability</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Kontakt.io</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Krakow, Poland</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Initially a hardware vendor, have grown into full solution with hardware as a key element</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Ubisense</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UK</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Radiant RFID</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 Texas</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UHF RFID systems, attempting to migrate to next generation technology</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Sensolus</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Tracking and workflow systems</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Litum</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Izmir, Turkey</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Alexandria, VA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Military supplier, long range tracking tags for containers and pallets. ISO 18000-7</w:t>
            </w:r>
          </w:p>
        </w:tc>
      </w:tr>
      <w:tr>
        <w:trPr/>
        <w:tc>
          <w:tcPr>
            <w:tcW w:w="110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left"/>
              <w:rPr/>
            </w:pPr>
            <w:r>
              <w:rPr/>
              <w:t> </w:t>
            </w:r>
          </w:p>
        </w:tc>
      </w:tr>
      <w:tr>
        <w:trPr/>
        <w:tc>
          <w:tcPr>
            <w:tcW w:w="11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Inpixion</w:t>
            </w:r>
          </w:p>
        </w:tc>
        <w:tc>
          <w:tcPr>
            <w:tcW w:w="90" w:type="dxa"/>
            <w:tcBorders/>
            <w:tcMar>
              <w:bottom w:w="0" w:type="dxa"/>
            </w:tcMar>
            <w:vAlign w:val="center"/>
          </w:tcPr>
          <w:p>
            <w:pPr>
              <w:pStyle w:val="TableContents"/>
              <w:bidi w:val="0"/>
              <w:spacing w:before="0" w:after="283"/>
              <w:jc w:val="left"/>
              <w:rPr/>
            </w:pPr>
            <w:r>
              <w:rPr/>
              <w:t> </w:t>
            </w:r>
          </w:p>
        </w:tc>
        <w:tc>
          <w:tcPr>
            <w:tcW w:w="14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 Alto, CA</w:t>
            </w:r>
          </w:p>
        </w:tc>
        <w:tc>
          <w:tcPr>
            <w:tcW w:w="90" w:type="dxa"/>
            <w:tcBorders/>
            <w:tcMar>
              <w:bottom w:w="0" w:type="dxa"/>
            </w:tcMar>
            <w:vAlign w:val="center"/>
          </w:tcPr>
          <w:p>
            <w:pPr>
              <w:pStyle w:val="TableContents"/>
              <w:bidi w:val="0"/>
              <w:spacing w:before="0" w:after="283"/>
              <w:jc w:val="left"/>
              <w:rPr/>
            </w:pPr>
            <w:r>
              <w:rPr/>
              <w:t> </w:t>
            </w:r>
          </w:p>
        </w:tc>
        <w:tc>
          <w:tcPr>
            <w:tcW w:w="751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BLE and UWB as needed. Open architecture. Inpixon is a business unit of XTI Aerospace, Inc.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these smaller players represent approximately $350M in annual sales. Most are using a transactional model, selling software and hardware bundled into a solution with a one-time fee, often with a maintenance fee for each year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industry specific players, particularly in Health Care, where the requirements can be quite specific and the use cases focused.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wide technology spread. Some specialize in precise location services using UWB. Some are strictly BLE or LoRA shops.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this list does not include all of the passive RFID and barcode system companies also active in the market. Their legacy footprint represents one of the best market opportunities to convert.</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90"/>
        <w:gridCol w:w="1391"/>
        <w:gridCol w:w="90"/>
        <w:gridCol w:w="7639"/>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90" w:type="dxa"/>
            <w:tcBorders/>
            <w:tcMar>
              <w:bottom w:w="0" w:type="dxa"/>
            </w:tcMar>
            <w:vAlign w:val="center"/>
          </w:tcPr>
          <w:p>
            <w:pPr>
              <w:pStyle w:val="TableContents"/>
              <w:bidi w:val="0"/>
              <w:spacing w:before="0" w:after="283"/>
              <w:jc w:val="left"/>
              <w:rPr/>
            </w:pPr>
            <w:r>
              <w:rPr/>
              <w:t> </w:t>
            </w:r>
          </w:p>
        </w:tc>
        <w:tc>
          <w:tcPr>
            <w:tcW w:w="139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763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Link Labs</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Annapolis, MD</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a patented overlay protocol XLE (extreme low energy). Phase-ranging with 3 – 7 years battery life and accuracy in asset location to within a meter. Use pRFID too.</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Cognosos</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Atlanta, GA</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with LocationAI technology, LoRA distance backhaul using Semtech LPWA, 1-3m accuracy. Use pRFID too.</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True Spot</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Irving, TX</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BLE system, focused on Health Care market</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Blueiot</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China</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They claim to have done a BLE implementation with accuracy to 10cm.</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Dusun</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China</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some zigbee, broad hardware offer.</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Mokosmart</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Shenzen, China</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Big hardware maker, #1 in our space for private labelling</w:t>
            </w:r>
          </w:p>
        </w:tc>
      </w:tr>
      <w:tr>
        <w:trPr/>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Milesight</w:t>
            </w:r>
          </w:p>
        </w:tc>
        <w:tc>
          <w:tcPr>
            <w:tcW w:w="90" w:type="dxa"/>
            <w:tcBorders/>
            <w:tcMar>
              <w:bottom w:w="0" w:type="dxa"/>
            </w:tcMar>
            <w:vAlign w:val="center"/>
          </w:tcPr>
          <w:p>
            <w:pPr>
              <w:pStyle w:val="TableContents"/>
              <w:bidi w:val="0"/>
              <w:spacing w:before="0" w:after="283"/>
              <w:jc w:val="left"/>
              <w:rPr/>
            </w:pPr>
            <w:r>
              <w:rPr/>
              <w:t> </w:t>
            </w:r>
          </w:p>
        </w:tc>
        <w:tc>
          <w:tcPr>
            <w:tcW w:w="139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Fujian, China</w:t>
            </w:r>
          </w:p>
        </w:tc>
        <w:tc>
          <w:tcPr>
            <w:tcW w:w="90" w:type="dxa"/>
            <w:tcBorders/>
            <w:tcMar>
              <w:bottom w:w="0" w:type="dxa"/>
            </w:tcMar>
            <w:vAlign w:val="center"/>
          </w:tcPr>
          <w:p>
            <w:pPr>
              <w:pStyle w:val="TableContents"/>
              <w:bidi w:val="0"/>
              <w:spacing w:before="0" w:after="283"/>
              <w:jc w:val="left"/>
              <w:rPr/>
            </w:pPr>
            <w:r>
              <w:rPr/>
              <w:t> </w:t>
            </w:r>
          </w:p>
        </w:tc>
        <w:tc>
          <w:tcPr>
            <w:tcW w:w="763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Lora, BLE and video feeds in their system</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77"/>
        <w:gridCol w:w="90"/>
        <w:gridCol w:w="1671"/>
        <w:gridCol w:w="90"/>
        <w:gridCol w:w="7177"/>
      </w:tblGrid>
      <w:tr>
        <w:trPr/>
        <w:tc>
          <w:tcPr>
            <w:tcW w:w="117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90" w:type="dxa"/>
            <w:tcBorders/>
            <w:tcMar>
              <w:bottom w:w="0" w:type="dxa"/>
            </w:tcMar>
            <w:vAlign w:val="center"/>
          </w:tcPr>
          <w:p>
            <w:pPr>
              <w:pStyle w:val="TableContents"/>
              <w:bidi w:val="0"/>
              <w:spacing w:before="0" w:after="283"/>
              <w:jc w:val="left"/>
              <w:rPr/>
            </w:pPr>
            <w:r>
              <w:rPr/>
              <w:t> </w:t>
            </w:r>
          </w:p>
        </w:tc>
        <w:tc>
          <w:tcPr>
            <w:tcW w:w="167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717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Matter</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Perth, AUS</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Telematics and tracking systems, LoRA and BLE</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Abeeway</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 France</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Lorawan and BLE, indoor and outdoor capability</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Kontakt.io</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Krakow, Poland</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Initially a hardware vendor, have grown into full solution with hardware as a key element</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Ubisense</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UK</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Radiant RFID</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 Texas</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UHF RFID systems, attempting to migrate to next generation technology</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Sensolus</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Tracking and workflow systems</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Litum</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Izmir, Turkey</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UWB high precision tracking is the focus, also have a line of BLE tracking solutions.</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Alexandria, VA</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Military supplier, long range tracking tags for containers and pallets. ISO 18000-7</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Inpixion</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 Alto, CA</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BLE and UWB as needed. Open architecture. Inpixon is a business unit of XTI Aerospace, Inc.</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Airista</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Timonium, Maryland</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 with Cisco, wifi and BLE product line with good software interfaces</w:t>
            </w:r>
          </w:p>
        </w:tc>
      </w:tr>
      <w:tr>
        <w:trPr/>
        <w:tc>
          <w:tcPr>
            <w:tcW w:w="1177"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left"/>
              <w:rPr/>
            </w:pPr>
            <w:r>
              <w:rPr/>
              <w:t> </w:t>
            </w:r>
          </w:p>
        </w:tc>
      </w:tr>
      <w:tr>
        <w:trPr/>
        <w:tc>
          <w:tcPr>
            <w:tcW w:w="1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Centrak</w:t>
            </w:r>
          </w:p>
        </w:tc>
        <w:tc>
          <w:tcPr>
            <w:tcW w:w="90" w:type="dxa"/>
            <w:tcBorders/>
            <w:tcMar>
              <w:bottom w:w="0" w:type="dxa"/>
            </w:tcMar>
            <w:vAlign w:val="center"/>
          </w:tcPr>
          <w:p>
            <w:pPr>
              <w:pStyle w:val="TableContents"/>
              <w:bidi w:val="0"/>
              <w:spacing w:before="0" w:after="283"/>
              <w:jc w:val="left"/>
              <w:rPr/>
            </w:pPr>
            <w:r>
              <w:rPr/>
              <w:t> </w:t>
            </w:r>
          </w:p>
        </w:tc>
        <w:tc>
          <w:tcPr>
            <w:tcW w:w="16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Newtown, PA</w:t>
            </w:r>
          </w:p>
        </w:tc>
        <w:tc>
          <w:tcPr>
            <w:tcW w:w="90" w:type="dxa"/>
            <w:tcBorders/>
            <w:tcMar>
              <w:bottom w:w="0" w:type="dxa"/>
            </w:tcMar>
            <w:vAlign w:val="center"/>
          </w:tcPr>
          <w:p>
            <w:pPr>
              <w:pStyle w:val="TableContents"/>
              <w:bidi w:val="0"/>
              <w:spacing w:before="0" w:after="283"/>
              <w:jc w:val="left"/>
              <w:rPr/>
            </w:pPr>
            <w:r>
              <w:rPr/>
              <w:t> </w:t>
            </w:r>
          </w:p>
        </w:tc>
        <w:tc>
          <w:tcPr>
            <w:tcW w:w="717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care focus, Indoor location using wifi and BLE VA contract win was very large.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4"/>
        <w:gridCol w:w="90"/>
        <w:gridCol w:w="1706"/>
        <w:gridCol w:w="90"/>
        <w:gridCol w:w="6825"/>
      </w:tblGrid>
      <w:tr>
        <w:trPr/>
        <w:tc>
          <w:tcPr>
            <w:tcW w:w="149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90" w:type="dxa"/>
            <w:tcBorders/>
            <w:tcMar>
              <w:bottom w:w="0" w:type="dxa"/>
            </w:tcMar>
            <w:vAlign w:val="center"/>
          </w:tcPr>
          <w:p>
            <w:pPr>
              <w:pStyle w:val="TableContents"/>
              <w:bidi w:val="0"/>
              <w:spacing w:before="0" w:after="283"/>
              <w:jc w:val="left"/>
              <w:rPr/>
            </w:pPr>
            <w:r>
              <w:rPr/>
              <w:t> </w:t>
            </w:r>
          </w:p>
        </w:tc>
        <w:tc>
          <w:tcPr>
            <w:tcW w:w="17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68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r>
      <w:tr>
        <w:trPr/>
        <w:tc>
          <w:tcPr>
            <w:tcW w:w="14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Pozyx</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Ghent, Belgium</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Indoor and outdoor rtls. Use of GPS BLE and other technologies opportunistically</w:t>
            </w:r>
          </w:p>
        </w:tc>
      </w:tr>
      <w:tr>
        <w:trPr/>
        <w:tc>
          <w:tcPr>
            <w:tcW w:w="14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left"/>
              <w:rPr/>
            </w:pPr>
            <w:r>
              <w:rPr/>
              <w:t> </w:t>
            </w:r>
          </w:p>
        </w:tc>
      </w:tr>
      <w:tr>
        <w:trPr/>
        <w:tc>
          <w:tcPr>
            <w:tcW w:w="14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Sewio</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Brno, Czech Republic</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Primarily a UWB player, competing in the precision location space. Some edge cases with BLE</w:t>
            </w:r>
          </w:p>
        </w:tc>
      </w:tr>
      <w:tr>
        <w:trPr/>
        <w:tc>
          <w:tcPr>
            <w:tcW w:w="14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left"/>
              <w:rPr/>
            </w:pPr>
            <w:r>
              <w:rPr/>
              <w:t> </w:t>
            </w:r>
          </w:p>
        </w:tc>
      </w:tr>
      <w:tr>
        <w:trPr/>
        <w:tc>
          <w:tcPr>
            <w:tcW w:w="14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Ekahau</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Reston, VA</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Wifi and BLE locating health care and indoor focus</w:t>
            </w:r>
          </w:p>
        </w:tc>
      </w:tr>
      <w:tr>
        <w:trPr/>
        <w:tc>
          <w:tcPr>
            <w:tcW w:w="14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left"/>
              <w:rPr/>
            </w:pPr>
            <w:r>
              <w:rPr/>
              <w:t> </w:t>
            </w:r>
          </w:p>
        </w:tc>
      </w:tr>
      <w:tr>
        <w:trPr/>
        <w:tc>
          <w:tcPr>
            <w:tcW w:w="149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Stanley Healthcare</w:t>
            </w:r>
          </w:p>
        </w:tc>
        <w:tc>
          <w:tcPr>
            <w:tcW w:w="90" w:type="dxa"/>
            <w:tcBorders/>
            <w:tcMar>
              <w:bottom w:w="0" w:type="dxa"/>
            </w:tcMar>
            <w:vAlign w:val="center"/>
          </w:tcPr>
          <w:p>
            <w:pPr>
              <w:pStyle w:val="TableContents"/>
              <w:bidi w:val="0"/>
              <w:spacing w:before="0" w:after="283"/>
              <w:jc w:val="left"/>
              <w:rPr/>
            </w:pPr>
            <w:r>
              <w:rPr/>
              <w:t> </w:t>
            </w:r>
          </w:p>
        </w:tc>
        <w:tc>
          <w:tcPr>
            <w:tcW w:w="17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Litchfield, UK</w:t>
            </w:r>
          </w:p>
        </w:tc>
        <w:tc>
          <w:tcPr>
            <w:tcW w:w="9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care focus, Indoor location using wifi and 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Automation and Sensor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automation players such as </w:t>
      </w:r>
      <w:r>
        <w:rPr>
          <w:rFonts w:ascii="Times New Roman;Times;Serif" w:hAnsi="Times New Roman;Times;Serif"/>
          <w:b/>
          <w:i w:val="false"/>
          <w:caps w:val="false"/>
          <w:smallCaps w:val="false"/>
          <w:sz w:val="20"/>
        </w:rPr>
        <w:t>Honeywell, Siemens, Rockwell Automation, Mitsubishi, Panasonic, Omron, Sick, Schneider Electric </w:t>
      </w:r>
      <w:r>
        <w:rPr>
          <w:rFonts w:ascii="Times New Roman;Times;Serif" w:hAnsi="Times New Roman;Times;Serif"/>
          <w:b w:val="false"/>
          <w:i w:val="false"/>
          <w:caps w:val="false"/>
          <w:smallCaps w:val="false"/>
          <w:sz w:val="20"/>
        </w:rPr>
        <w:t>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ERP, MES or WMS Players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group includes </w:t>
      </w:r>
      <w:r>
        <w:rPr>
          <w:rFonts w:ascii="Times New Roman;Times;Serif" w:hAnsi="Times New Roman;Times;Serif"/>
          <w:b/>
          <w:i w:val="false"/>
          <w:caps w:val="false"/>
          <w:smallCaps w:val="false"/>
          <w:sz w:val="20"/>
        </w:rPr>
        <w:t>Korber, SAP, Microsoft, Oracle, Blue Yonder, Infor, Manhattan Associates</w:t>
      </w:r>
      <w:r>
        <w:rPr>
          <w:rFonts w:ascii="Times New Roman;Times;Serif" w:hAnsi="Times New Roman;Times;Serif"/>
          <w:b w:val="false"/>
          <w:i w:val="false"/>
          <w:caps w:val="false"/>
          <w:smallCaps w:val="false"/>
          <w:sz w:val="20"/>
        </w:rPr>
        <w:t> etc. and can compete with the company in some applications but are most often commercial partners in the solution. SEE ID will act as an edge module that is integrated into their platform for enhanced visibility, safety, assurance, or execution in the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Infrastructure and Integrator Vendor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IBM, CiscoJuniper Networks, JMA, Sirerra Wireless, Dell, Arista, HPE</w:t>
      </w:r>
      <w:r>
        <w:rPr>
          <w:rFonts w:ascii="Times New Roman;Times;Serif" w:hAnsi="Times New Roman;Times;Serif"/>
          <w:b w:val="false"/>
          <w:i w:val="false"/>
          <w:caps w:val="false"/>
          <w:smallCaps w:val="false"/>
          <w:sz w:val="20"/>
        </w:rPr>
        <w:t>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Workflow Automation, Integration &amp; AI Vendor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competitive factors in the markets in which we operate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AI Implementation</w:t>
            </w:r>
            <w:r>
              <w:rPr>
                <w:rFonts w:ascii="Times New Roman;Times;Serif" w:hAnsi="Times New Roman;Times;Serif"/>
              </w:rPr>
              <w:t> — while this is an emerging area, we are investing heavily in this battleground feature. We believe that soon the most important aspect of the buying decision will be the extent to which AI has been implemented to simplify the complex logistics processes and intervene when needed to enable greater enterprise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TCO (Total Cost of Ownership) </w:t>
            </w:r>
            <w:r>
              <w:rPr>
                <w:rFonts w:ascii="Times New Roman;Times;Serif" w:hAnsi="Times New Roman;Times;Serif"/>
              </w:rPr>
              <w:t>— Our systems are intended to run for decades in an enterprise, with costs over that time playing a key role in the buying decision. The ability for the customer to extend the system easily, not be subject to custom programming charges, avoid proprietary devices and keep pace with data structure and security changes is an important competitive advantage.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ROI (Return on Investment) </w:t>
            </w:r>
            <w:r>
              <w:rPr>
                <w:rFonts w:ascii="Times New Roman;Times;Serif" w:hAnsi="Times New Roman;Times;Serif"/>
              </w:rPr>
              <w:t>— Our value to the enterprise vs the benefit is part of every buy decision. This includes the total cost of ownership 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Accuracy and Reliability</w:t>
            </w:r>
            <w:r>
              <w:rPr>
                <w:rFonts w:ascii="Times New Roman;Times;Serif" w:hAnsi="Times New Roman;Times;Serif"/>
              </w:rPr>
              <w:t> — many competitors advertise pinpoint location accuracy to win customers. However, most processes do not need 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Support Services</w:t>
            </w:r>
            <w:r>
              <w:rPr>
                <w:rFonts w:ascii="Times New Roman;Times;Serif" w:hAnsi="Times New Roman;Times;Serif"/>
              </w:rPr>
              <w:t> — The processes that we impact are critical to the functioning of an enterprise. To commit to this new technology, users need to 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Friendly country sourcing </w:t>
            </w:r>
            <w:r>
              <w:rPr>
                <w:rFonts w:ascii="Times New Roman;Times;Serif" w:hAnsi="Times New Roman;Times;Serif"/>
              </w:rPr>
              <w:t>— So many competitors rely on Chinese or Taiwan sourcing, excluding them from consideration for USA Government or Military contracts and making them less desirable for private sector selection. Sourcing from DFAR compliant countries and making our core components in the USA positions us particularly well for the crucial US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the following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Focused Customer Acquisition:    </w:t>
      </w:r>
      <w:r>
        <w:rPr>
          <w:rFonts w:ascii="Times New Roman;Times;Serif" w:hAnsi="Times New Roman;Times;Serif"/>
          <w:b w:val="false"/>
          <w:i w:val="false"/>
          <w:caps w:val="false"/>
          <w:smallCaps w:val="false"/>
          <w:sz w:val="20"/>
        </w:rPr>
        <w:t>With a rapidly digitizing market, we believe that there is a significant opportunity to continue to grow our customer base as we promote our capabilities. We plan to continually invest in our sales and marketing coverage, including channel partners, and leverage our go-to-market model to continue acquiring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Within Our Existing Customer Base.    </w:t>
      </w:r>
      <w:r>
        <w:rPr>
          <w:rFonts w:ascii="Times New Roman;Times;Serif" w:hAnsi="Times New Roman;Times;Serif"/>
          <w:b w:val="false"/>
          <w:i w:val="false"/>
          <w:caps w:val="false"/>
          <w:smallCaps w:val="false"/>
          <w:sz w:val="20"/>
        </w:rPr>
        <w:t>Once we solve the first problem for our customers, we see a significant opportunity to expand application adoption within that same account. This includes increasing the number of physical assets enrolled as well as expanding across our customers’ multiple sites and 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Customer-centric Innovation and Rapid Product Releases.    </w:t>
      </w:r>
      <w:r>
        <w:rPr>
          <w:rFonts w:ascii="Times New Roman;Times;Serif" w:hAnsi="Times New Roman;Times;Serif"/>
          <w:b w:val="false"/>
          <w:i w:val="false"/>
          <w:caps w:val="false"/>
          <w:smallCaps w:val="false"/>
          <w:sz w:val="20"/>
        </w:rPr>
        <w:t>Our architecture was designed as a platform from the beginning to enable fast turns and 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Channel development.    </w:t>
      </w:r>
      <w:r>
        <w:rPr>
          <w:rFonts w:ascii="Times New Roman;Times;Serif" w:hAnsi="Times New Roman;Times;Serif"/>
          <w:b w:val="false"/>
          <w:i w:val="false"/>
          <w:caps w:val="false"/>
          <w:smallCaps w:val="false"/>
          <w:sz w:val="20"/>
        </w:rPr>
        <w:t>Our vision is to be a channel focused company. Rapid acquisition of targeted channel partners in all of the global markets will be a primary metric. Our unique technology, very attractive commercial model, as well as the training and support capability we offer will drive channel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Technology Partnerships and Integrations.    </w:t>
      </w:r>
      <w:r>
        <w:rPr>
          <w:rFonts w:ascii="Times New Roman;Times;Serif" w:hAnsi="Times New Roman;Times;Serif"/>
          <w:b w:val="false"/>
          <w:i w:val="false"/>
          <w:caps w:val="false"/>
          <w:smallCaps w:val="false"/>
          <w:sz w:val="20"/>
        </w:rPr>
        <w:t>Our use of COTS devices and integration with existing software for many of our solutions makes 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Internationally.    </w:t>
      </w:r>
      <w:r>
        <w:rPr>
          <w:rFonts w:ascii="Times New Roman;Times;Serif" w:hAnsi="Times New Roman;Times;Serif"/>
          <w:b w:val="false"/>
          <w:i w:val="false"/>
          <w:caps w:val="false"/>
          <w:smallCaps w:val="false"/>
          <w:sz w:val="20"/>
        </w:rPr>
        <w:t>A key focus of our company is to continue to expand our global reach. In the short term we are already expanding channel in Europe and 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Monetizing data streams.    </w:t>
      </w:r>
      <w:r>
        <w:rPr>
          <w:rFonts w:ascii="Times New Roman;Times;Serif" w:hAnsi="Times New Roman;Times;Serif"/>
          <w:b w:val="false"/>
          <w:i w:val="false"/>
          <w:caps w:val="false"/>
          <w:smallCaps w:val="false"/>
          <w:sz w:val="20"/>
        </w:rPr>
        <w:t>As a data producer, the company has access to valuable data that is of interest to industry analysts, financial markets, 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Acquisitions.    </w:t>
      </w:r>
      <w:r>
        <w:rPr>
          <w:rFonts w:ascii="Times New Roman;Times;Serif" w:hAnsi="Times New Roman;Times;Serif"/>
          <w:b w:val="false"/>
          <w:i w:val="false"/>
          <w:caps w:val="false"/>
          <w:smallCaps w:val="false"/>
          <w:sz w:val="20"/>
        </w:rPr>
        <w:t>Note that it is likely that we will also look to accelerate growth by acquisition. Potential targets are being evaluated based on the extent to which they can help us in one or more of the strategies’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Factors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These risks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a history of operating losses as we have built our technology and market position, and we may not be able to achieve or sustain profitability on a consistent basis for an extended period of time.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rapid growth makes it difficult to evaluate future prospects and increases the risk that we will not continue to grow at or near projected rates. Forecasts may be unreliable.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While this has not happened in our history to date, our emerging technology may encounter failures, up to and including broad recalls, as we continue to product maturity and beyond. With this comes the threat of financial penalties and legal action from customers.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uncertainty, particularly in the AI space, makes it difficult to anticipate potential impacts on the business of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Supply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 during the performance of services are assigned to the Client, and the Contractor is required to maintain confidentiality of all Client-provided information, returning or destroying such information upon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agreement between Wiliot Ltd. and CID Holdco Inc. dba Dot Ai Corporation (the “Partner”) include key rights, obligations, termination provisions, and payment terms. Under the agreement, Wiliot grants the Partner non-exclusive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At the time of this filing, we are in the process of setting up our manufacturing subsidiary with assembly and test lines in Puerto Rico.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
        <w:gridCol w:w="1460"/>
        <w:gridCol w:w="90"/>
        <w:gridCol w:w="1680"/>
        <w:gridCol w:w="90"/>
        <w:gridCol w:w="1514"/>
        <w:gridCol w:w="90"/>
        <w:gridCol w:w="1308"/>
        <w:gridCol w:w="90"/>
        <w:gridCol w:w="1351"/>
        <w:gridCol w:w="90"/>
        <w:gridCol w:w="1147"/>
      </w:tblGrid>
      <w:tr>
        <w:trPr/>
        <w:tc>
          <w:tcPr>
            <w:tcW w:w="12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Admin</w:t>
            </w:r>
          </w:p>
        </w:tc>
        <w:tc>
          <w:tcPr>
            <w:tcW w:w="90" w:type="dxa"/>
            <w:tcBorders/>
            <w:shd w:fill="FFFFFF" w:val="clear"/>
            <w:vAlign w:val="center"/>
          </w:tcPr>
          <w:p>
            <w:pPr>
              <w:pStyle w:val="TableContents"/>
              <w:bidi w:val="0"/>
              <w:spacing w:before="0" w:after="283"/>
              <w:jc w:val="left"/>
              <w:rPr/>
            </w:pPr>
            <w:r>
              <w:rPr/>
              <w:t> </w:t>
            </w:r>
          </w:p>
        </w:tc>
        <w:tc>
          <w:tcPr>
            <w:tcW w:w="16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Corporate HQ</w:t>
            </w:r>
          </w:p>
        </w:tc>
        <w:tc>
          <w:tcPr>
            <w:tcW w:w="90" w:type="dxa"/>
            <w:tcBorders/>
            <w:shd w:fill="FFFFFF" w:val="clear"/>
            <w:vAlign w:val="center"/>
          </w:tcPr>
          <w:p>
            <w:pPr>
              <w:pStyle w:val="TableContents"/>
              <w:bidi w:val="0"/>
              <w:spacing w:before="0" w:after="283"/>
              <w:jc w:val="left"/>
              <w:rPr/>
            </w:pPr>
            <w:r>
              <w:rPr/>
              <w:t> </w:t>
            </w:r>
          </w:p>
        </w:tc>
        <w:tc>
          <w:tcPr>
            <w:tcW w:w="151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Systems Lab</w:t>
            </w:r>
          </w:p>
        </w:tc>
        <w:tc>
          <w:tcPr>
            <w:tcW w:w="90" w:type="dxa"/>
            <w:tcBorders/>
            <w:shd w:fill="FFFFFF" w:val="clear"/>
            <w:vAlign w:val="center"/>
          </w:tcPr>
          <w:p>
            <w:pPr>
              <w:pStyle w:val="TableContents"/>
              <w:bidi w:val="0"/>
              <w:spacing w:before="0" w:after="283"/>
              <w:jc w:val="left"/>
              <w:rPr/>
            </w:pPr>
            <w:r>
              <w:rPr/>
              <w:t> </w:t>
            </w:r>
          </w:p>
        </w:tc>
        <w:tc>
          <w:tcPr>
            <w:tcW w:w="1308"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Assembly &amp;</w:t>
              <w:br/>
              <w:t>Test</w:t>
            </w:r>
          </w:p>
        </w:tc>
        <w:tc>
          <w:tcPr>
            <w:tcW w:w="90" w:type="dxa"/>
            <w:tcBorders/>
            <w:shd w:fill="FFFFFF" w:val="cle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EU</w:t>
              <w:br/>
              <w:t>Subsidiary</w:t>
            </w:r>
          </w:p>
        </w:tc>
        <w:tc>
          <w:tcPr>
            <w:tcW w:w="90" w:type="dxa"/>
            <w:tcBorders/>
            <w:shd w:fill="FFFFFF" w:val="cle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India</w:t>
              <w:br/>
              <w:t>Subsidiary</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Bethesda, Maryland</w:t>
            </w:r>
          </w:p>
        </w:tc>
        <w:tc>
          <w:tcPr>
            <w:tcW w:w="90"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Las Vegas</w:t>
              <w:br/>
              <w:t>Nevada</w:t>
            </w:r>
          </w:p>
        </w:tc>
        <w:tc>
          <w:tcPr>
            <w:tcW w:w="90"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Worcester Massachusetts</w:t>
            </w:r>
          </w:p>
        </w:tc>
        <w:tc>
          <w:tcPr>
            <w:tcW w:w="90"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Manati</w:t>
              <w:br/>
              <w:t>Puerto Rico</w:t>
            </w:r>
          </w:p>
        </w:tc>
        <w:tc>
          <w:tcPr>
            <w:tcW w:w="90"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Germany or Switzerland</w:t>
            </w:r>
          </w:p>
        </w:tc>
        <w:tc>
          <w:tcPr>
            <w:tcW w:w="90"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Bangalore India</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Size (sq ft)</w:t>
            </w:r>
          </w:p>
        </w:tc>
        <w:tc>
          <w:tcPr>
            <w:tcW w:w="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2,969</w:t>
            </w:r>
          </w:p>
        </w:tc>
        <w:tc>
          <w:tcPr>
            <w:tcW w:w="90"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w:t>
            </w:r>
          </w:p>
        </w:tc>
        <w:tc>
          <w:tcPr>
            <w:tcW w:w="90"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w:t>
            </w:r>
          </w:p>
        </w:tc>
        <w:tc>
          <w:tcPr>
            <w:tcW w:w="90"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800</w:t>
            </w:r>
          </w:p>
        </w:tc>
        <w:tc>
          <w:tcPr>
            <w:tcW w:w="90"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center"/>
              <w:rPr/>
            </w:pPr>
            <w:r>
              <w:rPr/>
              <w:t> </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Terms</w:t>
            </w:r>
          </w:p>
        </w:tc>
        <w:tc>
          <w:tcPr>
            <w:tcW w:w="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 months</w:t>
            </w:r>
          </w:p>
        </w:tc>
        <w:tc>
          <w:tcPr>
            <w:tcW w:w="90"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annual sub-lease</w:t>
            </w:r>
          </w:p>
        </w:tc>
        <w:tc>
          <w:tcPr>
            <w:tcW w:w="90"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monthly lease</w:t>
            </w:r>
          </w:p>
        </w:tc>
        <w:tc>
          <w:tcPr>
            <w:tcW w:w="90"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monthly sub-lease</w:t>
            </w:r>
          </w:p>
        </w:tc>
        <w:tc>
          <w:tcPr>
            <w:tcW w:w="90" w:type="dxa"/>
            <w:tcBorders/>
            <w:shd w:fill="FFFFFF" w:val="clear"/>
            <w:vAlign w:val="center"/>
          </w:tcPr>
          <w:p>
            <w:pPr>
              <w:pStyle w:val="TableContents"/>
              <w:bidi w:val="0"/>
              <w:spacing w:before="0" w:after="283"/>
              <w:jc w:val="left"/>
              <w:rPr/>
            </w:pPr>
            <w:r>
              <w:rPr/>
              <w:t> </w:t>
            </w:r>
          </w:p>
        </w:tc>
        <w:tc>
          <w:tcPr>
            <w:tcW w:w="2588" w:type="dxa"/>
            <w:gridSpan w:val="3"/>
            <w:tcBorders/>
            <w:shd w:fill="FFFFFF" w:val="clear"/>
            <w:vAlign w:val="center"/>
          </w:tcPr>
          <w:p>
            <w:pPr>
              <w:pStyle w:val="TableContents"/>
              <w:bidi w:val="0"/>
              <w:spacing w:before="0" w:after="283"/>
              <w:jc w:val="center"/>
              <w:rPr/>
            </w:pPr>
            <w:r>
              <w:rPr/>
              <w:t>TBD</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Lessor</w:t>
            </w:r>
          </w:p>
        </w:tc>
        <w:tc>
          <w:tcPr>
            <w:tcW w:w="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IN-REL 7500 OGR, LLC</w:t>
            </w:r>
          </w:p>
        </w:tc>
        <w:tc>
          <w:tcPr>
            <w:tcW w:w="90"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POPE TECHNOLOGIES</w:t>
            </w:r>
          </w:p>
        </w:tc>
        <w:tc>
          <w:tcPr>
            <w:tcW w:w="90"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WORCLAB</w:t>
            </w:r>
          </w:p>
        </w:tc>
        <w:tc>
          <w:tcPr>
            <w:tcW w:w="90"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ENZYMATIC</w:t>
            </w:r>
          </w:p>
        </w:tc>
        <w:tc>
          <w:tcPr>
            <w:tcW w:w="90"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center"/>
              <w:rPr/>
            </w:pPr>
            <w:r>
              <w:rPr/>
              <w:t> </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Cost</w:t>
            </w:r>
          </w:p>
        </w:tc>
        <w:tc>
          <w:tcPr>
            <w:tcW w:w="9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$7,051.38</w:t>
            </w:r>
          </w:p>
        </w:tc>
        <w:tc>
          <w:tcPr>
            <w:tcW w:w="90"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$3,500</w:t>
            </w:r>
          </w:p>
        </w:tc>
        <w:tc>
          <w:tcPr>
            <w:tcW w:w="90"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$650</w:t>
            </w:r>
          </w:p>
        </w:tc>
        <w:tc>
          <w:tcPr>
            <w:tcW w:w="90"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90"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believe that these facilities are suitable to meet our needs in the short term, and that, when needed, suitable additional or alternative space will be available to accommodate any expansion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Times;Serif" w:hAnsi="Times New Roman;Times;Serif"/>
          <w:b w:val="false"/>
          <w:i/>
          <w:caps w:val="false"/>
          <w:smallCaps w:val="false"/>
          <w:sz w:val="20"/>
        </w:rPr>
        <w:t>Risk Factors — Intellectual Property</w:t>
      </w:r>
      <w:r>
        <w:rPr>
          <w:rFonts w:ascii="Times New Roman;Times;Serif" w:hAnsi="Times New Roman;Times;Serif"/>
          <w:b w:val="false"/>
          <w:i w:val="false"/>
          <w:caps w:val="false"/>
          <w:smallCaps w:val="false"/>
          <w:sz w:val="20"/>
        </w:rPr>
        <w:t>” for a discussion of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variety of laws and regulations in the United States and other jurisdictions and devote considerable resources to compliance with these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and Privacy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protecting and securing the data of our customers as part of our overall data protection and privacy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30" w:type="dxa"/>
          <w:right w:w="0" w:type="dxa"/>
        </w:tblCellMar>
      </w:tblPr>
      <w:tblGrid>
        <w:gridCol w:w="1970"/>
        <w:gridCol w:w="90"/>
        <w:gridCol w:w="380"/>
        <w:gridCol w:w="90"/>
        <w:gridCol w:w="4250"/>
      </w:tblGrid>
      <w:tr>
        <w:trPr/>
        <w:tc>
          <w:tcPr>
            <w:tcW w:w="1970" w:type="dxa"/>
            <w:tcBorders>
              <w:bottom w:val="single" w:sz="12" w:space="0" w:color="000000"/>
            </w:tcBorders>
            <w:vAlign w:val="center"/>
          </w:tcPr>
          <w:p>
            <w:pPr>
              <w:pStyle w:val="TableContents"/>
              <w:bidi w:val="0"/>
              <w:spacing w:before="0" w:after="283"/>
              <w:jc w:val="left"/>
              <w:rPr>
                <w:b/>
                <w:sz w:val="20"/>
              </w:rPr>
            </w:pPr>
            <w:r>
              <w:rPr>
                <w:b/>
                <w:sz w:val="20"/>
              </w:rPr>
              <w:t>Executive Officers</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42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Positions</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Edmund Nabrotzky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sz w:val="20"/>
              </w:rPr>
            </w:pPr>
            <w:r>
              <w:rPr>
                <w:sz w:val="20"/>
              </w:rPr>
              <w:t>Chief Executive Officer, Director (Class III)</w:t>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Charles Maddox</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43</w:t>
            </w:r>
          </w:p>
        </w:tc>
        <w:tc>
          <w:tcPr>
            <w:tcW w:w="9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sz w:val="20"/>
              </w:rPr>
            </w:pPr>
            <w:r>
              <w:rPr>
                <w:sz w:val="20"/>
              </w:rPr>
              <w:t>Chief Financial Officer and Chief Operating Officer</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Vijayan Nambiar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sz w:val="20"/>
              </w:rPr>
            </w:pPr>
            <w:r>
              <w:rPr>
                <w:sz w:val="20"/>
              </w:rPr>
              <w:t>Chief Technology Officer</w:t>
            </w:r>
          </w:p>
        </w:tc>
      </w:tr>
      <w:tr>
        <w:trPr/>
        <w:tc>
          <w:tcPr>
            <w:tcW w:w="1970" w:type="dxa"/>
            <w:tcBorders/>
            <w:shd w:fill="FFFFFF" w:val="clear"/>
            <w:tcMar>
              <w:bottom w:w="0" w:type="dxa"/>
            </w:tcMar>
            <w:vAlign w:val="center"/>
          </w:tcPr>
          <w:p>
            <w:pPr>
              <w:pStyle w:val="TableContents"/>
              <w:bidi w:val="0"/>
              <w:spacing w:before="0" w:after="283"/>
              <w:jc w:val="left"/>
              <w:rPr>
                <w:b/>
                <w:sz w:val="20"/>
              </w:rPr>
            </w:pPr>
            <w:r>
              <w:rPr>
                <w:b/>
                <w:sz w:val="20"/>
              </w:rPr>
              <w:t>Directors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Dr. Sheldon Paul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sz w:val="20"/>
              </w:rPr>
            </w:pPr>
            <w:r>
              <w:rPr>
                <w:sz w:val="20"/>
              </w:rPr>
              <w:t>Director (Class I)</w:t>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Phyllis Newhouse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62</w:t>
            </w:r>
          </w:p>
        </w:tc>
        <w:tc>
          <w:tcPr>
            <w:tcW w:w="9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sz w:val="20"/>
              </w:rPr>
            </w:pPr>
            <w:r>
              <w:rPr>
                <w:sz w:val="20"/>
              </w:rPr>
              <w:t>Director (Class I)</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Janice Bryant Howroyd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sz w:val="20"/>
              </w:rPr>
            </w:pPr>
            <w:r>
              <w:rPr>
                <w:sz w:val="20"/>
              </w:rPr>
              <w:t>Director (Class II)</w:t>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Walter Skowronski</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76</w:t>
            </w:r>
          </w:p>
        </w:tc>
        <w:tc>
          <w:tcPr>
            <w:tcW w:w="9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sz w:val="20"/>
              </w:rPr>
            </w:pPr>
            <w:r>
              <w:rPr>
                <w:sz w:val="20"/>
              </w:rPr>
              <w:t>Director (Class II)</w:t>
            </w:r>
          </w:p>
        </w:tc>
      </w:tr>
      <w:tr>
        <w:trPr/>
        <w:tc>
          <w:tcPr>
            <w:tcW w:w="1970" w:type="dxa"/>
            <w:tcBorders/>
            <w:shd w:fill="CCEEFF" w:val="clear"/>
            <w:tcMar>
              <w:bottom w:w="0" w:type="dxa"/>
            </w:tcMar>
            <w:vAlign w:val="center"/>
          </w:tcPr>
          <w:p>
            <w:pPr>
              <w:pStyle w:val="TableContents"/>
              <w:bidi w:val="0"/>
              <w:spacing w:before="0" w:after="283"/>
              <w:jc w:val="left"/>
              <w:rPr>
                <w:sz w:val="20"/>
              </w:rPr>
            </w:pPr>
            <w:r>
              <w:rPr>
                <w:sz w:val="20"/>
              </w:rPr>
              <w:t>Dr. David Carlson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pPr>
            <w:r>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0" w:type="dxa"/>
            <w:tcBorders/>
            <w:shd w:fill="CCEEFF" w:val="clear"/>
            <w:tcMar>
              <w:bottom w:w="0" w:type="dxa"/>
            </w:tcMar>
            <w:vAlign w:val="center"/>
          </w:tcPr>
          <w:p>
            <w:pPr>
              <w:pStyle w:val="TableContents"/>
              <w:bidi w:val="0"/>
              <w:spacing w:before="0" w:after="283"/>
              <w:jc w:val="left"/>
              <w:rPr>
                <w:sz w:val="20"/>
              </w:rPr>
            </w:pPr>
            <w:r>
              <w:rPr>
                <w:sz w:val="20"/>
              </w:rPr>
              <w:t>Director (Class III)</w:t>
            </w:r>
          </w:p>
        </w:tc>
      </w:tr>
      <w:tr>
        <w:trPr/>
        <w:tc>
          <w:tcPr>
            <w:tcW w:w="1970" w:type="dxa"/>
            <w:tcBorders/>
            <w:shd w:fill="FFFFFF" w:val="clear"/>
            <w:tcMar>
              <w:bottom w:w="0" w:type="dxa"/>
            </w:tcMar>
            <w:vAlign w:val="center"/>
          </w:tcPr>
          <w:p>
            <w:pPr>
              <w:pStyle w:val="TableContents"/>
              <w:bidi w:val="0"/>
              <w:spacing w:before="0" w:after="283"/>
              <w:jc w:val="left"/>
              <w:rPr>
                <w:sz w:val="20"/>
              </w:rPr>
            </w:pPr>
            <w:r>
              <w:rPr>
                <w:sz w:val="20"/>
              </w:rPr>
              <w:t>Jeff Saling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pPr>
            <w:r>
              <w:rPr/>
              <w:t>68</w:t>
            </w:r>
          </w:p>
        </w:tc>
        <w:tc>
          <w:tcPr>
            <w:tcW w:w="90" w:type="dxa"/>
            <w:tcBorders/>
            <w:shd w:fill="FFFFFF" w:val="clear"/>
            <w:tcMar>
              <w:bottom w:w="0" w:type="dxa"/>
            </w:tcMar>
            <w:vAlign w:val="center"/>
          </w:tcPr>
          <w:p>
            <w:pPr>
              <w:pStyle w:val="TableContents"/>
              <w:bidi w:val="0"/>
              <w:spacing w:before="0" w:after="283"/>
              <w:jc w:val="left"/>
              <w:rPr/>
            </w:pPr>
            <w:r>
              <w:rPr/>
              <w:t> </w:t>
            </w:r>
          </w:p>
        </w:tc>
        <w:tc>
          <w:tcPr>
            <w:tcW w:w="4250" w:type="dxa"/>
            <w:tcBorders/>
            <w:shd w:fill="FFFFFF" w:val="clear"/>
            <w:tcMar>
              <w:bottom w:w="0" w:type="dxa"/>
            </w:tcMar>
            <w:vAlign w:val="center"/>
          </w:tcPr>
          <w:p>
            <w:pPr>
              <w:pStyle w:val="TableContents"/>
              <w:bidi w:val="0"/>
              <w:spacing w:before="0" w:after="283"/>
              <w:jc w:val="left"/>
              <w:rPr>
                <w:sz w:val="20"/>
              </w:rPr>
            </w:pPr>
            <w:r>
              <w:rPr>
                <w:sz w:val="20"/>
              </w:rPr>
              <w:t>Director (Class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about each of the individuals named in the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 Nabrotzky.    </w:t>
      </w:r>
      <w:r>
        <w:rPr>
          <w:rFonts w:ascii="Times New Roman;Times;Serif" w:hAnsi="Times New Roman;Times;Serif"/>
          <w:b w:val="false"/>
          <w:i w:val="false"/>
          <w:caps w:val="false"/>
          <w:smallCaps w:val="false"/>
          <w:sz w:val="20"/>
        </w:rPr>
        <w:t>Mr. Nabrotzky is the co-founder and Chief Executive Officer of CID Holdco. Mr. Nabrotzky previously served as the President of Litum 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Charlie Maddox.    </w:t>
      </w:r>
      <w:r>
        <w:rPr>
          <w:rFonts w:ascii="Times New Roman;Times;Serif" w:hAnsi="Times New Roman;Times;Serif"/>
          <w:b w:val="false"/>
          <w:i w:val="false"/>
          <w:caps w:val="false"/>
          <w:smallCaps w:val="false"/>
          <w:sz w:val="20"/>
        </w:rPr>
        <w:t>Mr. Maddox serves as the Chief Financial Officer and Chief Operating Officer of CID Holdco. A seasoned entrepreneur and leader, Charlie has 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Vijayan Nambiar.    </w:t>
      </w:r>
      <w:r>
        <w:rPr>
          <w:rFonts w:ascii="Times New Roman;Times;Serif" w:hAnsi="Times New Roman;Times;Serif"/>
          <w:b w:val="false"/>
          <w:i w:val="false"/>
          <w:caps w:val="false"/>
          <w:smallCaps w:val="false"/>
          <w:sz w:val="20"/>
        </w:rPr>
        <w:t>Mr. Nambiar is Chief Technology Officer of CID Holdco. Ms. Nambiar brings over 24 years of experience in leading product development from 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Jeff Saling</w:t>
      </w:r>
      <w:r>
        <w:rPr>
          <w:rFonts w:ascii="Times New Roman;Times;Serif" w:hAnsi="Times New Roman;Times;Serif"/>
          <w:b w:val="false"/>
          <w:i w:val="false"/>
          <w:caps w:val="false"/>
          <w:smallCaps w:val="false"/>
          <w:sz w:val="20"/>
        </w:rPr>
        <w:t> is a serial entrepreneur, seasoned executive, and prolific investor with over 30 years of experience in launching, scaling, and exiting startups in the SaaS 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Janic Bryant Howroyd</w:t>
      </w:r>
      <w:r>
        <w:rPr>
          <w:rFonts w:ascii="Times New Roman;Times;Serif" w:hAnsi="Times New Roman;Times;Serif"/>
          <w:b w:val="false"/>
          <w:i w:val="false"/>
          <w:caps w:val="false"/>
          <w:smallCaps w:val="false"/>
          <w:sz w:val="20"/>
        </w:rPr>
        <w:t>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Sheldon W. Paul</w:t>
      </w:r>
      <w:r>
        <w:rPr>
          <w:rFonts w:ascii="Times New Roman;Times;Serif" w:hAnsi="Times New Roman;Times;Serif"/>
          <w:b w:val="false"/>
          <w:i w:val="false"/>
          <w:caps w:val="false"/>
          <w:smallCaps w:val="false"/>
          <w:sz w:val="20"/>
        </w:rPr>
        <w:t> is an obstetrician-gynecologist in Las Vegas, Nevada and is affiliated with Summerlin Hospital Medical Center. He received his 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Carlson</w:t>
      </w:r>
      <w:r>
        <w:rPr>
          <w:rFonts w:ascii="Times New Roman;Times;Serif" w:hAnsi="Times New Roman;Times;Serif"/>
          <w:b w:val="false"/>
          <w:i w:val="false"/>
          <w:caps w:val="false"/>
          <w:smallCaps w:val="false"/>
          <w:sz w:val="20"/>
        </w:rPr>
        <w:t>, DO, MBA has been the Chief Medical Officer in South King County for Virginia Mason Franciscan Health since 2023. He recently served as a medical 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Walter Skowronski</w:t>
      </w:r>
      <w:r>
        <w:rPr>
          <w:rFonts w:ascii="Times New Roman;Times;Serif" w:hAnsi="Times New Roman;Times;Serif"/>
          <w:b w:val="false"/>
          <w:i w:val="false"/>
          <w:caps w:val="false"/>
          <w:smallCaps w:val="false"/>
          <w:sz w:val="20"/>
        </w:rPr>
        <w:t>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Phyllis Newhouse</w:t>
      </w:r>
      <w:r>
        <w:rPr>
          <w:rFonts w:ascii="Times New Roman;Times;Serif" w:hAnsi="Times New Roman;Times;Serif"/>
          <w:b w:val="false"/>
          <w:i w:val="false"/>
          <w:caps w:val="false"/>
          <w:smallCaps w:val="false"/>
          <w:sz w:val="20"/>
        </w:rPr>
        <w:t xml:space="preserve"> previously served as Chief Executive Officer of 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Class I, Class II and Class III, with members of each class serving staggered three-year terms. Currently, our board of directors is divided into the following classes:</w:t>
      </w:r>
    </w:p>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 which consists of Dr. Sheldon Paul and Phyllis Newhouse, whose terms will expire at the first annual meeting of stockholders to be held in 2026;</w:t>
            </w:r>
          </w:p>
        </w:tc>
      </w:tr>
    </w:tbl>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II, which consists of Janice Bryant Howroyd and Walter Skowronski whose term will expire at the Company’s second annual meeting of stockholders to be held in 2027; and</w:t>
            </w:r>
          </w:p>
        </w:tc>
      </w:tr>
    </w:tbl>
    <w:p>
      <w:pPr>
        <w:pStyle w:val="TextBody"/>
        <w:bidi w:val="0"/>
        <w:spacing w:before="0" w:after="0"/>
        <w:ind w:left="5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Class III, which consists of Edmund Nabrotzky, Dr. David Carlson and Jeff Saling, whose terms will expire at the Company’s third annual meeting of stockholders to be held in 2028.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Audit Committee, a Compensation Committee and a Nominating and Corporate Governance Committee, each of which has the composition and responsibilities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independence and qualifications of the Company’s independent auditors and determining whether to retain the Company’s existing independent auditors or engage new independent auditors;</w:t>
      </w:r>
    </w:p>
    <w:p>
      <w:pPr>
        <w:pStyle w:val="TextBody"/>
        <w:bidi w:val="0"/>
        <w:spacing w:before="0" w:after="0"/>
        <w:ind w:left="320" w:right="0" w:hanging="36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68"/>
        <w:gridCol w:w="200"/>
        <w:gridCol w:w="7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pPr>
            <w:r>
              <w:rPr/>
              <w:t>reviewing the Company’s financial reporting processes and disclosure controls;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approving the engagement of the Company’s independent auditors to perform audit services and any permissible non-audit services;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the adequacy and effectiveness of the Company’s internal control policies and procedures, including the responsibilities, budget, staffing and effectiveness of the Company’s internal audit function;</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with the independent auditors the annual audit plan, including the scope of audit activities and all critical accounting policies and practices to be used by the Company;</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obtaining and reviewing at least annually a report by the Company’s independent auditors describing the independent auditors’ internal quality control procedures and any material issues raised by the most recent internal quality-control review;</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monitoring the rotation of partners of the Company’s independent auditors on the Company’s engagement team as required by law;</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with management and the Company’s auditors any earnings announcements and other public announcements regarding material developments;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establishing procedures for the receipt, retention and treatment of complaints received by the Company regarding financial controls, accounting, auditing or other matters;</w:t>
            </w:r>
          </w:p>
        </w:tc>
      </w:tr>
    </w:tbl>
    <w:p>
      <w:pPr>
        <w:pStyle w:val="TextBody"/>
        <w:bidi w:val="0"/>
        <w:spacing w:before="0" w:after="0"/>
        <w:ind w:left="320" w:right="0" w:hanging="36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68"/>
        <w:gridCol w:w="200"/>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pPr>
            <w:r>
              <w:rPr/>
              <w:t>preparing the report that the SEC requires in the Company’s annual proxy statement;</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providing oversight of any related party transactions in accordance with the Company’s related party transaction policy and reviewing and monitoring compliance with legal and regulatory responsibilities, including the Company’s code of ethics;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the Company’s major financial risk exposures, including the guidelines and policies to govern the process by which risk assessment and risk management is implemented; and</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evaluating on an annual basis the performance of the audit committee and the audit committee charter.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approving the corporate objectives that pertain to the determination of executive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the compensation and other terms of employment of the Company’s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performance goals and objectives relevant to the compensation of the Company’s executive officers and assessing their performance against these goals and objectives;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making recommendations to the Board regarding the adoption or amendment of equity and cash incentive plans and approving amendments to such plans to the extent authorized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making recommendations to the Board regarding the type and amount of compensation to be paid or awarded to the Company’s non-employee board members;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assessing the independence of compensation consultants, legal counsel and other advisors as required by Section 10C of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administering the Company’s equity incentive plans, to the extent such authority is delegated by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approving the terms of any employment agreements, severance arrangements, change in control protections, indemnification agreements and any other material arrangements for the Company’s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preparing an annual report on executive compensation that the SEC requires in the Company’s annual proxy statement;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and evaluating on an annual basis the performance of the compensation committee and recommending such changes as deemed necessary with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among other things: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identifying, reviewing and making recommendations of candidates to serve on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the performance of the Board, committees of the Board and individual directors and determining whether continued service on the Board is appropriate;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61"/>
        <w:gridCol w:w="9856"/>
      </w:tblGrid>
      <w:tr>
        <w:trPr/>
        <w:tc>
          <w:tcPr>
            <w:tcW w:w="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56" w:type="dxa"/>
            <w:tcBorders/>
            <w:vAlign w:val="center"/>
          </w:tcPr>
          <w:p>
            <w:pPr>
              <w:pStyle w:val="TableContents"/>
              <w:bidi w:val="0"/>
              <w:spacing w:before="0" w:after="283"/>
              <w:jc w:val="both"/>
              <w:rPr/>
            </w:pPr>
            <w:r>
              <w:rPr/>
              <w:t>evaluating nominations by stockholders of candidates for election to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evaluating the current size, composition and organization of the Board and its committees and making recommendations to the Board for approvals;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developing a set of corporate governance policies and principles and recommending to the Board any changes to such policies and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issues and developments related to corporate governance and identifying and bringing to the attention of the Board current and emerging corporate governance trends;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reviewing periodically the nominating and corporate governance committee charter, structure and membership requirements and recommending any proposed changes to the Board, including undertaking an annual review of its own performance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pStyle w:val="TextBody"/>
        <w:bidi w:val="0"/>
        <w:spacing w:before="0" w:after="0"/>
        <w:ind w:left="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68"/>
        <w:gridCol w:w="200"/>
        <w:gridCol w:w="7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for any transaction from which the director derives an improper personal benefit;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for any act or omission not in good faith or that involves intentional misconduct or a knowing violation of law;</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68"/>
        <w:gridCol w:w="200"/>
        <w:gridCol w:w="6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pPr>
            <w:r>
              <w:rPr/>
              <w:t>for any unlawful payment of dividends or redemption of shares; or</w:t>
            </w:r>
          </w:p>
        </w:tc>
      </w:tr>
    </w:tbl>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68"/>
        <w:gridCol w:w="200"/>
        <w:gridCol w:w="7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pPr>
            <w:r>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Business Ethics for Employees,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that are based on our current plans, considerations, expectations and determinations regarding future compensation programs. Actual compensation programs that we adopt may differ materially from the prior programs summarized or referred to in this discussion. All descriptions and share counts in this section are provided on a pre-Business Combination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executives are our Named Executive Officers:</w:t>
      </w:r>
    </w:p>
    <w:p>
      <w:pPr>
        <w:pStyle w:val="TextBody"/>
        <w:bidi w:val="0"/>
        <w:spacing w:before="0" w:after="0"/>
        <w:ind w:left="320" w:right="0" w:hanging="36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200"/>
        <w:gridCol w:w="3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Ed Nabrotzky, Chief Executive Officer;</w:t>
            </w:r>
          </w:p>
        </w:tc>
      </w:tr>
    </w:tbl>
    <w:p>
      <w:pPr>
        <w:pStyle w:val="TextBody"/>
        <w:bidi w:val="0"/>
        <w:spacing w:before="0" w:after="0"/>
        <w:ind w:left="320" w:right="0" w:hanging="36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68"/>
        <w:gridCol w:w="200"/>
        <w:gridCol w:w="6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Charles Maddox, Chief Financial Officer/Chief Operations Officer; and</w:t>
            </w:r>
          </w:p>
        </w:tc>
      </w:tr>
    </w:tbl>
    <w:p>
      <w:pPr>
        <w:pStyle w:val="TextBody"/>
        <w:bidi w:val="0"/>
        <w:spacing w:before="0" w:after="0"/>
        <w:ind w:left="320" w:right="0" w:hanging="36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68"/>
        <w:gridCol w:w="200"/>
        <w:gridCol w:w="4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Vijayan Nambiar, 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of SEE ID’s named executive officers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11515" w:type="dxa"/>
        <w:jc w:val="left"/>
        <w:tblInd w:w="0" w:type="dxa"/>
        <w:tblLayout w:type="fixed"/>
        <w:tblCellMar>
          <w:top w:w="0" w:type="dxa"/>
          <w:left w:w="0" w:type="dxa"/>
          <w:bottom w:w="28" w:type="dxa"/>
          <w:right w:w="0" w:type="dxa"/>
        </w:tblCellMar>
      </w:tblPr>
      <w:tblGrid>
        <w:gridCol w:w="2975"/>
        <w:gridCol w:w="90"/>
        <w:gridCol w:w="90"/>
        <w:gridCol w:w="530"/>
        <w:gridCol w:w="90"/>
        <w:gridCol w:w="90"/>
        <w:gridCol w:w="170"/>
        <w:gridCol w:w="830"/>
        <w:gridCol w:w="90"/>
        <w:gridCol w:w="90"/>
        <w:gridCol w:w="170"/>
        <w:gridCol w:w="710"/>
        <w:gridCol w:w="90"/>
        <w:gridCol w:w="90"/>
        <w:gridCol w:w="360"/>
        <w:gridCol w:w="1160"/>
        <w:gridCol w:w="90"/>
        <w:gridCol w:w="90"/>
        <w:gridCol w:w="100"/>
        <w:gridCol w:w="595"/>
        <w:gridCol w:w="90"/>
        <w:gridCol w:w="90"/>
        <w:gridCol w:w="340"/>
        <w:gridCol w:w="1180"/>
        <w:gridCol w:w="90"/>
        <w:gridCol w:w="90"/>
        <w:gridCol w:w="170"/>
        <w:gridCol w:w="830"/>
        <w:gridCol w:w="135"/>
      </w:tblGrid>
      <w:tr>
        <w:trPr/>
        <w:tc>
          <w:tcPr>
            <w:tcW w:w="297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Salary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80" w:type="dxa"/>
            <w:gridSpan w:val="2"/>
            <w:tcBorders>
              <w:bottom w:val="single" w:sz="12" w:space="0" w:color="000000"/>
            </w:tcBorders>
            <w:vAlign w:val="center"/>
          </w:tcPr>
          <w:p>
            <w:pPr>
              <w:pStyle w:val="TableContents"/>
              <w:bidi w:val="0"/>
              <w:spacing w:before="0" w:after="283"/>
              <w:jc w:val="center"/>
              <w:rPr>
                <w:b/>
              </w:rPr>
            </w:pPr>
            <w:r>
              <w:rPr>
                <w:b/>
              </w:rPr>
              <w:t>Option Awards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Nonequity Incentive Compensation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Bonus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135"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Ed Nabrotzky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5,821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235,821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5,821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235,821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pPr>
            <w:r>
              <w:rPr/>
              <w:t>Charles Maddox</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230,000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4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230,000</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i/>
              </w:rPr>
            </w:pPr>
            <w:r>
              <w:rPr>
                <w:i/>
              </w:rPr>
              <w:t>Chief Financial Officer/Chief Operations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530" w:type="dxa"/>
            <w:tcBorders/>
            <w:shd w:fill="FFFFFF" w:val="clear"/>
            <w:tcMar>
              <w:bottom w:w="0" w:type="dxa"/>
            </w:tcMar>
            <w:vAlign w:val="center"/>
          </w:tcPr>
          <w:p>
            <w:pPr>
              <w:pStyle w:val="TableContents"/>
              <w:bidi w:val="0"/>
              <w:spacing w:before="0" w:after="283"/>
              <w:jc w:val="center"/>
              <w:rPr/>
            </w:pPr>
            <w:r>
              <w:rPr/>
              <w:t>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230,000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59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40"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jc w:val="right"/>
              <w:rPr/>
            </w:pPr>
            <w:r>
              <w:rPr/>
              <w:t>230,000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Vijayan Nambiar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i/>
              </w:rPr>
            </w:pPr>
            <w:r>
              <w:rPr>
                <w:i/>
              </w:rPr>
              <w:t>Chief Technology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710" w:type="dxa"/>
            <w:tcBorders/>
            <w:shd w:fill="CCEEFF" w:val="clear"/>
            <w:tcMar>
              <w:bottom w:w="0" w:type="dxa"/>
            </w:tcMar>
            <w:vAlign w:val="center"/>
          </w:tcPr>
          <w:p>
            <w:pPr>
              <w:pStyle w:val="TableContents"/>
              <w:bidi w:val="0"/>
              <w:spacing w:before="0" w:after="283"/>
              <w:jc w:val="right"/>
              <w:rPr/>
            </w:pPr>
            <w:r>
              <w:rPr/>
              <w:t>18,585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59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248,585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had not issued any equity awards as of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description of the employment agreements of the named executive officers as of December 31, 2024. Each employment agreement of the named executive officers does not have a specific term and provides that the applicable named executive officer is an at-will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Nabrotzky is employed by SEE ID for the position of Chief Executive Officer (CEO), and his duties are those normally associated with his position and such duties as are assigned to him from time to time, subject to the oversight and direction of the Board of Directors of SEE ID or its designee. Mr. Nabrotzky’s annual base salary as of December 31, 2024 was $230,000 and he is entitled to receive a cash bonus from SEE ID as incentive for key performance milestones, to be paid in amounts and at such times as are reasonably determined by the Board of Directors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Maddox is employed by SEE ID for the positions of Chief Operating Officer and Chief Financial Officer, and his duties are those normally associated with his position and such duties as are assigned to him from time to time, subject to the oversight and direction of the CEO or his designee. Mr. Maddox’s annual base salary as of December 31, 2024 was $230,000 and he is eligible to receive an annual cash bonus from SEE ID’s net income, to be paid in amounts and at such times as are reasonably determined by the Board of Directors of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Nambiar is employed by SEE ID for the position of Chief Technology Officer, and his duties are those normally associated with his position and such duties as are assigned to him from time to time, subject to the oversight and direction of the CEO or his designee. Mr. Nambiar’s annual base salary as of December 31, 2024 was $230,000.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Control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following Change of Control Payments were made to the following executive officers of SEE ID:</w:t>
      </w:r>
    </w:p>
    <w:p>
      <w:pPr>
        <w:pStyle w:val="TextBody"/>
        <w:bidi w:val="0"/>
        <w:spacing w:before="0" w:after="0"/>
        <w:ind w:left="960" w:right="0" w:hanging="48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200"/>
        <w:gridCol w:w="54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Edmund Nabrotzky (Chief Executive Officer): $320,000</w:t>
            </w:r>
          </w:p>
        </w:tc>
      </w:tr>
    </w:tbl>
    <w:p>
      <w:pPr>
        <w:pStyle w:val="TextBody"/>
        <w:bidi w:val="0"/>
        <w:spacing w:before="0" w:after="0"/>
        <w:ind w:left="960" w:right="0" w:hanging="48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68"/>
        <w:gridCol w:w="200"/>
        <w:gridCol w:w="7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pPr>
            <w:r>
              <w:rPr/>
              <w:t>Charles Maddox (Chief Financial Officer/Chief Operations Officer): $250,000</w:t>
            </w:r>
          </w:p>
        </w:tc>
      </w:tr>
    </w:tbl>
    <w:p>
      <w:pPr>
        <w:pStyle w:val="TextBody"/>
        <w:bidi w:val="0"/>
        <w:spacing w:before="0" w:after="0"/>
        <w:ind w:left="960" w:right="0" w:hanging="48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68"/>
        <w:gridCol w:w="200"/>
        <w:gridCol w:w="5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Vijayan Nambiar (Chief Technology Officer): $200,000</w:t>
            </w:r>
          </w:p>
        </w:tc>
      </w:tr>
    </w:tbl>
    <w:p>
      <w:pPr>
        <w:pStyle w:val="TextBody"/>
        <w:bidi w:val="0"/>
        <w:spacing w:before="0" w:after="0"/>
        <w:ind w:left="960" w:right="0" w:hanging="48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68"/>
        <w:gridCol w:w="200"/>
        <w:gridCol w:w="4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Bob Reny (Chief Revenue Officer): $60,000</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 of Control Payments could constitute “parachute payments” under Section 280G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Prior to the Closing, the SEE ID intends to (i) solicit from each person who has a right to Change of Control Payments that would be deemed to constitute “parachute payments” a waiver of such person’s rights to some of such payments (a “</w:t>
      </w:r>
      <w:r>
        <w:rPr>
          <w:rFonts w:ascii="Times New Roman;Times;Serif" w:hAnsi="Times New Roman;Times;Serif"/>
          <w:b/>
          <w:i/>
          <w:caps w:val="false"/>
          <w:smallCaps w:val="false"/>
          <w:sz w:val="20"/>
        </w:rPr>
        <w:t>Parachute Payment Waiver</w:t>
      </w:r>
      <w:r>
        <w:rPr>
          <w:rFonts w:ascii="Times New Roman;Times;Serif" w:hAnsi="Times New Roman;Times;Serif"/>
          <w:b w:val="false"/>
          <w:i w:val="false"/>
          <w:caps w:val="false"/>
          <w:smallCaps w:val="false"/>
          <w:sz w:val="20"/>
        </w:rPr>
        <w:t>”) so that all remaining payments applicable to such person shall not be deemed “excess parachute payments” that would not be deductible under Section 280G of the Code (“</w:t>
      </w:r>
      <w:r>
        <w:rPr>
          <w:rFonts w:ascii="Times New Roman;Times;Serif" w:hAnsi="Times New Roman;Times;Serif"/>
          <w:b/>
          <w:i/>
          <w:caps w:val="false"/>
          <w:smallCaps w:val="false"/>
          <w:sz w:val="20"/>
        </w:rPr>
        <w:t>Waived 280G Payments</w:t>
      </w:r>
      <w:r>
        <w:rPr>
          <w:rFonts w:ascii="Times New Roman;Times;Serif" w:hAnsi="Times New Roman;Times;Serif"/>
          <w:b w:val="false"/>
          <w:i w:val="false"/>
          <w:caps w:val="false"/>
          <w:smallCaps w:val="false"/>
          <w:sz w:val="20"/>
        </w:rPr>
        <w:t>”) and (ii) submit to the SEE ID stockholders for approval all Waived 280G Payments that may be received by a person who has delivered a Parachute Payment Waiver in accordance with Section 280G(b)(5)(B) of the Code. If the requisite approval is not obtained, the applicable Waived 280G Payment will not be made to the extent that it would cause any amount to constitute a “parachute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adopt other change of control bonus plans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Incentive Plan will be adopted to incentivize the business development team’s achievement of certain performance targets, and such plan will be subject to change from time to time. Certain employees may receive cash commissions and/or incentive stock options under the sales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engage a third-party compensation consultant to identify a peer group of similarly situated companies and assist the Company with designing an appropriate compensation structure, targeting a structure and compensation metrics that are within the median range for peer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the Combined Company and amended and restated bylaws, each to be effective upon the Closing, will provide that we will indemnify our directors and officers, and may indemnify our employees and other agents, to the fullest extent permitted by Delaware law. Delaware law prohibits the amended and restated certificate of incorporation of the Combined Company from limiting the liability of our directors for the following:</w:t>
      </w:r>
    </w:p>
    <w:p>
      <w:pPr>
        <w:pStyle w:val="TextBody"/>
        <w:bidi w:val="0"/>
        <w:spacing w:before="0" w:after="0"/>
        <w:ind w:left="960" w:right="0" w:hanging="48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200"/>
        <w:gridCol w:w="6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pPr>
            <w:r>
              <w:rPr/>
              <w:t>any breach of the director’s duty of loyalty to us or to our stockholders;</w:t>
            </w:r>
          </w:p>
        </w:tc>
      </w:tr>
    </w:tbl>
    <w:p>
      <w:pPr>
        <w:pStyle w:val="TextBody"/>
        <w:bidi w:val="0"/>
        <w:spacing w:before="0" w:after="0"/>
        <w:ind w:left="960" w:right="0" w:hanging="48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68"/>
        <w:gridCol w:w="200"/>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acts or omissions not in good faith or that involve intentional misconduct or a knowing violation of law;</w:t>
            </w:r>
          </w:p>
        </w:tc>
      </w:tr>
    </w:tbl>
    <w:p>
      <w:pPr>
        <w:pStyle w:val="TextBody"/>
        <w:bidi w:val="0"/>
        <w:spacing w:before="0" w:after="0"/>
        <w:ind w:left="960" w:right="0" w:hanging="48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20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unlawful payment of dividends or unlawful stock repurchases or redemptions; and</w:t>
            </w:r>
          </w:p>
        </w:tc>
      </w:tr>
    </w:tbl>
    <w:p>
      <w:pPr>
        <w:pStyle w:val="TextBody"/>
        <w:bidi w:val="0"/>
        <w:spacing w:before="0" w:after="0"/>
        <w:ind w:left="960" w:right="0" w:hanging="48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68"/>
        <w:gridCol w:w="200"/>
        <w:gridCol w:w="73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The amended and restated certificate of incorporation of the Combined Company does not eliminate a director’s duty of care and, in appropriate circumstances, equitable remedies, such as injunctive or other forms of non-monetary relief, remain available under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required in the amended and restated certificate of incorporation of the Combined Company and amended and restated bylaws, we intend to enter into an indemnification agreement with each member of our board of directors and each of our officers prior to the Closing.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amended and restated certificate of incorporation of the Combined Company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and Lock 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that certain Registration Rights and Lock-Up Agreement with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Common Stock of the Company as of September 4, 2025 by: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each person known by the Company to be the beneficial owner of more than 5% of the Common Stock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68"/>
        <w:gridCol w:w="200"/>
        <w:gridCol w:w="5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each of the Company’s executive officers and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all executive officers and directors of the Company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shares of the Company’s Common Stock beneficially owned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27,636,939 shares of our Common Stock issued and outstanding as of September 4, 2025.</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6679" w:type="dxa"/>
        <w:jc w:val="left"/>
        <w:tblInd w:w="0" w:type="dxa"/>
        <w:tblLayout w:type="fixed"/>
        <w:tblCellMar>
          <w:top w:w="0" w:type="dxa"/>
          <w:left w:w="0" w:type="dxa"/>
          <w:bottom w:w="0" w:type="dxa"/>
          <w:right w:w="0" w:type="dxa"/>
        </w:tblCellMar>
      </w:tblPr>
      <w:tblGrid>
        <w:gridCol w:w="4400"/>
        <w:gridCol w:w="90"/>
        <w:gridCol w:w="94"/>
        <w:gridCol w:w="1065"/>
        <w:gridCol w:w="90"/>
        <w:gridCol w:w="90"/>
        <w:gridCol w:w="90"/>
        <w:gridCol w:w="470"/>
        <w:gridCol w:w="290"/>
      </w:tblGrid>
      <w:tr>
        <w:trPr/>
        <w:tc>
          <w:tcPr>
            <w:tcW w:w="4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00" w:type="dxa"/>
            <w:tcBorders>
              <w:bottom w:val="single" w:sz="12" w:space="0" w:color="000000"/>
            </w:tcBorders>
            <w:tcMar>
              <w:bottom w:w="28" w:type="dxa"/>
            </w:tcMar>
            <w:vAlign w:val="center"/>
          </w:tcPr>
          <w:p>
            <w:pPr>
              <w:pStyle w:val="TableContents"/>
              <w:bidi w:val="0"/>
              <w:spacing w:before="0" w:after="283"/>
              <w:jc w:val="left"/>
              <w:rPr>
                <w:b/>
                <w:i/>
              </w:rPr>
            </w:pPr>
            <w:r>
              <w:rPr>
                <w:b/>
                <w:i/>
              </w:rPr>
              <w:t>Name of Beneficial Owners</w:t>
            </w:r>
            <w:r>
              <w:rPr>
                <w:b/>
                <w:i/>
                <w:position w:val="8"/>
                <w:sz w:val="19"/>
              </w:rPr>
              <w:t>(1)</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b/>
                <w:i/>
              </w:rPr>
            </w:pPr>
            <w:r>
              <w:rPr>
                <w:b/>
                <w:i/>
              </w:rPr>
              <w:t>Directors and Executive Officers</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Edmund Nabrotzky</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3,571,614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12.9</w:t>
            </w:r>
          </w:p>
        </w:tc>
        <w:tc>
          <w:tcPr>
            <w:tcW w:w="290" w:type="dxa"/>
            <w:tcBorders/>
            <w:shd w:fill="CCEEFF" w:val="clear"/>
            <w:vAlign w:val="center"/>
          </w:tcPr>
          <w:p>
            <w:pPr>
              <w:pStyle w:val="TableContents"/>
              <w:bidi w:val="0"/>
              <w:spacing w:before="0" w:after="283"/>
              <w:jc w:val="left"/>
              <w:rPr/>
            </w:pPr>
            <w:r>
              <w:rPr/>
              <w:t>%</w:t>
            </w:r>
          </w:p>
        </w:tc>
      </w:tr>
      <w:tr>
        <w:trPr/>
        <w:tc>
          <w:tcPr>
            <w:tcW w:w="4400" w:type="dxa"/>
            <w:tcBorders/>
            <w:shd w:fill="FFFFFF" w:val="clear"/>
            <w:vAlign w:val="center"/>
          </w:tcPr>
          <w:p>
            <w:pPr>
              <w:pStyle w:val="TableContents"/>
              <w:bidi w:val="0"/>
              <w:spacing w:before="0" w:after="283"/>
              <w:jc w:val="left"/>
              <w:rPr/>
            </w:pPr>
            <w:r>
              <w:rPr/>
              <w:t>Charles Maddox</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2,052,788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7.4</w:t>
            </w:r>
          </w:p>
        </w:tc>
        <w:tc>
          <w:tcPr>
            <w:tcW w:w="290" w:type="dxa"/>
            <w:tcBorders/>
            <w:shd w:fill="FFFFFF" w:val="clear"/>
            <w:vAlign w:val="center"/>
          </w:tcPr>
          <w:p>
            <w:pPr>
              <w:pStyle w:val="TableContents"/>
              <w:bidi w:val="0"/>
              <w:spacing w:before="0" w:after="283"/>
              <w:jc w:val="left"/>
              <w:rPr/>
            </w:pPr>
            <w:r>
              <w:rPr/>
              <w:t>%</w:t>
            </w:r>
          </w:p>
        </w:tc>
      </w:tr>
      <w:tr>
        <w:trPr/>
        <w:tc>
          <w:tcPr>
            <w:tcW w:w="4400" w:type="dxa"/>
            <w:tcBorders/>
            <w:shd w:fill="CCEEFF" w:val="clear"/>
            <w:vAlign w:val="center"/>
          </w:tcPr>
          <w:p>
            <w:pPr>
              <w:pStyle w:val="TableContents"/>
              <w:bidi w:val="0"/>
              <w:spacing w:before="0" w:after="283"/>
              <w:jc w:val="left"/>
              <w:rPr/>
            </w:pPr>
            <w:r>
              <w:rPr/>
              <w:t>Vijayan Nambiar</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Sheldon Paul</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Janice Bryant Howroyd</w:t>
            </w:r>
            <w:r>
              <w:rPr>
                <w:position w:val="8"/>
                <w:sz w:val="19"/>
              </w:rPr>
              <w:t xml:space="preserve"> (2)</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79,689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Walter Skowronski</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David Carlson</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Jeff Saling </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Phyllis Newhouse </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3,377,730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12.2</w:t>
            </w:r>
          </w:p>
        </w:tc>
        <w:tc>
          <w:tcPr>
            <w:tcW w:w="290" w:type="dxa"/>
            <w:tcBorders/>
            <w:shd w:fill="CCEEFF" w:val="clear"/>
            <w:vAlign w:val="center"/>
          </w:tcPr>
          <w:p>
            <w:pPr>
              <w:pStyle w:val="TableContents"/>
              <w:bidi w:val="0"/>
              <w:spacing w:before="0" w:after="283"/>
              <w:jc w:val="left"/>
              <w:rPr/>
            </w:pPr>
            <w:r>
              <w:rPr/>
              <w:t>%</w:t>
            </w:r>
          </w:p>
        </w:tc>
      </w:tr>
      <w:tr>
        <w:trPr/>
        <w:tc>
          <w:tcPr>
            <w:tcW w:w="4400" w:type="dxa"/>
            <w:tcBorders/>
            <w:shd w:fill="FFFFFF" w:val="clear"/>
            <w:vAlign w:val="center"/>
          </w:tcPr>
          <w:p>
            <w:pPr>
              <w:pStyle w:val="TableContents"/>
              <w:bidi w:val="0"/>
              <w:spacing w:before="0" w:after="283"/>
              <w:jc w:val="left"/>
              <w:rPr/>
            </w:pPr>
            <w:r>
              <w:rPr/>
              <w:t>All directors and executive officers as a group</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9,002,132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32.6</w:t>
            </w:r>
          </w:p>
        </w:tc>
        <w:tc>
          <w:tcPr>
            <w:tcW w:w="290" w:type="dxa"/>
            <w:tcBorders/>
            <w:shd w:fill="FFFFFF" w:val="clear"/>
            <w:vAlign w:val="center"/>
          </w:tcPr>
          <w:p>
            <w:pPr>
              <w:pStyle w:val="TableContents"/>
              <w:bidi w:val="0"/>
              <w:spacing w:before="0" w:after="283"/>
              <w:jc w:val="left"/>
              <w:rPr/>
            </w:pPr>
            <w:r>
              <w:rPr/>
              <w:t>%</w:t>
            </w:r>
          </w:p>
        </w:tc>
      </w:tr>
      <w:tr>
        <w:trPr/>
        <w:tc>
          <w:tcPr>
            <w:tcW w:w="4400" w:type="dxa"/>
            <w:tcBorders/>
            <w:shd w:fill="CCEEFF" w:val="clear"/>
            <w:vAlign w:val="center"/>
          </w:tcPr>
          <w:p>
            <w:pPr>
              <w:pStyle w:val="TableContents"/>
              <w:bidi w:val="0"/>
              <w:spacing w:before="0" w:after="283"/>
              <w:jc w:val="left"/>
              <w:rPr>
                <w:b/>
                <w:i/>
              </w:rPr>
            </w:pPr>
            <w:r>
              <w:rPr>
                <w:b/>
                <w:i/>
              </w:rPr>
              <w:t>Five Percent Holders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William Tremaine Renny</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4,967,391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18.0</w:t>
            </w:r>
          </w:p>
        </w:tc>
        <w:tc>
          <w:tcPr>
            <w:tcW w:w="290" w:type="dxa"/>
            <w:tcBorders/>
            <w:shd w:fill="FFFFFF" w:val="clear"/>
            <w:vAlign w:val="center"/>
          </w:tcPr>
          <w:p>
            <w:pPr>
              <w:pStyle w:val="TableContents"/>
              <w:bidi w:val="0"/>
              <w:spacing w:before="0" w:after="283"/>
              <w:jc w:val="left"/>
              <w:rPr/>
            </w:pPr>
            <w:r>
              <w:rPr/>
              <w:t>%</w:t>
            </w:r>
          </w:p>
        </w:tc>
      </w:tr>
      <w:tr>
        <w:trPr/>
        <w:tc>
          <w:tcPr>
            <w:tcW w:w="4400" w:type="dxa"/>
            <w:tcBorders/>
            <w:shd w:fill="CCEEFF" w:val="clear"/>
            <w:vAlign w:val="center"/>
          </w:tcPr>
          <w:p>
            <w:pPr>
              <w:pStyle w:val="TableContents"/>
              <w:bidi w:val="0"/>
              <w:spacing w:before="0" w:after="283"/>
              <w:jc w:val="left"/>
              <w:rPr/>
            </w:pPr>
            <w:r>
              <w:rPr/>
              <w:t>Jeffery Andersen</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1,524,924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5.5</w:t>
            </w:r>
          </w:p>
        </w:tc>
        <w:tc>
          <w:tcPr>
            <w:tcW w:w="290" w:type="dxa"/>
            <w:tcBorders/>
            <w:shd w:fill="CCEEFF" w:val="clear"/>
            <w:vAlign w:val="center"/>
          </w:tcPr>
          <w:p>
            <w:pPr>
              <w:pStyle w:val="TableContents"/>
              <w:bidi w:val="0"/>
              <w:spacing w:before="0" w:after="283"/>
              <w:jc w:val="left"/>
              <w:rPr/>
            </w:pPr>
            <w:r>
              <w:rPr/>
              <w:t>%</w:t>
            </w:r>
          </w:p>
        </w:tc>
      </w:tr>
      <w:tr>
        <w:trPr/>
        <w:tc>
          <w:tcPr>
            <w:tcW w:w="4400" w:type="dxa"/>
            <w:tcBorders/>
            <w:shd w:fill="FFFFFF" w:val="clear"/>
            <w:vAlign w:val="center"/>
          </w:tcPr>
          <w:p>
            <w:pPr>
              <w:pStyle w:val="TableContents"/>
              <w:bidi w:val="0"/>
              <w:spacing w:before="0" w:after="283"/>
              <w:jc w:val="left"/>
              <w:rPr/>
            </w:pPr>
            <w:r>
              <w:rPr/>
              <w:t>ShoulderUp 2021 Trust </w:t>
            </w:r>
            <w:r>
              <w:rPr>
                <w:position w:val="8"/>
                <w:sz w:val="19"/>
              </w:rPr>
              <w:t>(4)</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2,354,416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8.5</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68"/>
        <w:gridCol w:w="155"/>
        <w:gridCol w:w="189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1895" w:type="dxa"/>
            <w:tcBorders/>
            <w:vAlign w:val="center"/>
          </w:tcPr>
          <w:p>
            <w:pPr>
              <w:pStyle w:val="TableContents"/>
              <w:bidi w:val="0"/>
              <w:spacing w:before="0" w:after="283"/>
              <w:jc w:val="both"/>
              <w:rPr>
                <w:sz w:val="20"/>
              </w:rPr>
            </w:pPr>
            <w:r>
              <w:rPr>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sz w:val="20"/>
              </w:rPr>
            </w:pPr>
            <w:r>
              <w:rPr>
                <w:sz w:val="20"/>
              </w:rPr>
              <w:t>(1)</w:t>
            </w:r>
          </w:p>
        </w:tc>
        <w:tc>
          <w:tcPr>
            <w:tcW w:w="9917" w:type="dxa"/>
            <w:tcBorders/>
            <w:vAlign w:val="center"/>
          </w:tcPr>
          <w:p>
            <w:pPr>
              <w:pStyle w:val="TableContents"/>
              <w:bidi w:val="0"/>
              <w:spacing w:before="0" w:after="283"/>
              <w:jc w:val="both"/>
              <w:rPr>
                <w:sz w:val="20"/>
              </w:rPr>
            </w:pPr>
            <w:r>
              <w:rPr>
                <w:sz w:val="20"/>
              </w:rPr>
              <w:t>Unless otherwise noted, the business address of each of those listed in the table above is 5661 S Cameron St, Suite 100, Las Vegas, NV 89118.</w:t>
            </w:r>
          </w:p>
        </w:tc>
      </w:tr>
      <w:tr>
        <w:trPr/>
        <w:tc>
          <w:tcPr>
            <w:tcW w:w="288" w:type="dxa"/>
            <w:tcBorders/>
            <w:vAlign w:val="center"/>
          </w:tcPr>
          <w:p>
            <w:pPr>
              <w:pStyle w:val="TableContents"/>
              <w:bidi w:val="0"/>
              <w:spacing w:before="0" w:after="283"/>
              <w:jc w:val="left"/>
              <w:rPr/>
            </w:pPr>
            <w:r>
              <w:rPr/>
              <w:t> </w:t>
            </w:r>
          </w:p>
        </w:tc>
        <w:tc>
          <w:tcPr>
            <w:tcW w:w="9917" w:type="dxa"/>
            <w:tcBorders/>
            <w:vAlign w:val="center"/>
          </w:tcPr>
          <w:p>
            <w:pPr>
              <w:pStyle w:val="TableContents"/>
              <w:bidi w:val="0"/>
              <w:spacing w:before="0" w:after="283"/>
              <w:jc w:val="both"/>
              <w:rPr/>
            </w:pPr>
            <w:r>
              <w:rPr/>
              <w:t> </w:t>
            </w:r>
          </w:p>
        </w:tc>
      </w:tr>
      <w:tr>
        <w:trPr/>
        <w:tc>
          <w:tcPr>
            <w:tcW w:w="288"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283"/>
              <w:jc w:val="both"/>
              <w:rPr/>
            </w:pPr>
            <w:r>
              <w:rPr/>
              <w:t>Represents shares directly held by ASK, LLC. Janice Howroyd is the sole member of ASK, LLC and has voting and investment control of the shares held by ASK, LLC.</w:t>
            </w:r>
          </w:p>
        </w:tc>
      </w:tr>
      <w:tr>
        <w:trPr/>
        <w:tc>
          <w:tcPr>
            <w:tcW w:w="288" w:type="dxa"/>
            <w:tcBorders/>
            <w:vAlign w:val="center"/>
          </w:tcPr>
          <w:p>
            <w:pPr>
              <w:pStyle w:val="TableContents"/>
              <w:bidi w:val="0"/>
              <w:spacing w:before="0" w:after="283"/>
              <w:jc w:val="left"/>
              <w:rPr/>
            </w:pPr>
            <w:r>
              <w:rPr/>
              <w:t> </w:t>
            </w:r>
          </w:p>
        </w:tc>
        <w:tc>
          <w:tcPr>
            <w:tcW w:w="9917" w:type="dxa"/>
            <w:tcBorders/>
            <w:vAlign w:val="center"/>
          </w:tcPr>
          <w:p>
            <w:pPr>
              <w:pStyle w:val="TableContents"/>
              <w:bidi w:val="0"/>
              <w:spacing w:before="0" w:after="283"/>
              <w:jc w:val="both"/>
              <w:rPr/>
            </w:pPr>
            <w:r>
              <w:rPr/>
              <w:t> </w:t>
            </w:r>
          </w:p>
        </w:tc>
      </w:tr>
      <w:tr>
        <w:trPr/>
        <w:tc>
          <w:tcPr>
            <w:tcW w:w="288" w:type="dxa"/>
            <w:tcBorders/>
            <w:vAlign w:val="center"/>
          </w:tcPr>
          <w:p>
            <w:pPr>
              <w:pStyle w:val="TableContents"/>
              <w:bidi w:val="0"/>
              <w:spacing w:before="0" w:after="283"/>
              <w:jc w:val="left"/>
              <w:rPr>
                <w:sz w:val="20"/>
              </w:rPr>
            </w:pPr>
            <w:r>
              <w:rPr>
                <w:sz w:val="20"/>
              </w:rPr>
              <w:t>(3)</w:t>
            </w:r>
          </w:p>
        </w:tc>
        <w:tc>
          <w:tcPr>
            <w:tcW w:w="9917" w:type="dxa"/>
            <w:tcBorders/>
            <w:vAlign w:val="center"/>
          </w:tcPr>
          <w:p>
            <w:pPr>
              <w:pStyle w:val="TableContents"/>
              <w:bidi w:val="0"/>
              <w:spacing w:before="0" w:after="283"/>
              <w:jc w:val="both"/>
              <w:rPr>
                <w:sz w:val="20"/>
              </w:rPr>
            </w:pPr>
            <w:r>
              <w:rPr>
                <w:sz w:val="20"/>
              </w:rPr>
              <w:t>Represents (i) 1,023,314 shares directly held by Phyllis Newhouse; and (2) 2,354,416 shares directly held by ShoulderUp 2021 Trust. Ms. Newhouse is the trustee of ShoulderUp 2021 Trust and may be deemed to share voting and investment power over the shares held by ShoulderUp 2021 Trust.</w:t>
            </w:r>
          </w:p>
        </w:tc>
      </w:tr>
      <w:tr>
        <w:trPr/>
        <w:tc>
          <w:tcPr>
            <w:tcW w:w="288" w:type="dxa"/>
            <w:tcBorders/>
            <w:vAlign w:val="center"/>
          </w:tcPr>
          <w:p>
            <w:pPr>
              <w:pStyle w:val="TableContents"/>
              <w:bidi w:val="0"/>
              <w:spacing w:before="0" w:after="283"/>
              <w:jc w:val="left"/>
              <w:rPr/>
            </w:pPr>
            <w:r>
              <w:rPr/>
              <w:t> </w:t>
            </w:r>
          </w:p>
        </w:tc>
        <w:tc>
          <w:tcPr>
            <w:tcW w:w="9917" w:type="dxa"/>
            <w:tcBorders/>
            <w:vAlign w:val="center"/>
          </w:tcPr>
          <w:p>
            <w:pPr>
              <w:pStyle w:val="TableContents"/>
              <w:bidi w:val="0"/>
              <w:spacing w:before="0" w:after="283"/>
              <w:jc w:val="both"/>
              <w:rPr/>
            </w:pPr>
            <w:r>
              <w:rPr/>
              <w:t> </w:t>
            </w:r>
          </w:p>
        </w:tc>
      </w:tr>
      <w:tr>
        <w:trPr/>
        <w:tc>
          <w:tcPr>
            <w:tcW w:w="288" w:type="dxa"/>
            <w:tcBorders/>
            <w:vAlign w:val="center"/>
          </w:tcPr>
          <w:p>
            <w:pPr>
              <w:pStyle w:val="TableContents"/>
              <w:bidi w:val="0"/>
              <w:spacing w:before="0" w:after="283"/>
              <w:jc w:val="left"/>
              <w:rPr>
                <w:sz w:val="20"/>
              </w:rPr>
            </w:pPr>
            <w:r>
              <w:rPr>
                <w:sz w:val="20"/>
              </w:rPr>
              <w:t>(4)</w:t>
            </w:r>
          </w:p>
        </w:tc>
        <w:tc>
          <w:tcPr>
            <w:tcW w:w="9917" w:type="dxa"/>
            <w:tcBorders/>
            <w:vAlign w:val="center"/>
          </w:tcPr>
          <w:p>
            <w:pPr>
              <w:pStyle w:val="TableContents"/>
              <w:bidi w:val="0"/>
              <w:spacing w:before="0" w:after="283"/>
              <w:jc w:val="both"/>
              <w:rPr>
                <w:sz w:val="20"/>
              </w:rPr>
            </w:pPr>
            <w:r>
              <w:rPr>
                <w:sz w:val="20"/>
              </w:rPr>
              <w:t>Represents shares directly held by ShoulderUp 2021 Trust. The address of the principal business office of ShoulderUp 2021 Trust is 2291 Loring Oak PL NW Marietta, GA 30064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SELLING SECURITYHOLDERS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listed in the table below may from time to time offer and sell any or all of the shares of Common Stock and Warrants set forth below pursuant to this prospectus. When we refer to the “Selling Securityholders” in this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name of the Selling Securityholders for whom we are registering shares of Common Stock for resale to the public,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and percentage of shares of Common Stock that the Selling Securityholders beneficially owned prior to the offering for resale of the securities under this prospectus,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rFonts w:ascii="Times New Roman;Times;Serif" w:hAnsi="Times New Roman;Times;Serif"/>
              </w:rPr>
              <w:t>the number and percentage of shares of Common Stock that may be offered from time to time for resale for the</w:t>
            </w:r>
            <w:r>
              <w:rPr/>
              <w:t xml:space="preserve"> account of the Selling Securityholders pursuant to this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number and percentage of shares to be beneficially owned by the Selling Securityholders after the offering of the resale securities (assuming all of the offered shares of Common Stock are sold by the Selling Securityholders).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99"/>
        <w:gridCol w:w="1121"/>
        <w:gridCol w:w="90"/>
        <w:gridCol w:w="90"/>
        <w:gridCol w:w="92"/>
        <w:gridCol w:w="1038"/>
        <w:gridCol w:w="90"/>
        <w:gridCol w:w="90"/>
        <w:gridCol w:w="112"/>
        <w:gridCol w:w="1108"/>
        <w:gridCol w:w="90"/>
        <w:gridCol w:w="90"/>
        <w:gridCol w:w="109"/>
        <w:gridCol w:w="796"/>
        <w:gridCol w:w="90"/>
        <w:gridCol w:w="90"/>
        <w:gridCol w:w="288"/>
        <w:gridCol w:w="932"/>
        <w:gridCol w:w="90"/>
        <w:gridCol w:w="90"/>
        <w:gridCol w:w="267"/>
        <w:gridCol w:w="863"/>
        <w:gridCol w:w="90"/>
        <w:gridCol w:w="90"/>
        <w:gridCol w:w="288"/>
        <w:gridCol w:w="932"/>
        <w:gridCol w:w="90"/>
        <w:gridCol w:w="90"/>
        <w:gridCol w:w="213"/>
        <w:gridCol w:w="69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pPr>
            <w:r>
              <w:rPr/>
              <w:t>Charles K Maddox</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2,052,788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2,052,788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pPr>
            <w:r>
              <w:rPr/>
              <w:t>Edmund S Nabrotzky</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3,571,614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3,571,614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SJP Investments, LLC</w:t>
            </w:r>
            <w:r>
              <w:rPr>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149,459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149,459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SSP Technology Holdings, LLC</w:t>
            </w:r>
            <w:r>
              <w:rPr>
                <w:position w:val="7"/>
                <w:sz w:val="16"/>
                <w:sz w:val="20"/>
              </w:rPr>
              <w:t>3</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112,842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112,842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The Paul Family Trust dated June 3, 2005</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478,094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478,094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The Sheldon Paul IT</w:t>
            </w:r>
            <w:r>
              <w:rPr>
                <w:position w:val="7"/>
                <w:sz w:val="16"/>
                <w:sz w:val="20"/>
              </w:rPr>
              <w:t>5</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118,781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118,781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Tracking Technology Holdings, LLC</w:t>
            </w:r>
            <w:r>
              <w:rPr>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1,389,346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1,389,346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William Tremaine Reny</w:t>
            </w:r>
            <w:r>
              <w:rPr>
                <w:position w:val="7"/>
                <w:sz w:val="16"/>
                <w:sz w:val="20"/>
              </w:rPr>
              <w:t>7</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4,967,391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4,967,391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2095" w:type="dxa"/>
        <w:jc w:val="left"/>
        <w:tblInd w:w="0" w:type="dxa"/>
        <w:tblLayout w:type="fixed"/>
        <w:tblCellMar>
          <w:top w:w="0" w:type="dxa"/>
          <w:left w:w="0" w:type="dxa"/>
          <w:bottom w:w="0" w:type="dxa"/>
          <w:right w:w="0" w:type="dxa"/>
        </w:tblCellMar>
      </w:tblPr>
      <w:tblGrid>
        <w:gridCol w:w="185"/>
        <w:gridCol w:w="1910"/>
      </w:tblGrid>
      <w:tr>
        <w:trPr/>
        <w:tc>
          <w:tcPr>
            <w:tcW w:w="185"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Less than a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82" w:type="dxa"/>
            <w:tcBorders/>
            <w:vAlign w:val="center"/>
          </w:tcPr>
          <w:p>
            <w:pPr>
              <w:pStyle w:val="TableContents"/>
              <w:bidi w:val="0"/>
              <w:spacing w:before="0" w:after="283"/>
              <w:jc w:val="both"/>
              <w:rPr/>
            </w:pPr>
            <w:r>
              <w:rPr/>
              <w:t>Unless otherwise noted, the business address of each of those listed in the table above is 5661 S Cameron St, Suite 100, Las Vegas, NV 89118.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9982" w:type="dxa"/>
            <w:tcBorders/>
            <w:vAlign w:val="center"/>
          </w:tcPr>
          <w:p>
            <w:pPr>
              <w:pStyle w:val="TableContents"/>
              <w:bidi w:val="0"/>
              <w:spacing w:before="0" w:after="283"/>
              <w:jc w:val="both"/>
              <w:rPr/>
            </w:pPr>
            <w:r>
              <w:rPr/>
              <w:t>Represents shares directly held by SJP Investments, LLC. Sheldon Paul is the managing member of SJP Investments, LLC. The address of the principal business office of SJP Investments, LLC is 1000 N Green Valley Pkwy, Ste 440-350,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9982" w:type="dxa"/>
            <w:tcBorders/>
            <w:vAlign w:val="center"/>
          </w:tcPr>
          <w:p>
            <w:pPr>
              <w:pStyle w:val="TableContents"/>
              <w:bidi w:val="0"/>
              <w:spacing w:before="0" w:after="283"/>
              <w:jc w:val="both"/>
              <w:rPr/>
            </w:pPr>
            <w:r>
              <w:rPr/>
              <w:t>Represents shares directly held by SSP Technology Holdings, LLC. Sheldon Paul is the managing member of SSP Technology Holdings, LLC. The address of the principal business office of SSP Technology Holdings, LLC is 1000 N Green Valley Pkwy, Ste 440-350,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w:t>
            </w:r>
          </w:p>
        </w:tc>
        <w:tc>
          <w:tcPr>
            <w:tcW w:w="9982" w:type="dxa"/>
            <w:tcBorders/>
            <w:vAlign w:val="center"/>
          </w:tcPr>
          <w:p>
            <w:pPr>
              <w:pStyle w:val="TableContents"/>
              <w:bidi w:val="0"/>
              <w:spacing w:before="0" w:after="283"/>
              <w:jc w:val="both"/>
              <w:rPr/>
            </w:pPr>
            <w:r>
              <w:rPr/>
              <w:t>Represents shares directly held by The Paul Family Trust dated June 3, 2005. Sheldon Paul is the sole trustee of The Paul Family Trust dated June 3, 2005. The address of the principal business office of The Paul Family Trust dated June 3, 2005 is 8671 Golden Canyon,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w:t>
            </w:r>
          </w:p>
        </w:tc>
        <w:tc>
          <w:tcPr>
            <w:tcW w:w="9982" w:type="dxa"/>
            <w:tcBorders/>
            <w:vAlign w:val="center"/>
          </w:tcPr>
          <w:p>
            <w:pPr>
              <w:pStyle w:val="TableContents"/>
              <w:bidi w:val="0"/>
              <w:spacing w:before="0" w:after="283"/>
              <w:jc w:val="both"/>
              <w:rPr/>
            </w:pPr>
            <w:r>
              <w:rPr/>
              <w:t>Represents shares directly held by The Sheldon Paul IT. Sheldon Paul is the sole trustee of The Sheldon Paul IT. The address of the principal business office of The Sheldon Paul IT is 333 N Rancho Drive, Ste 730, Las Vegas, NV 89106.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w:t>
            </w:r>
          </w:p>
        </w:tc>
        <w:tc>
          <w:tcPr>
            <w:tcW w:w="9982" w:type="dxa"/>
            <w:tcBorders/>
            <w:vAlign w:val="center"/>
          </w:tcPr>
          <w:p>
            <w:pPr>
              <w:pStyle w:val="TableContents"/>
              <w:bidi w:val="0"/>
              <w:spacing w:before="0" w:after="283"/>
              <w:jc w:val="both"/>
              <w:rPr/>
            </w:pPr>
            <w:r>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w:t>
            </w:r>
          </w:p>
        </w:tc>
        <w:tc>
          <w:tcPr>
            <w:tcW w:w="9982" w:type="dxa"/>
            <w:tcBorders/>
            <w:vAlign w:val="center"/>
          </w:tcPr>
          <w:p>
            <w:pPr>
              <w:pStyle w:val="TableContents"/>
              <w:bidi w:val="0"/>
              <w:spacing w:before="0" w:after="283"/>
              <w:jc w:val="both"/>
              <w:rPr/>
            </w:pPr>
            <w:r>
              <w:rPr/>
              <w:t>Represents shares directly held by William Tremaine Reny. The address of the principal business office of William Tremaine Reny is 9 Hawk Ridge Drive, Las Vegas, NV 89135.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19"/>
        <w:gridCol w:w="1101"/>
        <w:gridCol w:w="90"/>
        <w:gridCol w:w="90"/>
        <w:gridCol w:w="110"/>
        <w:gridCol w:w="1020"/>
        <w:gridCol w:w="90"/>
        <w:gridCol w:w="90"/>
        <w:gridCol w:w="288"/>
        <w:gridCol w:w="932"/>
        <w:gridCol w:w="90"/>
        <w:gridCol w:w="90"/>
        <w:gridCol w:w="213"/>
        <w:gridCol w:w="692"/>
        <w:gridCol w:w="90"/>
        <w:gridCol w:w="90"/>
        <w:gridCol w:w="288"/>
        <w:gridCol w:w="932"/>
        <w:gridCol w:w="90"/>
        <w:gridCol w:w="90"/>
        <w:gridCol w:w="267"/>
        <w:gridCol w:w="863"/>
        <w:gridCol w:w="90"/>
        <w:gridCol w:w="90"/>
        <w:gridCol w:w="288"/>
        <w:gridCol w:w="932"/>
        <w:gridCol w:w="90"/>
        <w:gridCol w:w="90"/>
        <w:gridCol w:w="213"/>
        <w:gridCol w:w="69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Johnathan Jerotz &amp; Sarah Jerotz JT Ten</w:t>
            </w:r>
            <w:r>
              <w:rPr>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121,250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121,250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Kory Coleman</w:t>
            </w:r>
            <w:r>
              <w:rPr>
                <w:position w:val="7"/>
                <w:sz w:val="16"/>
                <w:sz w:val="20"/>
              </w:rPr>
              <w:t>9</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97,000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97,000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John Phillips Shackelford Jr.</w:t>
            </w:r>
            <w:r>
              <w:rPr>
                <w:position w:val="7"/>
                <w:sz w:val="16"/>
                <w:sz w:val="20"/>
              </w:rPr>
              <w:t>10</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76,387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76,387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Aaron Nemec</w:t>
            </w:r>
            <w:r>
              <w:rPr>
                <w:position w:val="7"/>
                <w:sz w:val="16"/>
                <w:sz w:val="20"/>
              </w:rPr>
              <w:t>11</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72,750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72,750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Steven Just</w:t>
            </w:r>
            <w:r>
              <w:rPr>
                <w:position w:val="7"/>
                <w:sz w:val="16"/>
                <w:sz w:val="20"/>
              </w:rPr>
              <w:t>12</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48,500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48,500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Michael S. Rodgers</w:t>
            </w:r>
            <w:r>
              <w:rPr>
                <w:position w:val="7"/>
                <w:sz w:val="16"/>
                <w:sz w:val="20"/>
              </w:rPr>
              <w:t>13</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48,500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48,500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Christopher John Winspear &amp; Gina Gilbert Winspear JT</w:t>
            </w:r>
            <w:r>
              <w:rPr>
                <w:position w:val="7"/>
                <w:sz w:val="16"/>
                <w:sz w:val="20"/>
              </w:rPr>
              <w:t>14</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36,375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36,375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Trent Stimpson</w:t>
            </w:r>
            <w:r>
              <w:rPr>
                <w:position w:val="7"/>
                <w:sz w:val="16"/>
                <w:sz w:val="20"/>
              </w:rPr>
              <w:t>15</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36,375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36,375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James Jacob Porter</w:t>
            </w:r>
            <w:r>
              <w:rPr>
                <w:position w:val="7"/>
                <w:sz w:val="16"/>
                <w:sz w:val="20"/>
              </w:rPr>
              <w:t>16</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30,312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Christy Nichol Nemec</w:t>
            </w:r>
            <w:r>
              <w:rPr>
                <w:position w:val="7"/>
                <w:sz w:val="16"/>
                <w:sz w:val="20"/>
              </w:rPr>
              <w:t>17</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30,312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30,312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Bryson T. Smith</w:t>
            </w:r>
            <w:r>
              <w:rPr>
                <w:position w:val="7"/>
                <w:sz w:val="16"/>
                <w:sz w:val="20"/>
              </w:rPr>
              <w:t>18</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30,312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Davies Brothers, LLC</w:t>
            </w:r>
            <w:r>
              <w:rPr>
                <w:position w:val="7"/>
                <w:sz w:val="16"/>
                <w:sz w:val="20"/>
              </w:rPr>
              <w:t>19</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29,100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29,100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w:t>
            </w:r>
          </w:p>
        </w:tc>
        <w:tc>
          <w:tcPr>
            <w:tcW w:w="9982" w:type="dxa"/>
            <w:tcBorders/>
            <w:vAlign w:val="center"/>
          </w:tcPr>
          <w:p>
            <w:pPr>
              <w:pStyle w:val="TableContents"/>
              <w:bidi w:val="0"/>
              <w:spacing w:before="0" w:after="283"/>
              <w:jc w:val="both"/>
              <w:rPr/>
            </w:pPr>
            <w:r>
              <w:rPr/>
              <w:t>Represents shares directly held by Johnathan Jerotz &amp; Sarah Jerotz JT Ten. The address of the principal business office of Johnathan Jerotz &amp; Sarah Jerotz JT Ten is 3304 Lone Hill Ln, Encinitas, CA 92024.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w:t>
            </w:r>
          </w:p>
        </w:tc>
        <w:tc>
          <w:tcPr>
            <w:tcW w:w="9982" w:type="dxa"/>
            <w:tcBorders/>
            <w:vAlign w:val="center"/>
          </w:tcPr>
          <w:p>
            <w:pPr>
              <w:pStyle w:val="TableContents"/>
              <w:bidi w:val="0"/>
              <w:spacing w:before="0" w:after="283"/>
              <w:jc w:val="both"/>
              <w:rPr/>
            </w:pPr>
            <w:r>
              <w:rPr/>
              <w:t>Represents shares directly held by Kory Coleman. The address of the principal business office of Kory Coleman is 529 E. Oak Hollow Ct., Bountiful, UT 84010.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w:t>
            </w:r>
          </w:p>
        </w:tc>
        <w:tc>
          <w:tcPr>
            <w:tcW w:w="9877" w:type="dxa"/>
            <w:tcBorders/>
            <w:vAlign w:val="center"/>
          </w:tcPr>
          <w:p>
            <w:pPr>
              <w:pStyle w:val="TableContents"/>
              <w:bidi w:val="0"/>
              <w:spacing w:before="0" w:after="283"/>
              <w:jc w:val="both"/>
              <w:rPr/>
            </w:pPr>
            <w:r>
              <w:rPr/>
              <w:t>Represents shares directly held by John Phillips Shackelford Jr. The address of the principal business office of John Phillips Shackelford Jr. is 2100 S. Ocean Dr., Apt. 17K, Fort Lauderdale, FL 33316.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w:t>
            </w:r>
          </w:p>
        </w:tc>
        <w:tc>
          <w:tcPr>
            <w:tcW w:w="9877" w:type="dxa"/>
            <w:tcBorders/>
            <w:vAlign w:val="center"/>
          </w:tcPr>
          <w:p>
            <w:pPr>
              <w:pStyle w:val="TableContents"/>
              <w:bidi w:val="0"/>
              <w:spacing w:before="0" w:after="283"/>
              <w:jc w:val="both"/>
              <w:rPr/>
            </w:pPr>
            <w:r>
              <w:rPr/>
              <w:t>Represents shares directly held by Aaron Nemec. The address of the principal business office of Aaron Nemec is 1783 E.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w:t>
            </w:r>
          </w:p>
        </w:tc>
        <w:tc>
          <w:tcPr>
            <w:tcW w:w="9877" w:type="dxa"/>
            <w:tcBorders/>
            <w:vAlign w:val="center"/>
          </w:tcPr>
          <w:p>
            <w:pPr>
              <w:pStyle w:val="TableContents"/>
              <w:bidi w:val="0"/>
              <w:spacing w:before="0" w:after="283"/>
              <w:jc w:val="both"/>
              <w:rPr/>
            </w:pPr>
            <w:r>
              <w:rPr/>
              <w:t>Represents shares directly held by Steven Just. The address of the principal business office of Steven Just is 3179 S. Cobble Way,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w:t>
            </w:r>
          </w:p>
        </w:tc>
        <w:tc>
          <w:tcPr>
            <w:tcW w:w="9877" w:type="dxa"/>
            <w:tcBorders/>
            <w:vAlign w:val="center"/>
          </w:tcPr>
          <w:p>
            <w:pPr>
              <w:pStyle w:val="TableContents"/>
              <w:bidi w:val="0"/>
              <w:spacing w:before="0" w:after="283"/>
              <w:jc w:val="both"/>
              <w:rPr/>
            </w:pPr>
            <w:r>
              <w:rPr/>
              <w:t>Represents shares directly held by Michael S. Rodgers. The address of the principal business office of Michael S. Rodgers is P.O. Box 891, Meridian, ID 83680.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w:t>
            </w:r>
          </w:p>
        </w:tc>
        <w:tc>
          <w:tcPr>
            <w:tcW w:w="9877" w:type="dxa"/>
            <w:tcBorders/>
            <w:vAlign w:val="center"/>
          </w:tcPr>
          <w:p>
            <w:pPr>
              <w:pStyle w:val="TableContents"/>
              <w:bidi w:val="0"/>
              <w:spacing w:before="0" w:after="283"/>
              <w:jc w:val="both"/>
              <w:rPr/>
            </w:pPr>
            <w:r>
              <w:rPr/>
              <w:t>Represents shares directly held by Christopher John Winspear &amp; Gina Gilbert Winspear JT. The address of the principal business office of Christopher John Winspear &amp; Gina Gilbert Winspear JT is 4776 Barcelona Ridge Ct., Las Vegas, NV 89129.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w:t>
            </w:r>
          </w:p>
        </w:tc>
        <w:tc>
          <w:tcPr>
            <w:tcW w:w="9877" w:type="dxa"/>
            <w:tcBorders/>
            <w:vAlign w:val="center"/>
          </w:tcPr>
          <w:p>
            <w:pPr>
              <w:pStyle w:val="TableContents"/>
              <w:bidi w:val="0"/>
              <w:spacing w:before="0" w:after="283"/>
              <w:jc w:val="both"/>
              <w:rPr/>
            </w:pPr>
            <w:r>
              <w:rPr/>
              <w:t>Represents shares directly held by Trent Simpson. The address of the principal business office of Trent Simpson is 6667 Trinity Creek Ln,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w:t>
            </w:r>
          </w:p>
        </w:tc>
        <w:tc>
          <w:tcPr>
            <w:tcW w:w="9877" w:type="dxa"/>
            <w:tcBorders/>
            <w:vAlign w:val="center"/>
          </w:tcPr>
          <w:p>
            <w:pPr>
              <w:pStyle w:val="TableContents"/>
              <w:bidi w:val="0"/>
              <w:spacing w:before="0" w:after="283"/>
              <w:jc w:val="both"/>
              <w:rPr/>
            </w:pPr>
            <w:r>
              <w:rPr/>
              <w:t>Represents shares directly held by James Jacob Porter. The address of the principal business office of James Jacob Porter, 5 The Ests, Dorado, PR 00646.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w:t>
            </w:r>
          </w:p>
        </w:tc>
        <w:tc>
          <w:tcPr>
            <w:tcW w:w="9877" w:type="dxa"/>
            <w:tcBorders/>
            <w:vAlign w:val="center"/>
          </w:tcPr>
          <w:p>
            <w:pPr>
              <w:pStyle w:val="TableContents"/>
              <w:bidi w:val="0"/>
              <w:spacing w:before="0" w:after="283"/>
              <w:jc w:val="both"/>
              <w:rPr/>
            </w:pPr>
            <w:r>
              <w:rPr/>
              <w:t>Represents shares directly held by Christy Nichol Nemec. The address of the principal business office of Christy Nichol Nemec is 1783 E. Lone Shore Ln,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w:t>
            </w:r>
          </w:p>
        </w:tc>
        <w:tc>
          <w:tcPr>
            <w:tcW w:w="9877" w:type="dxa"/>
            <w:tcBorders/>
            <w:vAlign w:val="center"/>
          </w:tcPr>
          <w:p>
            <w:pPr>
              <w:pStyle w:val="TableContents"/>
              <w:bidi w:val="0"/>
              <w:spacing w:before="0" w:after="283"/>
              <w:jc w:val="both"/>
              <w:rPr/>
            </w:pPr>
            <w:r>
              <w:rPr/>
              <w:t>Represents shares directly held by Bryson T. Smith. The address of the principal business office of Bryson T. Smith is 4622 N. Arches Ave.,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w:t>
            </w:r>
          </w:p>
        </w:tc>
        <w:tc>
          <w:tcPr>
            <w:tcW w:w="9877" w:type="dxa"/>
            <w:tcBorders/>
            <w:vAlign w:val="center"/>
          </w:tcPr>
          <w:p>
            <w:pPr>
              <w:pStyle w:val="TableContents"/>
              <w:bidi w:val="0"/>
              <w:spacing w:before="0" w:after="283"/>
              <w:jc w:val="both"/>
              <w:rPr/>
            </w:pPr>
            <w:r>
              <w:rPr/>
              <w:t>Represents shares directly held by Davies Brothers, LLC. The address of the principal business office of Davies Brothers, LLC is 2305 W. Boulder Bar Dr., Meridian, ID 83646.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375" w:type="dxa"/>
        <w:jc w:val="left"/>
        <w:tblInd w:w="0" w:type="dxa"/>
        <w:tblLayout w:type="fixed"/>
        <w:tblCellMar>
          <w:top w:w="0" w:type="dxa"/>
          <w:left w:w="0" w:type="dxa"/>
          <w:bottom w:w="0" w:type="dxa"/>
          <w:right w:w="0" w:type="dxa"/>
        </w:tblCellMar>
      </w:tblPr>
      <w:tblGrid>
        <w:gridCol w:w="1670"/>
        <w:gridCol w:w="90"/>
        <w:gridCol w:w="136"/>
        <w:gridCol w:w="1084"/>
        <w:gridCol w:w="90"/>
        <w:gridCol w:w="90"/>
        <w:gridCol w:w="126"/>
        <w:gridCol w:w="1004"/>
        <w:gridCol w:w="90"/>
        <w:gridCol w:w="90"/>
        <w:gridCol w:w="136"/>
        <w:gridCol w:w="1084"/>
        <w:gridCol w:w="90"/>
        <w:gridCol w:w="90"/>
        <w:gridCol w:w="90"/>
        <w:gridCol w:w="950"/>
        <w:gridCol w:w="90"/>
        <w:gridCol w:w="90"/>
        <w:gridCol w:w="105"/>
        <w:gridCol w:w="1115"/>
        <w:gridCol w:w="90"/>
        <w:gridCol w:w="90"/>
        <w:gridCol w:w="97"/>
        <w:gridCol w:w="1033"/>
        <w:gridCol w:w="90"/>
        <w:gridCol w:w="90"/>
        <w:gridCol w:w="105"/>
        <w:gridCol w:w="1115"/>
        <w:gridCol w:w="90"/>
        <w:gridCol w:w="90"/>
        <w:gridCol w:w="90"/>
        <w:gridCol w:w="950"/>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150"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Logan Properties, LLC</w:t>
            </w:r>
            <w:r>
              <w:rPr>
                <w:position w:val="7"/>
                <w:sz w:val="16"/>
                <w:sz w:val="20"/>
              </w:rPr>
              <w:t>20</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25,220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25,220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Jewell James</w:t>
            </w:r>
            <w:r>
              <w:rPr>
                <w:position w:val="7"/>
                <w:sz w:val="16"/>
                <w:sz w:val="20"/>
              </w:rPr>
              <w:t>21</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PRK Investments, LLC</w:t>
            </w:r>
            <w:r>
              <w:rPr>
                <w:position w:val="7"/>
                <w:sz w:val="16"/>
                <w:sz w:val="20"/>
              </w:rPr>
              <w:t>22</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44,841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20,591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Rob Shockley</w:t>
            </w:r>
            <w:r>
              <w:rPr>
                <w:position w:val="7"/>
                <w:sz w:val="16"/>
                <w:sz w:val="20"/>
              </w:rPr>
              <w:t>23</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55,137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Ty Snyder</w:t>
            </w:r>
            <w:r>
              <w:rPr>
                <w:position w:val="7"/>
                <w:sz w:val="16"/>
                <w:sz w:val="20"/>
              </w:rPr>
              <w:t>24</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James Ray Olson</w:t>
            </w:r>
            <w:r>
              <w:rPr>
                <w:position w:val="7"/>
                <w:sz w:val="16"/>
                <w:sz w:val="20"/>
              </w:rPr>
              <w:t>25</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Steve Majerus</w:t>
            </w:r>
            <w:r>
              <w:rPr>
                <w:position w:val="7"/>
                <w:sz w:val="16"/>
                <w:sz w:val="20"/>
              </w:rPr>
              <w:t>26</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Bradley Chatlin</w:t>
            </w:r>
            <w:r>
              <w:rPr>
                <w:position w:val="7"/>
                <w:sz w:val="16"/>
                <w:sz w:val="20"/>
              </w:rPr>
              <w:t>27</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Darin Ball</w:t>
            </w:r>
            <w:r>
              <w:rPr>
                <w:position w:val="7"/>
                <w:sz w:val="16"/>
                <w:sz w:val="20"/>
              </w:rPr>
              <w:t>28</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Jeffrey Ibos</w:t>
            </w:r>
            <w:r>
              <w:rPr>
                <w:position w:val="7"/>
                <w:sz w:val="16"/>
                <w:sz w:val="20"/>
              </w:rPr>
              <w:t>29</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24,250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Wendy Foster</w:t>
            </w:r>
            <w:r>
              <w:rPr>
                <w:position w:val="7"/>
                <w:sz w:val="16"/>
                <w:sz w:val="20"/>
              </w:rPr>
              <w:t>30</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w:t>
            </w:r>
          </w:p>
        </w:tc>
        <w:tc>
          <w:tcPr>
            <w:tcW w:w="9877" w:type="dxa"/>
            <w:tcBorders/>
            <w:vAlign w:val="center"/>
          </w:tcPr>
          <w:p>
            <w:pPr>
              <w:pStyle w:val="TableContents"/>
              <w:bidi w:val="0"/>
              <w:spacing w:before="0" w:after="283"/>
              <w:jc w:val="both"/>
              <w:rPr/>
            </w:pPr>
            <w:r>
              <w:rPr/>
              <w:t>Represents shares directly held by Logan Properties, LLC. John R. Logan is the sole member of Logan Properties, LLC. The address of the principal business office of Logan Properties is 1105 W. Jackson, Tupelo, MS 38804.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w:t>
            </w:r>
          </w:p>
        </w:tc>
        <w:tc>
          <w:tcPr>
            <w:tcW w:w="9877" w:type="dxa"/>
            <w:tcBorders/>
            <w:vAlign w:val="center"/>
          </w:tcPr>
          <w:p>
            <w:pPr>
              <w:pStyle w:val="TableContents"/>
              <w:bidi w:val="0"/>
              <w:spacing w:before="0" w:after="283"/>
              <w:jc w:val="both"/>
              <w:rPr/>
            </w:pPr>
            <w:r>
              <w:rPr/>
              <w:t>Represents shares directly held by Jewell James. The address of the principal business office of Jewell James is P.O. Box 2727, Pearland, TX 77588.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w:t>
            </w:r>
          </w:p>
        </w:tc>
        <w:tc>
          <w:tcPr>
            <w:tcW w:w="9877" w:type="dxa"/>
            <w:tcBorders/>
            <w:vAlign w:val="center"/>
          </w:tcPr>
          <w:p>
            <w:pPr>
              <w:pStyle w:val="TableContents"/>
              <w:bidi w:val="0"/>
              <w:spacing w:before="0" w:after="283"/>
              <w:jc w:val="both"/>
              <w:rPr/>
            </w:pPr>
            <w:r>
              <w:rPr/>
              <w:t>Represents shares directly held by PRK Investments, LLC. Richard Pinol and David Kracke are the managing members of PRK Investments, LLC. The address of the principal business office of PRK Investments is 1487 S. David Lane,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w:t>
            </w:r>
          </w:p>
        </w:tc>
        <w:tc>
          <w:tcPr>
            <w:tcW w:w="9877" w:type="dxa"/>
            <w:tcBorders/>
            <w:vAlign w:val="center"/>
          </w:tcPr>
          <w:p>
            <w:pPr>
              <w:pStyle w:val="TableContents"/>
              <w:bidi w:val="0"/>
              <w:spacing w:before="0" w:after="283"/>
              <w:jc w:val="both"/>
              <w:rPr/>
            </w:pPr>
            <w:r>
              <w:rPr/>
              <w:t>Represents shares directly held by Rob Shockley. The address of the principal business office of Rob Shockley is 1313 S. Watermark Ave., Eagle, ID 83616.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24</w:t>
            </w:r>
          </w:p>
        </w:tc>
        <w:tc>
          <w:tcPr>
            <w:tcW w:w="9877" w:type="dxa"/>
            <w:tcBorders/>
            <w:vAlign w:val="center"/>
          </w:tcPr>
          <w:p>
            <w:pPr>
              <w:pStyle w:val="TableContents"/>
              <w:bidi w:val="0"/>
              <w:spacing w:before="0" w:after="283"/>
              <w:jc w:val="both"/>
              <w:rPr/>
            </w:pPr>
            <w:r>
              <w:rPr/>
              <w:t>Represents shares directly held by Ty Snyder. The address of the principal business office of Ty Snyder is 2855 W. Torana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25</w:t>
            </w:r>
          </w:p>
        </w:tc>
        <w:tc>
          <w:tcPr>
            <w:tcW w:w="9877" w:type="dxa"/>
            <w:tcBorders/>
            <w:vAlign w:val="center"/>
          </w:tcPr>
          <w:p>
            <w:pPr>
              <w:pStyle w:val="TableContents"/>
              <w:bidi w:val="0"/>
              <w:spacing w:before="0" w:after="283"/>
              <w:jc w:val="both"/>
              <w:rPr/>
            </w:pPr>
            <w:r>
              <w:rPr/>
              <w:t>Represents shares directly held by James Ray Olson. The address of the principal business office of James Ray Olson is 5660 E. Franklin Rd., Suite 321, Nampa, ID 83687.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26</w:t>
            </w:r>
          </w:p>
        </w:tc>
        <w:tc>
          <w:tcPr>
            <w:tcW w:w="9877" w:type="dxa"/>
            <w:tcBorders/>
            <w:vAlign w:val="center"/>
          </w:tcPr>
          <w:p>
            <w:pPr>
              <w:pStyle w:val="TableContents"/>
              <w:bidi w:val="0"/>
              <w:spacing w:before="0" w:after="283"/>
              <w:jc w:val="both"/>
              <w:rPr/>
            </w:pPr>
            <w:r>
              <w:rPr/>
              <w:t>Represents shares directly held by Steve Majerus. The address of the principal business office of Steve Majerus is 7737 Camino Sin Puente, Rancho Santa Fe, CA 92607.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27</w:t>
            </w:r>
          </w:p>
        </w:tc>
        <w:tc>
          <w:tcPr>
            <w:tcW w:w="9877" w:type="dxa"/>
            <w:tcBorders/>
            <w:vAlign w:val="center"/>
          </w:tcPr>
          <w:p>
            <w:pPr>
              <w:pStyle w:val="TableContents"/>
              <w:bidi w:val="0"/>
              <w:spacing w:before="0" w:after="283"/>
              <w:jc w:val="both"/>
              <w:rPr/>
            </w:pPr>
            <w:r>
              <w:rPr/>
              <w:t>Represents shares directly held by Bradley Chatlin. The address of the principal business office of Bradley Chatlin is 2387 N. Stonecrest Place,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28</w:t>
            </w:r>
          </w:p>
        </w:tc>
        <w:tc>
          <w:tcPr>
            <w:tcW w:w="9877" w:type="dxa"/>
            <w:tcBorders/>
            <w:vAlign w:val="center"/>
          </w:tcPr>
          <w:p>
            <w:pPr>
              <w:pStyle w:val="TableContents"/>
              <w:bidi w:val="0"/>
              <w:spacing w:before="0" w:after="283"/>
              <w:jc w:val="both"/>
              <w:rPr/>
            </w:pPr>
            <w:r>
              <w:rPr/>
              <w:t>Represents shares directly held by Darin Ball. The address of the principal business office of Darin Ball is 2605 S. Arthur St., Spokane, WA 99203.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29</w:t>
            </w:r>
          </w:p>
        </w:tc>
        <w:tc>
          <w:tcPr>
            <w:tcW w:w="9877" w:type="dxa"/>
            <w:tcBorders/>
            <w:vAlign w:val="center"/>
          </w:tcPr>
          <w:p>
            <w:pPr>
              <w:pStyle w:val="TableContents"/>
              <w:bidi w:val="0"/>
              <w:spacing w:before="0" w:after="283"/>
              <w:jc w:val="both"/>
              <w:rPr/>
            </w:pPr>
            <w:r>
              <w:rPr/>
              <w:t>Represents shares directly held by Jeffrey Ibos. The address of the principal business office of Jeffrey Ibos is P.O. Box 2084, Covington, LA 70434.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30</w:t>
            </w:r>
          </w:p>
        </w:tc>
        <w:tc>
          <w:tcPr>
            <w:tcW w:w="9877" w:type="dxa"/>
            <w:tcBorders/>
            <w:vAlign w:val="center"/>
          </w:tcPr>
          <w:p>
            <w:pPr>
              <w:pStyle w:val="TableContents"/>
              <w:bidi w:val="0"/>
              <w:spacing w:before="0" w:after="283"/>
              <w:jc w:val="both"/>
              <w:rPr/>
            </w:pPr>
            <w:r>
              <w:rPr/>
              <w:t>Represents shares directly held by Wendy Foster. The address of the principal business office of Wendy Foster is 13403 Stockton Creek Rd., Preston, ID 83263.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80" w:type="dxa"/>
        <w:jc w:val="left"/>
        <w:tblInd w:w="0" w:type="dxa"/>
        <w:tblLayout w:type="fixed"/>
        <w:tblCellMar>
          <w:top w:w="0" w:type="dxa"/>
          <w:left w:w="0" w:type="dxa"/>
          <w:bottom w:w="0" w:type="dxa"/>
          <w:right w:w="0" w:type="dxa"/>
        </w:tblCellMar>
      </w:tblPr>
      <w:tblGrid>
        <w:gridCol w:w="1670"/>
        <w:gridCol w:w="90"/>
        <w:gridCol w:w="136"/>
        <w:gridCol w:w="1084"/>
        <w:gridCol w:w="90"/>
        <w:gridCol w:w="90"/>
        <w:gridCol w:w="126"/>
        <w:gridCol w:w="1004"/>
        <w:gridCol w:w="90"/>
        <w:gridCol w:w="90"/>
        <w:gridCol w:w="112"/>
        <w:gridCol w:w="1108"/>
        <w:gridCol w:w="90"/>
        <w:gridCol w:w="90"/>
        <w:gridCol w:w="213"/>
        <w:gridCol w:w="692"/>
        <w:gridCol w:w="90"/>
        <w:gridCol w:w="90"/>
        <w:gridCol w:w="112"/>
        <w:gridCol w:w="1108"/>
        <w:gridCol w:w="90"/>
        <w:gridCol w:w="90"/>
        <w:gridCol w:w="103"/>
        <w:gridCol w:w="1027"/>
        <w:gridCol w:w="90"/>
        <w:gridCol w:w="90"/>
        <w:gridCol w:w="119"/>
        <w:gridCol w:w="1101"/>
        <w:gridCol w:w="90"/>
        <w:gridCol w:w="90"/>
        <w:gridCol w:w="90"/>
        <w:gridCol w:w="890"/>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9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Charles Price and Judy Price JT Ten</w:t>
            </w:r>
            <w:r>
              <w:rPr>
                <w:position w:val="7"/>
                <w:sz w:val="16"/>
                <w:sz w:val="20"/>
              </w:rPr>
              <w:t>31</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23,401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23,401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Steven Lloyd</w:t>
            </w:r>
            <w:r>
              <w:rPr>
                <w:position w:val="7"/>
                <w:sz w:val="16"/>
                <w:sz w:val="20"/>
              </w:rPr>
              <w:t>32</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18,093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18,093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Kristopher Townsend &amp; Amanda Townsend JT Ten</w:t>
            </w:r>
            <w:r>
              <w:rPr>
                <w:position w:val="7"/>
                <w:sz w:val="16"/>
                <w:sz w:val="20"/>
              </w:rPr>
              <w:t>33</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18,093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18,093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DDJ Investments, LLC</w:t>
            </w:r>
            <w:r>
              <w:rPr>
                <w:position w:val="7"/>
                <w:sz w:val="16"/>
                <w:sz w:val="20"/>
              </w:rPr>
              <w:t>34</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18,093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18,093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Greg Hardee</w:t>
            </w:r>
            <w:r>
              <w:rPr>
                <w:position w:val="7"/>
                <w:sz w:val="16"/>
                <w:sz w:val="20"/>
              </w:rPr>
              <w:t>35</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14,475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14,475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Scott Thompson</w:t>
            </w:r>
            <w:r>
              <w:rPr>
                <w:position w:val="7"/>
                <w:sz w:val="16"/>
                <w:sz w:val="20"/>
              </w:rPr>
              <w:t>36</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14,475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14,475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John R. Stegner &amp; Laurie K.E. Stegner JT Ten</w:t>
            </w:r>
            <w:r>
              <w:rPr>
                <w:position w:val="7"/>
                <w:sz w:val="16"/>
                <w:sz w:val="20"/>
              </w:rPr>
              <w:t>37</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13,268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13,268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Payette Investments, LLC</w:t>
            </w:r>
            <w:r>
              <w:rPr>
                <w:position w:val="7"/>
                <w:sz w:val="16"/>
                <w:sz w:val="20"/>
              </w:rPr>
              <w:t>38</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Scott C. Lamm</w:t>
            </w:r>
            <w:r>
              <w:rPr>
                <w:position w:val="7"/>
                <w:sz w:val="16"/>
                <w:sz w:val="20"/>
              </w:rPr>
              <w:t>39</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Darren Davies</w:t>
            </w:r>
            <w:r>
              <w:rPr>
                <w:position w:val="7"/>
                <w:sz w:val="16"/>
                <w:sz w:val="20"/>
              </w:rPr>
              <w:t>40</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Hemanth Kumar</w:t>
            </w:r>
            <w:r>
              <w:rPr>
                <w:position w:val="7"/>
                <w:sz w:val="16"/>
                <w:sz w:val="20"/>
              </w:rPr>
              <w:t>41</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31</w:t>
            </w:r>
          </w:p>
        </w:tc>
        <w:tc>
          <w:tcPr>
            <w:tcW w:w="9877" w:type="dxa"/>
            <w:tcBorders/>
            <w:vAlign w:val="center"/>
          </w:tcPr>
          <w:p>
            <w:pPr>
              <w:pStyle w:val="TableContents"/>
              <w:bidi w:val="0"/>
              <w:spacing w:before="0" w:after="283"/>
              <w:jc w:val="both"/>
              <w:rPr/>
            </w:pPr>
            <w:r>
              <w:rPr/>
              <w:t>Represents shares directly held by Charles Price and Judy Price JT Ten. The address of the principal business office of Charles Price and Judy Price JT Ten is 5001 W. Tia Inez St.,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32</w:t>
            </w:r>
          </w:p>
        </w:tc>
        <w:tc>
          <w:tcPr>
            <w:tcW w:w="9877" w:type="dxa"/>
            <w:tcBorders/>
            <w:vAlign w:val="center"/>
          </w:tcPr>
          <w:p>
            <w:pPr>
              <w:pStyle w:val="TableContents"/>
              <w:bidi w:val="0"/>
              <w:spacing w:before="0" w:after="283"/>
              <w:jc w:val="both"/>
              <w:rPr/>
            </w:pPr>
            <w:r>
              <w:rPr/>
              <w:t>Represents shares directly held by Steven Lloyd. The address of the principal business office of Steven Lloyd is 3505 N. Llama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33</w:t>
            </w:r>
          </w:p>
        </w:tc>
        <w:tc>
          <w:tcPr>
            <w:tcW w:w="9877" w:type="dxa"/>
            <w:tcBorders/>
            <w:vAlign w:val="center"/>
          </w:tcPr>
          <w:p>
            <w:pPr>
              <w:pStyle w:val="TableContents"/>
              <w:bidi w:val="0"/>
              <w:spacing w:before="0" w:after="283"/>
              <w:jc w:val="both"/>
              <w:rPr/>
            </w:pPr>
            <w:r>
              <w:rPr/>
              <w:t>Represents shares directly held by Kristopher Townsend &amp; Amanda Townsend JT Ten. The address of the principal business office of Kristopher Townsend &amp; Amanda Townsend JT Ten is 3011 N. Merlot Place,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34</w:t>
            </w:r>
          </w:p>
        </w:tc>
        <w:tc>
          <w:tcPr>
            <w:tcW w:w="9877" w:type="dxa"/>
            <w:tcBorders/>
            <w:vAlign w:val="center"/>
          </w:tcPr>
          <w:p>
            <w:pPr>
              <w:pStyle w:val="TableContents"/>
              <w:bidi w:val="0"/>
              <w:spacing w:before="0" w:after="283"/>
              <w:jc w:val="both"/>
              <w:rPr/>
            </w:pPr>
            <w:r>
              <w:rPr/>
              <w:t>Represents shares directly held by DDJ Investments, LLC. The address of the principal business office of DDJ Investments, LLC is 1487 S. David Lane,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35</w:t>
            </w:r>
          </w:p>
        </w:tc>
        <w:tc>
          <w:tcPr>
            <w:tcW w:w="9877" w:type="dxa"/>
            <w:tcBorders/>
            <w:vAlign w:val="center"/>
          </w:tcPr>
          <w:p>
            <w:pPr>
              <w:pStyle w:val="TableContents"/>
              <w:bidi w:val="0"/>
              <w:spacing w:before="0" w:after="283"/>
              <w:jc w:val="both"/>
              <w:rPr/>
            </w:pPr>
            <w:r>
              <w:rPr/>
              <w:t>Represents shares directly held by Greg Hardee. The address of the principal business office of Greg Hardee is 3371 E. Heartleaf Dr.,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36</w:t>
            </w:r>
          </w:p>
        </w:tc>
        <w:tc>
          <w:tcPr>
            <w:tcW w:w="9877" w:type="dxa"/>
            <w:tcBorders/>
            <w:vAlign w:val="center"/>
          </w:tcPr>
          <w:p>
            <w:pPr>
              <w:pStyle w:val="TableContents"/>
              <w:bidi w:val="0"/>
              <w:spacing w:before="0" w:after="283"/>
              <w:jc w:val="both"/>
              <w:rPr/>
            </w:pPr>
            <w:r>
              <w:rPr/>
              <w:t>Represents shares directly held by Scott Thompson. The address of the principal business office of Scott Thompson is 457 West Two Rivers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37</w:t>
            </w:r>
          </w:p>
        </w:tc>
        <w:tc>
          <w:tcPr>
            <w:tcW w:w="9877" w:type="dxa"/>
            <w:tcBorders/>
            <w:vAlign w:val="center"/>
          </w:tcPr>
          <w:p>
            <w:pPr>
              <w:pStyle w:val="TableContents"/>
              <w:bidi w:val="0"/>
              <w:spacing w:before="0" w:after="283"/>
              <w:jc w:val="both"/>
              <w:rPr/>
            </w:pPr>
            <w:r>
              <w:rPr/>
              <w:t>Represents shares directly held by John R. Stegner &amp; Laurie K.E. Stegner JT Ten. The address of the principal business office of John R. Stegner &amp; Laurie K.E. Stegner JT Ten is 420 W. Main St., Suite 403,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38</w:t>
            </w:r>
          </w:p>
        </w:tc>
        <w:tc>
          <w:tcPr>
            <w:tcW w:w="9877" w:type="dxa"/>
            <w:tcBorders/>
            <w:vAlign w:val="center"/>
          </w:tcPr>
          <w:p>
            <w:pPr>
              <w:pStyle w:val="TableContents"/>
              <w:bidi w:val="0"/>
              <w:spacing w:before="0" w:after="283"/>
              <w:jc w:val="both"/>
              <w:rPr/>
            </w:pPr>
            <w:r>
              <w:rPr/>
              <w:t>Represents shares directly held by Payette Investments, LLC. Matthew T. Moore and Donal C. Christensen are the controlling members of Payette Investments, LLC. The address of the principal business office of Payette Investments LLC is 202 N. 9</w:t>
            </w:r>
            <w:r>
              <w:rPr>
                <w:position w:val="8"/>
                <w:sz w:val="19"/>
              </w:rPr>
              <w:t>th</w:t>
            </w:r>
            <w:r>
              <w:rPr/>
              <w:t xml:space="preserve"> St., Suite 300,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39</w:t>
            </w:r>
          </w:p>
        </w:tc>
        <w:tc>
          <w:tcPr>
            <w:tcW w:w="9877" w:type="dxa"/>
            <w:tcBorders/>
            <w:vAlign w:val="center"/>
          </w:tcPr>
          <w:p>
            <w:pPr>
              <w:pStyle w:val="TableContents"/>
              <w:bidi w:val="0"/>
              <w:spacing w:before="0" w:after="283"/>
              <w:jc w:val="both"/>
              <w:rPr/>
            </w:pPr>
            <w:r>
              <w:rPr/>
              <w:t>Represents shares directly held by Scott C. Lamm. The address of the principal business office of Scott C. Lamm is 1775 W. State St. #222, Boise, ID 83702.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40</w:t>
            </w:r>
          </w:p>
        </w:tc>
        <w:tc>
          <w:tcPr>
            <w:tcW w:w="9877" w:type="dxa"/>
            <w:tcBorders/>
            <w:vAlign w:val="center"/>
          </w:tcPr>
          <w:p>
            <w:pPr>
              <w:pStyle w:val="TableContents"/>
              <w:bidi w:val="0"/>
              <w:spacing w:before="0" w:after="283"/>
              <w:jc w:val="both"/>
              <w:rPr/>
            </w:pPr>
            <w:r>
              <w:rPr/>
              <w:t>Represents shares directly held by Darren Davies. The address of the principal business office of Darren Davies is 3704 S. Riva Ridge Way,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41</w:t>
            </w:r>
          </w:p>
        </w:tc>
        <w:tc>
          <w:tcPr>
            <w:tcW w:w="9877" w:type="dxa"/>
            <w:tcBorders/>
            <w:vAlign w:val="center"/>
          </w:tcPr>
          <w:p>
            <w:pPr>
              <w:pStyle w:val="TableContents"/>
              <w:bidi w:val="0"/>
              <w:spacing w:before="0" w:after="283"/>
              <w:jc w:val="both"/>
              <w:rPr/>
            </w:pPr>
            <w:r>
              <w:rPr/>
              <w:t>Represents shares directly held by Hemanth Kumar. The address of the principal business office of Hemanth Kumar is 2644 Rue Montpellier Ave, Henderson, NV 89044.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36"/>
        <w:gridCol w:w="1084"/>
        <w:gridCol w:w="90"/>
        <w:gridCol w:w="90"/>
        <w:gridCol w:w="126"/>
        <w:gridCol w:w="1004"/>
        <w:gridCol w:w="90"/>
        <w:gridCol w:w="90"/>
        <w:gridCol w:w="288"/>
        <w:gridCol w:w="932"/>
        <w:gridCol w:w="90"/>
        <w:gridCol w:w="90"/>
        <w:gridCol w:w="213"/>
        <w:gridCol w:w="692"/>
        <w:gridCol w:w="90"/>
        <w:gridCol w:w="90"/>
        <w:gridCol w:w="288"/>
        <w:gridCol w:w="932"/>
        <w:gridCol w:w="90"/>
        <w:gridCol w:w="90"/>
        <w:gridCol w:w="267"/>
        <w:gridCol w:w="863"/>
        <w:gridCol w:w="90"/>
        <w:gridCol w:w="90"/>
        <w:gridCol w:w="288"/>
        <w:gridCol w:w="932"/>
        <w:gridCol w:w="90"/>
        <w:gridCol w:w="90"/>
        <w:gridCol w:w="213"/>
        <w:gridCol w:w="69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Clark Investments, LLC</w:t>
            </w:r>
            <w:r>
              <w:rPr>
                <w:position w:val="7"/>
                <w:sz w:val="16"/>
                <w:sz w:val="20"/>
              </w:rPr>
              <w:t>42</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Lance Churchill</w:t>
            </w:r>
            <w:r>
              <w:rPr>
                <w:position w:val="7"/>
                <w:sz w:val="16"/>
                <w:sz w:val="20"/>
              </w:rPr>
              <w:t>43</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David and Valynn Price</w:t>
            </w:r>
            <w:r>
              <w:rPr>
                <w:position w:val="7"/>
                <w:sz w:val="16"/>
                <w:sz w:val="20"/>
              </w:rPr>
              <w:t>44</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Luke Nemec</w:t>
            </w:r>
            <w:r>
              <w:rPr>
                <w:position w:val="7"/>
                <w:sz w:val="16"/>
                <w:sz w:val="20"/>
              </w:rPr>
              <w:t>45</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12,062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Jerry Lee Miles</w:t>
            </w:r>
            <w:r>
              <w:rPr>
                <w:position w:val="7"/>
                <w:sz w:val="16"/>
                <w:sz w:val="20"/>
              </w:rPr>
              <w:t>46</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12,062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Timothy Smith &amp; Molly Smith JT Ten</w:t>
            </w:r>
            <w:r>
              <w:rPr>
                <w:position w:val="7"/>
                <w:sz w:val="16"/>
                <w:sz w:val="20"/>
              </w:rPr>
              <w:t>47</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9,650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9,650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The Clausen Family Trust</w:t>
            </w:r>
            <w:r>
              <w:rPr>
                <w:position w:val="7"/>
                <w:sz w:val="16"/>
                <w:sz w:val="20"/>
              </w:rPr>
              <w:t>48</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8,443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8,443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Tina Marie Slippy</w:t>
            </w:r>
            <w:r>
              <w:rPr>
                <w:position w:val="7"/>
                <w:sz w:val="16"/>
                <w:sz w:val="20"/>
              </w:rPr>
              <w:t>49</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7,237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7,237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James Metcalf</w:t>
            </w:r>
            <w:r>
              <w:rPr>
                <w:position w:val="7"/>
                <w:sz w:val="16"/>
                <w:sz w:val="20"/>
              </w:rPr>
              <w:t>50</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11,971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7,237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Gary Allen</w:t>
            </w:r>
            <w:r>
              <w:rPr>
                <w:position w:val="7"/>
                <w:sz w:val="16"/>
                <w:sz w:val="20"/>
              </w:rPr>
              <w:t>51</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6,634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6,634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Eric E. Kulbe</w:t>
            </w:r>
            <w:r>
              <w:rPr>
                <w:position w:val="7"/>
                <w:sz w:val="16"/>
                <w:sz w:val="20"/>
              </w:rPr>
              <w:t>52</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Linda M. Kulbe</w:t>
            </w:r>
            <w:r>
              <w:rPr>
                <w:position w:val="7"/>
                <w:sz w:val="16"/>
                <w:sz w:val="20"/>
              </w:rPr>
              <w:t>53</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6,250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Courtnie V. Kulbe</w:t>
            </w:r>
            <w:r>
              <w:rPr>
                <w:position w:val="7"/>
                <w:sz w:val="16"/>
                <w:sz w:val="20"/>
              </w:rPr>
              <w:t>54</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42</w:t>
            </w:r>
          </w:p>
        </w:tc>
        <w:tc>
          <w:tcPr>
            <w:tcW w:w="9877" w:type="dxa"/>
            <w:tcBorders/>
            <w:vAlign w:val="center"/>
          </w:tcPr>
          <w:p>
            <w:pPr>
              <w:pStyle w:val="TableContents"/>
              <w:bidi w:val="0"/>
              <w:spacing w:before="0" w:after="283"/>
              <w:jc w:val="both"/>
              <w:rPr/>
            </w:pPr>
            <w:r>
              <w:rPr/>
              <w:t>Represents shares directly held by Clark Investments, LLC. The address of the principal business office of Clark Investments, LLC is 710 Riverpoint Ct, Ste 100, West Sacramento, CA 95605.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43</w:t>
            </w:r>
          </w:p>
        </w:tc>
        <w:tc>
          <w:tcPr>
            <w:tcW w:w="9877" w:type="dxa"/>
            <w:tcBorders/>
            <w:vAlign w:val="center"/>
          </w:tcPr>
          <w:p>
            <w:pPr>
              <w:pStyle w:val="TableContents"/>
              <w:bidi w:val="0"/>
              <w:spacing w:before="0" w:after="283"/>
              <w:jc w:val="both"/>
              <w:rPr/>
            </w:pPr>
            <w:r>
              <w:rPr/>
              <w:t>Represents shares directly held by Lance Churchill. The address of the principal business office of Lance Churchill is 967 E. Parkcenter Blvd. #302,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44</w:t>
            </w:r>
          </w:p>
        </w:tc>
        <w:tc>
          <w:tcPr>
            <w:tcW w:w="9877" w:type="dxa"/>
            <w:tcBorders/>
            <w:vAlign w:val="center"/>
          </w:tcPr>
          <w:p>
            <w:pPr>
              <w:pStyle w:val="TableContents"/>
              <w:bidi w:val="0"/>
              <w:spacing w:before="0" w:after="283"/>
              <w:jc w:val="both"/>
              <w:rPr/>
            </w:pPr>
            <w:r>
              <w:rPr/>
              <w:t>Represents shares directly held by David and Valynn Price. The address of the principal business office of David and Valynn Price is 2601 E. Picard Ct.,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45</w:t>
            </w:r>
          </w:p>
        </w:tc>
        <w:tc>
          <w:tcPr>
            <w:tcW w:w="9877" w:type="dxa"/>
            <w:tcBorders/>
            <w:vAlign w:val="center"/>
          </w:tcPr>
          <w:p>
            <w:pPr>
              <w:pStyle w:val="TableContents"/>
              <w:bidi w:val="0"/>
              <w:spacing w:before="0" w:after="283"/>
              <w:jc w:val="both"/>
              <w:rPr/>
            </w:pPr>
            <w:r>
              <w:rPr/>
              <w:t>Represents shares directly held by Luke Nemec. The address of the principal business office of Luke Nemec is 1783 East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46</w:t>
            </w:r>
          </w:p>
        </w:tc>
        <w:tc>
          <w:tcPr>
            <w:tcW w:w="9877" w:type="dxa"/>
            <w:tcBorders/>
            <w:vAlign w:val="center"/>
          </w:tcPr>
          <w:p>
            <w:pPr>
              <w:pStyle w:val="TableContents"/>
              <w:bidi w:val="0"/>
              <w:spacing w:before="0" w:after="283"/>
              <w:jc w:val="both"/>
              <w:rPr/>
            </w:pPr>
            <w:r>
              <w:rPr/>
              <w:t>Represents shares directly held by Jerry Lee Miles. The address of the principal business office of Jerry Lee Miles is 1661 East Lone Shore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47</w:t>
            </w:r>
          </w:p>
        </w:tc>
        <w:tc>
          <w:tcPr>
            <w:tcW w:w="9877" w:type="dxa"/>
            <w:tcBorders/>
            <w:vAlign w:val="center"/>
          </w:tcPr>
          <w:p>
            <w:pPr>
              <w:pStyle w:val="TableContents"/>
              <w:bidi w:val="0"/>
              <w:spacing w:before="0" w:after="283"/>
              <w:jc w:val="both"/>
              <w:rPr/>
            </w:pPr>
            <w:r>
              <w:rPr/>
              <w:t>Represents shares directly held by Timothy Smith &amp; Molly Smith JT Ten. The address of the principal business office of Timothy Smith &amp; Molly Smith JT Ten is 3200 Birch Street, Baker City, OR 97814.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48</w:t>
            </w:r>
          </w:p>
        </w:tc>
        <w:tc>
          <w:tcPr>
            <w:tcW w:w="9877" w:type="dxa"/>
            <w:tcBorders/>
            <w:vAlign w:val="center"/>
          </w:tcPr>
          <w:p>
            <w:pPr>
              <w:pStyle w:val="TableContents"/>
              <w:bidi w:val="0"/>
              <w:spacing w:before="0" w:after="283"/>
              <w:jc w:val="both"/>
              <w:rPr/>
            </w:pPr>
            <w:r>
              <w:rPr/>
              <w:t>Represents shares directly held by The Clausen Family Trust. The address of the principal business office of The Clausen Family Trust is 1881 Heron Ridge Drive, Bloomfield Hills, MI 78302.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49</w:t>
            </w:r>
          </w:p>
        </w:tc>
        <w:tc>
          <w:tcPr>
            <w:tcW w:w="9877" w:type="dxa"/>
            <w:tcBorders/>
            <w:vAlign w:val="center"/>
          </w:tcPr>
          <w:p>
            <w:pPr>
              <w:pStyle w:val="TableContents"/>
              <w:bidi w:val="0"/>
              <w:spacing w:before="0" w:after="283"/>
              <w:jc w:val="both"/>
              <w:rPr/>
            </w:pPr>
            <w:r>
              <w:rPr/>
              <w:t>Represents shares directly held by Tina Marie Slippy. The address of the principal business office of Tina Marie Slippy is 609 W. Colchester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50</w:t>
            </w:r>
          </w:p>
        </w:tc>
        <w:tc>
          <w:tcPr>
            <w:tcW w:w="9877" w:type="dxa"/>
            <w:tcBorders/>
            <w:vAlign w:val="center"/>
          </w:tcPr>
          <w:p>
            <w:pPr>
              <w:pStyle w:val="TableContents"/>
              <w:bidi w:val="0"/>
              <w:spacing w:before="0" w:after="283"/>
              <w:jc w:val="both"/>
              <w:rPr/>
            </w:pPr>
            <w:r>
              <w:rPr/>
              <w:t>Represents shares directly held by James Metcalf. The address of the principal business office of James Metcalf is 2415 Wild Eagle Ter., Reno, NV 89511.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51</w:t>
            </w:r>
          </w:p>
        </w:tc>
        <w:tc>
          <w:tcPr>
            <w:tcW w:w="9877" w:type="dxa"/>
            <w:tcBorders/>
            <w:vAlign w:val="center"/>
          </w:tcPr>
          <w:p>
            <w:pPr>
              <w:pStyle w:val="TableContents"/>
              <w:bidi w:val="0"/>
              <w:spacing w:before="0" w:after="283"/>
              <w:jc w:val="both"/>
              <w:rPr/>
            </w:pPr>
            <w:r>
              <w:rPr/>
              <w:t>Represents shares directly held by Gary Allen. The address of the principal business office of Gary Allen is 3819 N. 2300E, Filer, ID 83328.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52</w:t>
            </w:r>
          </w:p>
        </w:tc>
        <w:tc>
          <w:tcPr>
            <w:tcW w:w="9877" w:type="dxa"/>
            <w:tcBorders/>
            <w:vAlign w:val="center"/>
          </w:tcPr>
          <w:p>
            <w:pPr>
              <w:pStyle w:val="TableContents"/>
              <w:bidi w:val="0"/>
              <w:spacing w:before="0" w:after="283"/>
              <w:jc w:val="both"/>
              <w:rPr/>
            </w:pPr>
            <w:r>
              <w:rPr/>
              <w:t>Represents shares directly held by Eric Kulbe. The address of the principal business office of Eric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53</w:t>
            </w:r>
          </w:p>
        </w:tc>
        <w:tc>
          <w:tcPr>
            <w:tcW w:w="9877" w:type="dxa"/>
            <w:tcBorders/>
            <w:vAlign w:val="center"/>
          </w:tcPr>
          <w:p>
            <w:pPr>
              <w:pStyle w:val="TableContents"/>
              <w:bidi w:val="0"/>
              <w:spacing w:before="0" w:after="283"/>
              <w:jc w:val="both"/>
              <w:rPr/>
            </w:pPr>
            <w:r>
              <w:rPr/>
              <w:t>Represents shares directly held by Linda M. Kulbe. The address of the principal business office of Linda M. Kulbe is 24577 County Road 50, Iliff, CO 80736.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54</w:t>
            </w:r>
          </w:p>
        </w:tc>
        <w:tc>
          <w:tcPr>
            <w:tcW w:w="9877" w:type="dxa"/>
            <w:tcBorders/>
            <w:vAlign w:val="center"/>
          </w:tcPr>
          <w:p>
            <w:pPr>
              <w:pStyle w:val="TableContents"/>
              <w:bidi w:val="0"/>
              <w:spacing w:before="0" w:after="283"/>
              <w:jc w:val="both"/>
              <w:rPr/>
            </w:pPr>
            <w:r>
              <w:rPr/>
              <w:t>Represents shares directly held by Courtnie V. Kulbe. The address of the principal business office of Courtnie V.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830" w:type="dxa"/>
        <w:jc w:val="left"/>
        <w:tblInd w:w="0" w:type="dxa"/>
        <w:tblLayout w:type="fixed"/>
        <w:tblCellMar>
          <w:top w:w="0" w:type="dxa"/>
          <w:left w:w="0" w:type="dxa"/>
          <w:bottom w:w="0" w:type="dxa"/>
          <w:right w:w="0" w:type="dxa"/>
        </w:tblCellMar>
      </w:tblPr>
      <w:tblGrid>
        <w:gridCol w:w="1415"/>
        <w:gridCol w:w="90"/>
        <w:gridCol w:w="159"/>
        <w:gridCol w:w="911"/>
        <w:gridCol w:w="90"/>
        <w:gridCol w:w="90"/>
        <w:gridCol w:w="141"/>
        <w:gridCol w:w="809"/>
        <w:gridCol w:w="90"/>
        <w:gridCol w:w="90"/>
        <w:gridCol w:w="140"/>
        <w:gridCol w:w="930"/>
        <w:gridCol w:w="90"/>
        <w:gridCol w:w="90"/>
        <w:gridCol w:w="90"/>
        <w:gridCol w:w="710"/>
        <w:gridCol w:w="90"/>
        <w:gridCol w:w="90"/>
        <w:gridCol w:w="98"/>
        <w:gridCol w:w="972"/>
        <w:gridCol w:w="90"/>
        <w:gridCol w:w="90"/>
        <w:gridCol w:w="90"/>
        <w:gridCol w:w="950"/>
        <w:gridCol w:w="90"/>
        <w:gridCol w:w="90"/>
        <w:gridCol w:w="92"/>
        <w:gridCol w:w="978"/>
        <w:gridCol w:w="90"/>
        <w:gridCol w:w="950"/>
        <w:gridCol w:w="135"/>
      </w:tblGrid>
      <w:tr>
        <w:trPr/>
        <w:tc>
          <w:tcPr>
            <w:tcW w:w="1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443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580" w:type="dxa"/>
            <w:gridSpan w:val="1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Callie V. Kulbe</w:t>
            </w:r>
            <w:r>
              <w:rPr>
                <w:rFonts w:ascii="Times New Roman;Times;Serif" w:hAnsi="Times New Roman;Times;Serif"/>
                <w:position w:val="7"/>
                <w:sz w:val="16"/>
                <w:sz w:val="20"/>
              </w:rPr>
              <w:t>55</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Charlsie V. Kulbe</w:t>
            </w:r>
            <w:r>
              <w:rPr>
                <w:rFonts w:ascii="Times New Roman;Times;Serif" w:hAnsi="Times New Roman;Times;Serif"/>
                <w:position w:val="7"/>
                <w:sz w:val="16"/>
                <w:sz w:val="20"/>
              </w:rPr>
              <w:t>56</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Jackie K. Kulbe</w:t>
            </w:r>
            <w:r>
              <w:rPr>
                <w:rFonts w:ascii="Times New Roman;Times;Serif" w:hAnsi="Times New Roman;Times;Serif"/>
                <w:position w:val="7"/>
                <w:sz w:val="16"/>
                <w:sz w:val="20"/>
              </w:rPr>
              <w:t>57</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Conklin</w:t>
            </w:r>
            <w:r>
              <w:rPr>
                <w:rFonts w:ascii="Times New Roman;Times;Serif" w:hAnsi="Times New Roman;Times;Serif"/>
                <w:position w:val="7"/>
                <w:sz w:val="16"/>
                <w:sz w:val="20"/>
              </w:rPr>
              <w:t>58</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Royce Chigbrow</w:t>
            </w:r>
            <w:r>
              <w:rPr>
                <w:rFonts w:ascii="Times New Roman;Times;Serif" w:hAnsi="Times New Roman;Times;Serif"/>
                <w:position w:val="7"/>
                <w:sz w:val="16"/>
                <w:sz w:val="20"/>
              </w:rPr>
              <w:t>59</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Carley Mings</w:t>
            </w:r>
            <w:r>
              <w:rPr>
                <w:rFonts w:ascii="Times New Roman;Times;Serif" w:hAnsi="Times New Roman;Times;Serif"/>
                <w:position w:val="7"/>
                <w:sz w:val="16"/>
                <w:sz w:val="20"/>
              </w:rPr>
              <w:t>60</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Spencer Nead</w:t>
            </w:r>
            <w:r>
              <w:rPr>
                <w:rFonts w:ascii="Times New Roman;Times;Serif" w:hAnsi="Times New Roman;Times;Serif"/>
                <w:position w:val="7"/>
                <w:sz w:val="16"/>
                <w:sz w:val="20"/>
              </w:rPr>
              <w:t>61</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RMO Ventures</w:t>
            </w:r>
            <w:r>
              <w:rPr>
                <w:rFonts w:ascii="Times New Roman;Times;Serif" w:hAnsi="Times New Roman;Times;Serif"/>
                <w:position w:val="7"/>
                <w:sz w:val="16"/>
                <w:sz w:val="20"/>
              </w:rPr>
              <w:t>62</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Maxemilian Gilman</w:t>
            </w:r>
            <w:r>
              <w:rPr>
                <w:rFonts w:ascii="Times New Roman;Times;Serif" w:hAnsi="Times New Roman;Times;Serif"/>
                <w:position w:val="7"/>
                <w:sz w:val="16"/>
                <w:sz w:val="20"/>
              </w:rPr>
              <w:t>63</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Casey Oiness</w:t>
            </w:r>
            <w:r>
              <w:rPr>
                <w:rFonts w:ascii="Times New Roman;Times;Serif" w:hAnsi="Times New Roman;Times;Serif"/>
                <w:position w:val="7"/>
                <w:sz w:val="16"/>
                <w:sz w:val="20"/>
              </w:rPr>
              <w:t>64</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Wendy Zolezzi</w:t>
            </w:r>
            <w:r>
              <w:rPr>
                <w:rFonts w:ascii="Times New Roman;Times;Serif" w:hAnsi="Times New Roman;Times;Serif"/>
                <w:position w:val="7"/>
                <w:sz w:val="16"/>
                <w:sz w:val="20"/>
              </w:rPr>
              <w:t>65</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Brooks Kochvar</w:t>
            </w:r>
            <w:r>
              <w:rPr>
                <w:rFonts w:ascii="Times New Roman;Times;Serif" w:hAnsi="Times New Roman;Times;Serif"/>
                <w:position w:val="7"/>
                <w:sz w:val="16"/>
                <w:sz w:val="20"/>
              </w:rPr>
              <w:t>66</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Gilman</w:t>
            </w:r>
            <w:r>
              <w:rPr>
                <w:rFonts w:ascii="Times New Roman;Times;Serif" w:hAnsi="Times New Roman;Times;Serif"/>
                <w:position w:val="7"/>
                <w:sz w:val="16"/>
                <w:sz w:val="20"/>
              </w:rPr>
              <w:t>67</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55</w:t>
            </w:r>
          </w:p>
        </w:tc>
        <w:tc>
          <w:tcPr>
            <w:tcW w:w="9877" w:type="dxa"/>
            <w:tcBorders/>
            <w:vAlign w:val="center"/>
          </w:tcPr>
          <w:p>
            <w:pPr>
              <w:pStyle w:val="TableContents"/>
              <w:bidi w:val="0"/>
              <w:spacing w:before="0" w:after="283"/>
              <w:jc w:val="both"/>
              <w:rPr/>
            </w:pPr>
            <w:r>
              <w:rPr/>
              <w:t>Represents shares directly held by Callie V. Kulbe. The address of the principal business office of Callie V. Kulbe is 10121 Crooked Stick Trail, Lone Tree, CO 80124.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56</w:t>
            </w:r>
          </w:p>
        </w:tc>
        <w:tc>
          <w:tcPr>
            <w:tcW w:w="9877" w:type="dxa"/>
            <w:tcBorders/>
            <w:vAlign w:val="center"/>
          </w:tcPr>
          <w:p>
            <w:pPr>
              <w:pStyle w:val="TableContents"/>
              <w:bidi w:val="0"/>
              <w:spacing w:before="0" w:after="283"/>
              <w:jc w:val="both"/>
              <w:rPr/>
            </w:pPr>
            <w:r>
              <w:rPr/>
              <w:t>Represents shares directly held by Charlsie V. Kulbe. The address of the principal business office of Charlsie V. Kulbe is 10121 Crooked Stick Trail, Lone Tree, CO 80124.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57</w:t>
            </w:r>
          </w:p>
        </w:tc>
        <w:tc>
          <w:tcPr>
            <w:tcW w:w="9877" w:type="dxa"/>
            <w:tcBorders/>
            <w:vAlign w:val="center"/>
          </w:tcPr>
          <w:p>
            <w:pPr>
              <w:pStyle w:val="TableContents"/>
              <w:bidi w:val="0"/>
              <w:spacing w:before="0" w:after="283"/>
              <w:jc w:val="both"/>
              <w:rPr/>
            </w:pPr>
            <w:r>
              <w:rPr/>
              <w:t>Represents shares directly held by Jackie K. Kulbe. The address of the principal business office of Jackie K. Kulbe is 10121 Crooked Stick Trail, Lone Tree, CO 80124.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58</w:t>
            </w:r>
          </w:p>
        </w:tc>
        <w:tc>
          <w:tcPr>
            <w:tcW w:w="9877" w:type="dxa"/>
            <w:tcBorders/>
            <w:vAlign w:val="center"/>
          </w:tcPr>
          <w:p>
            <w:pPr>
              <w:pStyle w:val="TableContents"/>
              <w:bidi w:val="0"/>
              <w:spacing w:before="0" w:after="283"/>
              <w:jc w:val="both"/>
              <w:rPr/>
            </w:pPr>
            <w:r>
              <w:rPr/>
              <w:t>Represents shares directly held by Michael Conklin. The address of the principal business office of Michael Conklin is 2030 S. Hills Ave,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59</w:t>
            </w:r>
          </w:p>
        </w:tc>
        <w:tc>
          <w:tcPr>
            <w:tcW w:w="9877" w:type="dxa"/>
            <w:tcBorders/>
            <w:vAlign w:val="center"/>
          </w:tcPr>
          <w:p>
            <w:pPr>
              <w:pStyle w:val="TableContents"/>
              <w:bidi w:val="0"/>
              <w:spacing w:before="0" w:after="283"/>
              <w:jc w:val="both"/>
              <w:rPr/>
            </w:pPr>
            <w:r>
              <w:rPr/>
              <w:t>Represents shares directly held by Royce Chigbrow. The address of the principal business office of Royce Chigbrow is 412 S. 3</w:t>
            </w:r>
            <w:r>
              <w:rPr>
                <w:position w:val="8"/>
                <w:sz w:val="19"/>
              </w:rPr>
              <w:t>rd</w:t>
            </w:r>
            <w:r>
              <w:rPr/>
              <w:t xml:space="preserve"> St., Apt. 521,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60</w:t>
            </w:r>
          </w:p>
        </w:tc>
        <w:tc>
          <w:tcPr>
            <w:tcW w:w="9877" w:type="dxa"/>
            <w:tcBorders/>
            <w:vAlign w:val="center"/>
          </w:tcPr>
          <w:p>
            <w:pPr>
              <w:pStyle w:val="TableContents"/>
              <w:bidi w:val="0"/>
              <w:spacing w:before="0" w:after="283"/>
              <w:jc w:val="both"/>
              <w:rPr/>
            </w:pPr>
            <w:r>
              <w:rPr/>
              <w:t>Represents shares directly held by Carley Mings. The address of the principal business office of Carley Mings is 381 W. Ridgeline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61</w:t>
            </w:r>
          </w:p>
        </w:tc>
        <w:tc>
          <w:tcPr>
            <w:tcW w:w="9877" w:type="dxa"/>
            <w:tcBorders/>
            <w:vAlign w:val="center"/>
          </w:tcPr>
          <w:p>
            <w:pPr>
              <w:pStyle w:val="TableContents"/>
              <w:bidi w:val="0"/>
              <w:spacing w:before="0" w:after="283"/>
              <w:jc w:val="both"/>
              <w:rPr/>
            </w:pPr>
            <w:r>
              <w:rPr/>
              <w:t>Represents shares directly held by Spencer Nead. The address of the principal business office of Spencer Nead is 187 S. Steel Farm Ave.,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62</w:t>
            </w:r>
          </w:p>
        </w:tc>
        <w:tc>
          <w:tcPr>
            <w:tcW w:w="9877" w:type="dxa"/>
            <w:tcBorders/>
            <w:vAlign w:val="center"/>
          </w:tcPr>
          <w:p>
            <w:pPr>
              <w:pStyle w:val="TableContents"/>
              <w:bidi w:val="0"/>
              <w:spacing w:before="0" w:after="283"/>
              <w:jc w:val="both"/>
              <w:rPr/>
            </w:pPr>
            <w:r>
              <w:rPr/>
              <w:t>Represents shares directly held by RMO Ventures. The address of the principal business office of RMO Ventures is 530 South Robinson Blvd, Nampa, ID 83687.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63</w:t>
            </w:r>
          </w:p>
        </w:tc>
        <w:tc>
          <w:tcPr>
            <w:tcW w:w="9877" w:type="dxa"/>
            <w:tcBorders/>
            <w:vAlign w:val="center"/>
          </w:tcPr>
          <w:p>
            <w:pPr>
              <w:pStyle w:val="TableContents"/>
              <w:bidi w:val="0"/>
              <w:spacing w:before="0" w:after="283"/>
              <w:jc w:val="both"/>
              <w:rPr/>
            </w:pPr>
            <w:r>
              <w:rPr/>
              <w:t>Represents shares directly held by Maxemilian Gilman. The address of the principal business office of Maxemilian Gilman is 3700 Clawson Rd, Apt. 121, Austin, TX 78704.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64</w:t>
            </w:r>
          </w:p>
        </w:tc>
        <w:tc>
          <w:tcPr>
            <w:tcW w:w="9877" w:type="dxa"/>
            <w:tcBorders/>
            <w:vAlign w:val="center"/>
          </w:tcPr>
          <w:p>
            <w:pPr>
              <w:pStyle w:val="TableContents"/>
              <w:bidi w:val="0"/>
              <w:spacing w:before="0" w:after="283"/>
              <w:jc w:val="both"/>
              <w:rPr/>
            </w:pPr>
            <w:r>
              <w:rPr/>
              <w:t>Represents shares directly held by Casey Oiness. The address of the principal business office of Casey Oiness is 3430 Evergreen Point Road, Medina, WA 98039.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65</w:t>
            </w:r>
          </w:p>
        </w:tc>
        <w:tc>
          <w:tcPr>
            <w:tcW w:w="9877" w:type="dxa"/>
            <w:tcBorders/>
            <w:vAlign w:val="center"/>
          </w:tcPr>
          <w:p>
            <w:pPr>
              <w:pStyle w:val="TableContents"/>
              <w:bidi w:val="0"/>
              <w:spacing w:before="0" w:after="283"/>
              <w:jc w:val="both"/>
              <w:rPr/>
            </w:pPr>
            <w:r>
              <w:rPr/>
              <w:t>Represents shares directly held by Wendy Zolezzi. The address of the principal business office of Wendy Zolezzi is 2660 Bad Rock Cir, Henderson, NV 89052.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66</w:t>
            </w:r>
          </w:p>
        </w:tc>
        <w:tc>
          <w:tcPr>
            <w:tcW w:w="9877" w:type="dxa"/>
            <w:tcBorders/>
            <w:vAlign w:val="center"/>
          </w:tcPr>
          <w:p>
            <w:pPr>
              <w:pStyle w:val="TableContents"/>
              <w:bidi w:val="0"/>
              <w:spacing w:before="0" w:after="283"/>
              <w:jc w:val="both"/>
              <w:rPr/>
            </w:pPr>
            <w:r>
              <w:rPr/>
              <w:t>Represents shares directly held by Brooks Kochvar. The address of the principal business office of Brooks Kochvar is 4327 N. Nines Ridge Ln,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67</w:t>
            </w:r>
          </w:p>
        </w:tc>
        <w:tc>
          <w:tcPr>
            <w:tcW w:w="9877" w:type="dxa"/>
            <w:tcBorders/>
            <w:vAlign w:val="center"/>
          </w:tcPr>
          <w:p>
            <w:pPr>
              <w:pStyle w:val="TableContents"/>
              <w:bidi w:val="0"/>
              <w:spacing w:before="0" w:after="283"/>
              <w:jc w:val="both"/>
              <w:rPr/>
            </w:pPr>
            <w:r>
              <w:rPr/>
              <w:t>Represents shares directly held by Steven Gilman. The address of the principal business office of Steven Gilman is 1201 N. 12</w:t>
            </w:r>
            <w:r>
              <w:rPr>
                <w:position w:val="8"/>
                <w:sz w:val="19"/>
              </w:rPr>
              <w:t>th</w:t>
            </w:r>
            <w:r>
              <w:rPr/>
              <w:t>, Boise, ID 83702.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20" w:type="dxa"/>
        <w:jc w:val="left"/>
        <w:tblInd w:w="0" w:type="dxa"/>
        <w:tblLayout w:type="fixed"/>
        <w:tblCellMar>
          <w:top w:w="0" w:type="dxa"/>
          <w:left w:w="0" w:type="dxa"/>
          <w:bottom w:w="0" w:type="dxa"/>
          <w:right w:w="0" w:type="dxa"/>
        </w:tblCellMar>
      </w:tblPr>
      <w:tblGrid>
        <w:gridCol w:w="1670"/>
        <w:gridCol w:w="90"/>
        <w:gridCol w:w="160"/>
        <w:gridCol w:w="1060"/>
        <w:gridCol w:w="90"/>
        <w:gridCol w:w="90"/>
        <w:gridCol w:w="148"/>
        <w:gridCol w:w="982"/>
        <w:gridCol w:w="90"/>
        <w:gridCol w:w="90"/>
        <w:gridCol w:w="119"/>
        <w:gridCol w:w="1101"/>
        <w:gridCol w:w="90"/>
        <w:gridCol w:w="90"/>
        <w:gridCol w:w="90"/>
        <w:gridCol w:w="830"/>
        <w:gridCol w:w="90"/>
        <w:gridCol w:w="90"/>
        <w:gridCol w:w="119"/>
        <w:gridCol w:w="1101"/>
        <w:gridCol w:w="90"/>
        <w:gridCol w:w="90"/>
        <w:gridCol w:w="110"/>
        <w:gridCol w:w="1020"/>
        <w:gridCol w:w="90"/>
        <w:gridCol w:w="90"/>
        <w:gridCol w:w="119"/>
        <w:gridCol w:w="1101"/>
        <w:gridCol w:w="90"/>
        <w:gridCol w:w="90"/>
        <w:gridCol w:w="213"/>
        <w:gridCol w:w="692"/>
        <w:gridCol w:w="135"/>
      </w:tblGrid>
      <w:tr>
        <w:trPr/>
        <w:tc>
          <w:tcPr>
            <w:tcW w:w="16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5030"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Steven Mings</w:t>
            </w:r>
            <w:r>
              <w:rPr>
                <w:position w:val="7"/>
                <w:sz w:val="16"/>
                <w:sz w:val="20"/>
              </w:rPr>
              <w:t>68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Bethany Anderson</w:t>
            </w:r>
            <w:r>
              <w:rPr>
                <w:position w:val="7"/>
                <w:sz w:val="16"/>
                <w:sz w:val="20"/>
              </w:rPr>
              <w:t>69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Brent Robinson</w:t>
            </w:r>
            <w:r>
              <w:rPr>
                <w:position w:val="7"/>
                <w:sz w:val="16"/>
                <w:sz w:val="20"/>
              </w:rPr>
              <w:t>70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Doug French</w:t>
            </w:r>
            <w:r>
              <w:rPr>
                <w:position w:val="7"/>
                <w:sz w:val="16"/>
                <w:sz w:val="20"/>
              </w:rPr>
              <w:t>71</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Karie Beyer</w:t>
            </w:r>
            <w:r>
              <w:rPr>
                <w:position w:val="7"/>
                <w:sz w:val="16"/>
                <w:sz w:val="20"/>
              </w:rPr>
              <w:t>72</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Richard Handke</w:t>
            </w:r>
            <w:r>
              <w:rPr>
                <w:position w:val="7"/>
                <w:sz w:val="16"/>
                <w:sz w:val="20"/>
              </w:rPr>
              <w:t>73</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Erin and Jacob Hut JT Ten</w:t>
            </w:r>
            <w:r>
              <w:rPr>
                <w:position w:val="7"/>
                <w:sz w:val="16"/>
                <w:sz w:val="20"/>
              </w:rPr>
              <w:t>74</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Steven D. Robinson &amp; Lori A. Robinson JT Ten</w:t>
            </w:r>
            <w:r>
              <w:rPr>
                <w:position w:val="7"/>
                <w:sz w:val="16"/>
                <w:sz w:val="20"/>
              </w:rPr>
              <w:t>75</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Matthew Gustavel &amp; Molly Gustavel JT Ten</w:t>
            </w:r>
            <w:r>
              <w:rPr>
                <w:position w:val="7"/>
                <w:sz w:val="16"/>
                <w:sz w:val="20"/>
              </w:rPr>
              <w:t>76</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Kenneth W. Stephens</w:t>
            </w:r>
            <w:r>
              <w:rPr>
                <w:position w:val="7"/>
                <w:sz w:val="16"/>
                <w:sz w:val="20"/>
              </w:rPr>
              <w:t>77</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Roger P. Scala</w:t>
            </w:r>
            <w:r>
              <w:rPr>
                <w:position w:val="7"/>
                <w:sz w:val="16"/>
                <w:sz w:val="20"/>
              </w:rPr>
              <w:t>78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Cameron Sullivan</w:t>
            </w:r>
            <w:r>
              <w:rPr>
                <w:position w:val="7"/>
                <w:sz w:val="16"/>
                <w:sz w:val="20"/>
              </w:rPr>
              <w:t>79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68</w:t>
            </w:r>
          </w:p>
        </w:tc>
        <w:tc>
          <w:tcPr>
            <w:tcW w:w="9877" w:type="dxa"/>
            <w:tcBorders/>
            <w:vAlign w:val="center"/>
          </w:tcPr>
          <w:p>
            <w:pPr>
              <w:pStyle w:val="TableContents"/>
              <w:bidi w:val="0"/>
              <w:spacing w:before="0" w:after="283"/>
              <w:jc w:val="both"/>
              <w:rPr/>
            </w:pPr>
            <w:r>
              <w:rPr/>
              <w:t>Represents shares directly held by Steven Mings. The address of the principal business office of Steven Mings is 750 W. Bannock, Unit 1958, Boise, ID 83701.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69</w:t>
            </w:r>
          </w:p>
        </w:tc>
        <w:tc>
          <w:tcPr>
            <w:tcW w:w="9877" w:type="dxa"/>
            <w:tcBorders/>
            <w:vAlign w:val="center"/>
          </w:tcPr>
          <w:p>
            <w:pPr>
              <w:pStyle w:val="TableContents"/>
              <w:bidi w:val="0"/>
              <w:spacing w:before="0" w:after="283"/>
              <w:jc w:val="both"/>
              <w:rPr/>
            </w:pPr>
            <w:r>
              <w:rPr/>
              <w:t>Represents shares directly held by Bethany Anderson. The address of the principal business office of Bethany Anderson is 10432 W. Milclay St., Boise, ID 83704.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70</w:t>
            </w:r>
          </w:p>
        </w:tc>
        <w:tc>
          <w:tcPr>
            <w:tcW w:w="9877" w:type="dxa"/>
            <w:tcBorders/>
            <w:vAlign w:val="center"/>
          </w:tcPr>
          <w:p>
            <w:pPr>
              <w:pStyle w:val="TableContents"/>
              <w:bidi w:val="0"/>
              <w:spacing w:before="0" w:after="283"/>
              <w:jc w:val="both"/>
              <w:rPr/>
            </w:pPr>
            <w:r>
              <w:rPr/>
              <w:t>Represents shares directly held by Brent Robinson. The address of the principal business office of Brent Robinson is 926 22</w:t>
            </w:r>
            <w:r>
              <w:rPr>
                <w:position w:val="8"/>
                <w:sz w:val="19"/>
              </w:rPr>
              <w:t>nd</w:t>
            </w:r>
            <w:r>
              <w:rPr/>
              <w:t xml:space="preserve"> Ave., Seattle, WA 98122.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71</w:t>
            </w:r>
          </w:p>
        </w:tc>
        <w:tc>
          <w:tcPr>
            <w:tcW w:w="9877" w:type="dxa"/>
            <w:tcBorders/>
            <w:vAlign w:val="center"/>
          </w:tcPr>
          <w:p>
            <w:pPr>
              <w:pStyle w:val="TableContents"/>
              <w:bidi w:val="0"/>
              <w:spacing w:before="0" w:after="283"/>
              <w:jc w:val="both"/>
              <w:rPr/>
            </w:pPr>
            <w:r>
              <w:rPr/>
              <w:t>Represents shares directly held by Doug French. The address of the principal business office of Doug French is 3918 N. Whitehead 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72</w:t>
            </w:r>
          </w:p>
        </w:tc>
        <w:tc>
          <w:tcPr>
            <w:tcW w:w="9877" w:type="dxa"/>
            <w:tcBorders/>
            <w:vAlign w:val="center"/>
          </w:tcPr>
          <w:p>
            <w:pPr>
              <w:pStyle w:val="TableContents"/>
              <w:bidi w:val="0"/>
              <w:spacing w:before="0" w:after="283"/>
              <w:jc w:val="both"/>
              <w:rPr/>
            </w:pPr>
            <w:r>
              <w:rPr/>
              <w:t>Represents shares directly held by Karie Beyer. The address of the principal business office of Karie Beyer is 515 North Henry St, Kaysville, UT 84037.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73</w:t>
            </w:r>
          </w:p>
        </w:tc>
        <w:tc>
          <w:tcPr>
            <w:tcW w:w="9877" w:type="dxa"/>
            <w:tcBorders/>
            <w:vAlign w:val="center"/>
          </w:tcPr>
          <w:p>
            <w:pPr>
              <w:pStyle w:val="TableContents"/>
              <w:bidi w:val="0"/>
              <w:spacing w:before="0" w:after="283"/>
              <w:jc w:val="both"/>
              <w:rPr/>
            </w:pPr>
            <w:r>
              <w:rPr/>
              <w:t>Represents shares directly held by Richard Handke. The address of the principal business office of Richard Handke is 3565 W. Muirfield,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74</w:t>
            </w:r>
          </w:p>
        </w:tc>
        <w:tc>
          <w:tcPr>
            <w:tcW w:w="9877" w:type="dxa"/>
            <w:tcBorders/>
            <w:vAlign w:val="center"/>
          </w:tcPr>
          <w:p>
            <w:pPr>
              <w:pStyle w:val="TableContents"/>
              <w:bidi w:val="0"/>
              <w:spacing w:before="0" w:after="283"/>
              <w:jc w:val="both"/>
              <w:rPr/>
            </w:pPr>
            <w:r>
              <w:rPr/>
              <w:t>Represents shares directly held by Erin and Jacob Hut JT Ten. The address of the principal business office of Erin &amp; Jacob Hut JT Ten is 6811 S. Granite Mountain Ln, Spokane, WA 99223.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75</w:t>
            </w:r>
          </w:p>
        </w:tc>
        <w:tc>
          <w:tcPr>
            <w:tcW w:w="9877" w:type="dxa"/>
            <w:tcBorders/>
            <w:vAlign w:val="center"/>
          </w:tcPr>
          <w:p>
            <w:pPr>
              <w:pStyle w:val="TableContents"/>
              <w:bidi w:val="0"/>
              <w:spacing w:before="0" w:after="283"/>
              <w:jc w:val="both"/>
              <w:rPr/>
            </w:pPr>
            <w:r>
              <w:rPr/>
              <w:t>Represents shares directly held by Steven D. Robinson &amp; Lori A. Robinson JT Ten. The address of the principal business office of Steven D. Robinson &amp; Lori A. Robinson JT Ten is 4535 NE 55</w:t>
            </w:r>
            <w:r>
              <w:rPr>
                <w:position w:val="8"/>
                <w:sz w:val="19"/>
              </w:rPr>
              <w:t>th</w:t>
            </w:r>
            <w:r>
              <w:rPr/>
              <w:t xml:space="preserve"> Street, Seattle, WA 98105.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76</w:t>
            </w:r>
          </w:p>
        </w:tc>
        <w:tc>
          <w:tcPr>
            <w:tcW w:w="9877" w:type="dxa"/>
            <w:tcBorders/>
            <w:vAlign w:val="center"/>
          </w:tcPr>
          <w:p>
            <w:pPr>
              <w:pStyle w:val="TableContents"/>
              <w:bidi w:val="0"/>
              <w:spacing w:before="0" w:after="283"/>
              <w:jc w:val="both"/>
              <w:rPr/>
            </w:pPr>
            <w:r>
              <w:rPr/>
              <w:t>Represents shares directly held by Matthew Gustavel &amp; Molly Gustavel JT Ten. The address of the principal business office of Matthew Gustavel &amp; Molly Gustavel JT Ten is 655 E. Orion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77</w:t>
            </w:r>
          </w:p>
        </w:tc>
        <w:tc>
          <w:tcPr>
            <w:tcW w:w="9877" w:type="dxa"/>
            <w:tcBorders/>
            <w:vAlign w:val="center"/>
          </w:tcPr>
          <w:p>
            <w:pPr>
              <w:pStyle w:val="TableContents"/>
              <w:bidi w:val="0"/>
              <w:spacing w:before="0" w:after="283"/>
              <w:jc w:val="both"/>
              <w:rPr/>
            </w:pPr>
            <w:r>
              <w:rPr/>
              <w:t>Represents shares directly held by Kenneth W. Stephens. The address of the principal business office of Kenneth W. Stephens is 918 N. Eagle Hills Way,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78</w:t>
            </w:r>
          </w:p>
        </w:tc>
        <w:tc>
          <w:tcPr>
            <w:tcW w:w="9877" w:type="dxa"/>
            <w:tcBorders/>
            <w:vAlign w:val="center"/>
          </w:tcPr>
          <w:p>
            <w:pPr>
              <w:pStyle w:val="TableContents"/>
              <w:bidi w:val="0"/>
              <w:spacing w:before="0" w:after="283"/>
              <w:jc w:val="both"/>
              <w:rPr/>
            </w:pPr>
            <w:r>
              <w:rPr/>
              <w:t>Represents shares directly held by Roger P. Scala. The address of the principal business office of Roger P. Scala is 4925 Icaria Way, Oceanside, CA 92056.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79</w:t>
            </w:r>
          </w:p>
        </w:tc>
        <w:tc>
          <w:tcPr>
            <w:tcW w:w="9877" w:type="dxa"/>
            <w:tcBorders/>
            <w:vAlign w:val="center"/>
          </w:tcPr>
          <w:p>
            <w:pPr>
              <w:pStyle w:val="TableContents"/>
              <w:bidi w:val="0"/>
              <w:spacing w:before="0" w:after="283"/>
              <w:jc w:val="both"/>
              <w:rPr/>
            </w:pPr>
            <w:r>
              <w:rPr/>
              <w:t>Represents shares directly held by Cameron Sullivan. The address of the principal business office of Cameron Sullivan is 2864 N. Chancery Pl., Meridian, ID 83646.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36"/>
        <w:gridCol w:w="1084"/>
        <w:gridCol w:w="90"/>
        <w:gridCol w:w="90"/>
        <w:gridCol w:w="148"/>
        <w:gridCol w:w="982"/>
        <w:gridCol w:w="90"/>
        <w:gridCol w:w="90"/>
        <w:gridCol w:w="288"/>
        <w:gridCol w:w="932"/>
        <w:gridCol w:w="90"/>
        <w:gridCol w:w="90"/>
        <w:gridCol w:w="213"/>
        <w:gridCol w:w="692"/>
        <w:gridCol w:w="90"/>
        <w:gridCol w:w="90"/>
        <w:gridCol w:w="288"/>
        <w:gridCol w:w="932"/>
        <w:gridCol w:w="90"/>
        <w:gridCol w:w="90"/>
        <w:gridCol w:w="267"/>
        <w:gridCol w:w="863"/>
        <w:gridCol w:w="90"/>
        <w:gridCol w:w="90"/>
        <w:gridCol w:w="288"/>
        <w:gridCol w:w="932"/>
        <w:gridCol w:w="90"/>
        <w:gridCol w:w="90"/>
        <w:gridCol w:w="213"/>
        <w:gridCol w:w="69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Dominic Quilici</w:t>
            </w:r>
            <w:r>
              <w:rPr>
                <w:position w:val="7"/>
                <w:sz w:val="16"/>
                <w:sz w:val="20"/>
              </w:rPr>
              <w:t>80</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16,031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Duskin Terteling</w:t>
            </w:r>
            <w:r>
              <w:rPr>
                <w:position w:val="7"/>
                <w:sz w:val="16"/>
                <w:sz w:val="20"/>
              </w:rPr>
              <w:t>81</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Russell Kawano</w:t>
            </w:r>
            <w:r>
              <w:rPr>
                <w:position w:val="7"/>
                <w:sz w:val="16"/>
                <w:sz w:val="20"/>
              </w:rPr>
              <w:t>82</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Shanna Vincent</w:t>
            </w:r>
            <w:r>
              <w:rPr>
                <w:position w:val="7"/>
                <w:sz w:val="16"/>
                <w:sz w:val="20"/>
              </w:rPr>
              <w:t>83</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Sam Johnson</w:t>
            </w:r>
            <w:r>
              <w:rPr>
                <w:position w:val="7"/>
                <w:sz w:val="16"/>
                <w:sz w:val="20"/>
              </w:rPr>
              <w:t>84</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Brian J. Neville</w:t>
            </w:r>
            <w:r>
              <w:rPr>
                <w:position w:val="7"/>
                <w:sz w:val="16"/>
                <w:sz w:val="20"/>
              </w:rPr>
              <w:t>85</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Mark G. Grigg &amp; Debora A. Grigg JT Ten</w:t>
            </w:r>
            <w:r>
              <w:rPr>
                <w:position w:val="7"/>
                <w:sz w:val="16"/>
                <w:sz w:val="20"/>
              </w:rPr>
              <w:t>86</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Jessica Clow</w:t>
            </w:r>
            <w:r>
              <w:rPr>
                <w:position w:val="7"/>
                <w:sz w:val="16"/>
                <w:sz w:val="20"/>
              </w:rPr>
              <w:t>87</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Jake Conklin</w:t>
            </w:r>
            <w:r>
              <w:rPr>
                <w:position w:val="7"/>
                <w:sz w:val="16"/>
                <w:sz w:val="20"/>
              </w:rPr>
              <w:t>88</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Tucker Allen</w:t>
            </w:r>
            <w:r>
              <w:rPr>
                <w:position w:val="7"/>
                <w:sz w:val="16"/>
                <w:sz w:val="20"/>
              </w:rPr>
              <w:t>89</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80</w:t>
            </w:r>
          </w:p>
        </w:tc>
        <w:tc>
          <w:tcPr>
            <w:tcW w:w="9877" w:type="dxa"/>
            <w:tcBorders/>
            <w:vAlign w:val="center"/>
          </w:tcPr>
          <w:p>
            <w:pPr>
              <w:pStyle w:val="TableContents"/>
              <w:bidi w:val="0"/>
              <w:spacing w:before="0" w:after="283"/>
              <w:jc w:val="both"/>
              <w:rPr/>
            </w:pPr>
            <w:r>
              <w:rPr/>
              <w:t>Represents shares directly held by Dominic Quilici. The address of the principal business office of Dominic Quilici is 4441 E. Parkcenter Blvd.,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81</w:t>
            </w:r>
          </w:p>
        </w:tc>
        <w:tc>
          <w:tcPr>
            <w:tcW w:w="9877" w:type="dxa"/>
            <w:tcBorders/>
            <w:vAlign w:val="center"/>
          </w:tcPr>
          <w:p>
            <w:pPr>
              <w:pStyle w:val="TableContents"/>
              <w:bidi w:val="0"/>
              <w:spacing w:before="0" w:after="283"/>
              <w:jc w:val="both"/>
              <w:rPr/>
            </w:pPr>
            <w:r>
              <w:rPr/>
              <w:t>Represents shares directly held by Duskin Terteling. The address of the principal business office of Duskin Terteling is 6985 E. LaCuesta St.,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82</w:t>
            </w:r>
          </w:p>
        </w:tc>
        <w:tc>
          <w:tcPr>
            <w:tcW w:w="9877" w:type="dxa"/>
            <w:tcBorders/>
            <w:vAlign w:val="center"/>
          </w:tcPr>
          <w:p>
            <w:pPr>
              <w:pStyle w:val="TableContents"/>
              <w:bidi w:val="0"/>
              <w:spacing w:before="0" w:after="283"/>
              <w:jc w:val="both"/>
              <w:rPr/>
            </w:pPr>
            <w:r>
              <w:rPr/>
              <w:t>Represents shares directly held by Russell Kawano. The address of the principal business office of Russell Kawano is 2171 Crosscreek Ln.,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83</w:t>
            </w:r>
          </w:p>
        </w:tc>
        <w:tc>
          <w:tcPr>
            <w:tcW w:w="9877" w:type="dxa"/>
            <w:tcBorders/>
            <w:vAlign w:val="center"/>
          </w:tcPr>
          <w:p>
            <w:pPr>
              <w:pStyle w:val="TableContents"/>
              <w:bidi w:val="0"/>
              <w:spacing w:before="0" w:after="283"/>
              <w:jc w:val="both"/>
              <w:rPr/>
            </w:pPr>
            <w:r>
              <w:rPr/>
              <w:t>Represents shares directly held by Shanna Vincent. The address of the principal business office of Shanna Vincent is 1064 Don Vincent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84</w:t>
            </w:r>
          </w:p>
        </w:tc>
        <w:tc>
          <w:tcPr>
            <w:tcW w:w="9877" w:type="dxa"/>
            <w:tcBorders/>
            <w:vAlign w:val="center"/>
          </w:tcPr>
          <w:p>
            <w:pPr>
              <w:pStyle w:val="TableContents"/>
              <w:bidi w:val="0"/>
              <w:spacing w:before="0" w:after="283"/>
              <w:jc w:val="both"/>
              <w:rPr/>
            </w:pPr>
            <w:r>
              <w:rPr/>
              <w:t>Represents shares directly held by Sam Johnson. The address of the principal business office of Sam Johnson is 3312 W. Bluecanyon St.,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85</w:t>
            </w:r>
          </w:p>
        </w:tc>
        <w:tc>
          <w:tcPr>
            <w:tcW w:w="9877" w:type="dxa"/>
            <w:tcBorders/>
            <w:vAlign w:val="center"/>
          </w:tcPr>
          <w:p>
            <w:pPr>
              <w:pStyle w:val="TableContents"/>
              <w:bidi w:val="0"/>
              <w:spacing w:before="0" w:after="283"/>
              <w:jc w:val="both"/>
              <w:rPr/>
            </w:pPr>
            <w:r>
              <w:rPr/>
              <w:t>Represents shares directly held by Brian J. Neville. The address of the principal business office of Brian J. Neville is 2016 W. Winterwood Ct.,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86</w:t>
            </w:r>
          </w:p>
        </w:tc>
        <w:tc>
          <w:tcPr>
            <w:tcW w:w="9877" w:type="dxa"/>
            <w:tcBorders/>
            <w:vAlign w:val="center"/>
          </w:tcPr>
          <w:p>
            <w:pPr>
              <w:pStyle w:val="TableContents"/>
              <w:bidi w:val="0"/>
              <w:spacing w:before="0" w:after="283"/>
              <w:jc w:val="both"/>
              <w:rPr/>
            </w:pPr>
            <w:r>
              <w:rPr/>
              <w:t>Represents shares directly held by Mark G. Grigg &amp; Debora A. Grigg JT Ten. The address of the principal business office of Mark G. Grigg &amp; Debora A. Grigg JT Ten is 949 S. 1050 East, Albion, ID 83311.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87</w:t>
            </w:r>
          </w:p>
        </w:tc>
        <w:tc>
          <w:tcPr>
            <w:tcW w:w="9877" w:type="dxa"/>
            <w:tcBorders/>
            <w:vAlign w:val="center"/>
          </w:tcPr>
          <w:p>
            <w:pPr>
              <w:pStyle w:val="TableContents"/>
              <w:bidi w:val="0"/>
              <w:spacing w:before="0" w:after="283"/>
              <w:jc w:val="both"/>
              <w:rPr/>
            </w:pPr>
            <w:r>
              <w:rPr/>
              <w:t>Represents shares directly held by Jessica Clow. The address of the principal business office of Jessica Clow is 13893 W. Woodspring Dr.,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88</w:t>
            </w:r>
          </w:p>
        </w:tc>
        <w:tc>
          <w:tcPr>
            <w:tcW w:w="9877" w:type="dxa"/>
            <w:tcBorders/>
            <w:vAlign w:val="center"/>
          </w:tcPr>
          <w:p>
            <w:pPr>
              <w:pStyle w:val="TableContents"/>
              <w:bidi w:val="0"/>
              <w:spacing w:before="0" w:after="283"/>
              <w:jc w:val="both"/>
              <w:rPr/>
            </w:pPr>
            <w:r>
              <w:rPr/>
              <w:t>Represents shares directly held by Jake Conklin. The address of the principal business office of Jake Conklin is 11347 West Dallan Ct.,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89</w:t>
            </w:r>
          </w:p>
        </w:tc>
        <w:tc>
          <w:tcPr>
            <w:tcW w:w="9877" w:type="dxa"/>
            <w:tcBorders/>
            <w:vAlign w:val="center"/>
          </w:tcPr>
          <w:p>
            <w:pPr>
              <w:pStyle w:val="TableContents"/>
              <w:bidi w:val="0"/>
              <w:spacing w:before="0" w:after="283"/>
              <w:jc w:val="both"/>
              <w:rPr/>
            </w:pPr>
            <w:r>
              <w:rPr/>
              <w:t>Represents shares directly held by Tucker Allen. The address of the principal business office of Tucker Allen is 1660 Hidden Way, Malvern, PA 19355.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60"/>
        <w:gridCol w:w="1060"/>
        <w:gridCol w:w="90"/>
        <w:gridCol w:w="90"/>
        <w:gridCol w:w="148"/>
        <w:gridCol w:w="982"/>
        <w:gridCol w:w="90"/>
        <w:gridCol w:w="90"/>
        <w:gridCol w:w="126"/>
        <w:gridCol w:w="1094"/>
        <w:gridCol w:w="90"/>
        <w:gridCol w:w="90"/>
        <w:gridCol w:w="118"/>
        <w:gridCol w:w="787"/>
        <w:gridCol w:w="90"/>
        <w:gridCol w:w="90"/>
        <w:gridCol w:w="196"/>
        <w:gridCol w:w="1024"/>
        <w:gridCol w:w="90"/>
        <w:gridCol w:w="90"/>
        <w:gridCol w:w="182"/>
        <w:gridCol w:w="948"/>
        <w:gridCol w:w="90"/>
        <w:gridCol w:w="90"/>
        <w:gridCol w:w="288"/>
        <w:gridCol w:w="932"/>
        <w:gridCol w:w="90"/>
        <w:gridCol w:w="90"/>
        <w:gridCol w:w="213"/>
        <w:gridCol w:w="69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Jordan Buich</w:t>
            </w:r>
            <w:r>
              <w:rPr>
                <w:position w:val="7"/>
                <w:sz w:val="16"/>
                <w:sz w:val="20"/>
              </w:rPr>
              <w:t>90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Suzanne McKinney &amp; Richard McKinney JT Ten</w:t>
            </w:r>
            <w:r>
              <w:rPr>
                <w:position w:val="7"/>
                <w:sz w:val="16"/>
                <w:sz w:val="20"/>
              </w:rPr>
              <w:t>91</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Mark Skelton &amp; Rochelle Skelton JT Ten</w:t>
            </w:r>
            <w:r>
              <w:rPr>
                <w:position w:val="7"/>
                <w:sz w:val="16"/>
                <w:sz w:val="20"/>
              </w:rPr>
              <w:t>92</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Mary Vincent</w:t>
            </w:r>
            <w:r>
              <w:rPr>
                <w:position w:val="7"/>
                <w:sz w:val="16"/>
                <w:sz w:val="20"/>
              </w:rPr>
              <w:t>93</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David Buich</w:t>
            </w:r>
            <w:r>
              <w:rPr>
                <w:position w:val="7"/>
                <w:sz w:val="16"/>
                <w:sz w:val="20"/>
              </w:rPr>
              <w:t>94</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Gina M. Stantucci</w:t>
            </w:r>
            <w:r>
              <w:rPr>
                <w:position w:val="7"/>
                <w:sz w:val="16"/>
                <w:sz w:val="20"/>
              </w:rPr>
              <w:t>95</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Marcus Stuart</w:t>
            </w:r>
            <w:r>
              <w:rPr>
                <w:position w:val="7"/>
                <w:sz w:val="16"/>
                <w:sz w:val="20"/>
              </w:rPr>
              <w:t>96</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Greg Gale</w:t>
            </w:r>
            <w:r>
              <w:rPr>
                <w:position w:val="7"/>
                <w:sz w:val="16"/>
                <w:sz w:val="20"/>
              </w:rPr>
              <w:t>97</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Monica L. Davis</w:t>
            </w:r>
            <w:r>
              <w:rPr>
                <w:position w:val="7"/>
                <w:sz w:val="16"/>
                <w:sz w:val="20"/>
              </w:rPr>
              <w:t>98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Robert T. Stockham</w:t>
            </w:r>
            <w:r>
              <w:rPr>
                <w:position w:val="7"/>
                <w:sz w:val="16"/>
                <w:sz w:val="20"/>
              </w:rPr>
              <w:t>99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Nikolas A. Buich</w:t>
            </w:r>
            <w:r>
              <w:rPr>
                <w:position w:val="7"/>
                <w:sz w:val="16"/>
                <w:sz w:val="20"/>
              </w:rPr>
              <w:t>100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Dylan Rodgers</w:t>
            </w:r>
            <w:r>
              <w:rPr>
                <w:position w:val="7"/>
                <w:sz w:val="16"/>
                <w:sz w:val="20"/>
              </w:rPr>
              <w:t>101</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Jeremy Palmerton &amp; Wendy Palmerton JT Ten</w:t>
            </w:r>
            <w:r>
              <w:rPr>
                <w:position w:val="8"/>
                <w:sz w:val="19"/>
              </w:rPr>
              <w:t>102</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90</w:t>
            </w:r>
          </w:p>
        </w:tc>
        <w:tc>
          <w:tcPr>
            <w:tcW w:w="9877" w:type="dxa"/>
            <w:tcBorders/>
            <w:vAlign w:val="center"/>
          </w:tcPr>
          <w:p>
            <w:pPr>
              <w:pStyle w:val="TableContents"/>
              <w:bidi w:val="0"/>
              <w:spacing w:before="0" w:after="283"/>
              <w:jc w:val="both"/>
              <w:rPr/>
            </w:pPr>
            <w:r>
              <w:rPr/>
              <w:t>Represents shares directly held by Jordan Buich. The address of the principal business office of Jordan Buich is 132 Monarch Bay Dr., Dana Point, CA 92629.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91</w:t>
            </w:r>
          </w:p>
        </w:tc>
        <w:tc>
          <w:tcPr>
            <w:tcW w:w="9877" w:type="dxa"/>
            <w:tcBorders/>
            <w:vAlign w:val="center"/>
          </w:tcPr>
          <w:p>
            <w:pPr>
              <w:pStyle w:val="TableContents"/>
              <w:bidi w:val="0"/>
              <w:spacing w:before="0" w:after="283"/>
              <w:jc w:val="both"/>
              <w:rPr/>
            </w:pPr>
            <w:r>
              <w:rPr/>
              <w:t>Represents shares directly held by Suzanne McKinney &amp; Richard McKinney JT Ten. The address of the principal business office of Suzanne McKinney &amp; Richard McKinney JT Ten is 1331 E. Lone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92</w:t>
            </w:r>
          </w:p>
        </w:tc>
        <w:tc>
          <w:tcPr>
            <w:tcW w:w="9877" w:type="dxa"/>
            <w:tcBorders/>
            <w:vAlign w:val="center"/>
          </w:tcPr>
          <w:p>
            <w:pPr>
              <w:pStyle w:val="TableContents"/>
              <w:bidi w:val="0"/>
              <w:spacing w:before="0" w:after="283"/>
              <w:jc w:val="both"/>
              <w:rPr/>
            </w:pPr>
            <w:r>
              <w:rPr/>
              <w:t>Represents shares directly held by Mark Skelton &amp; Rochelle Skelton JT Ten. The address of the principal business office of Mark Skelton &amp; Rochelle Skelton JT Ten is 3846 S. Baja Way,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93</w:t>
            </w:r>
          </w:p>
        </w:tc>
        <w:tc>
          <w:tcPr>
            <w:tcW w:w="9877" w:type="dxa"/>
            <w:tcBorders/>
            <w:vAlign w:val="center"/>
          </w:tcPr>
          <w:p>
            <w:pPr>
              <w:pStyle w:val="TableContents"/>
              <w:bidi w:val="0"/>
              <w:spacing w:before="0" w:after="283"/>
              <w:jc w:val="both"/>
              <w:rPr/>
            </w:pPr>
            <w:r>
              <w:rPr/>
              <w:t>Represents shares directly held by Mary Vincent. The address of the principal business office of Mary Vincent is 2291 Bensley St., Henderson, NV 89044.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94</w:t>
            </w:r>
          </w:p>
        </w:tc>
        <w:tc>
          <w:tcPr>
            <w:tcW w:w="9877" w:type="dxa"/>
            <w:tcBorders/>
            <w:vAlign w:val="center"/>
          </w:tcPr>
          <w:p>
            <w:pPr>
              <w:pStyle w:val="TableContents"/>
              <w:bidi w:val="0"/>
              <w:spacing w:before="0" w:after="283"/>
              <w:jc w:val="both"/>
              <w:rPr/>
            </w:pPr>
            <w:r>
              <w:rPr/>
              <w:t>Represents shares directly held by David Buich. The address of the principal business office of David Buich is PO Box 516,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95</w:t>
            </w:r>
          </w:p>
        </w:tc>
        <w:tc>
          <w:tcPr>
            <w:tcW w:w="9877" w:type="dxa"/>
            <w:tcBorders/>
            <w:vAlign w:val="center"/>
          </w:tcPr>
          <w:p>
            <w:pPr>
              <w:pStyle w:val="TableContents"/>
              <w:bidi w:val="0"/>
              <w:spacing w:before="0" w:after="283"/>
              <w:jc w:val="both"/>
              <w:rPr/>
            </w:pPr>
            <w:r>
              <w:rPr/>
              <w:t>Represents shares directly held by Gina M. Stantucci. The address of the principal business office of Gina M. Stantucci is 1837B 9</w:t>
            </w:r>
            <w:r>
              <w:rPr>
                <w:position w:val="8"/>
                <w:sz w:val="19"/>
              </w:rPr>
              <w:t>th</w:t>
            </w:r>
            <w:r>
              <w:rPr/>
              <w:t xml:space="preserve"> Ave. North, Nashville, TN 37208.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96</w:t>
            </w:r>
          </w:p>
        </w:tc>
        <w:tc>
          <w:tcPr>
            <w:tcW w:w="9877" w:type="dxa"/>
            <w:tcBorders/>
            <w:vAlign w:val="center"/>
          </w:tcPr>
          <w:p>
            <w:pPr>
              <w:pStyle w:val="TableContents"/>
              <w:bidi w:val="0"/>
              <w:spacing w:before="0" w:after="283"/>
              <w:jc w:val="both"/>
              <w:rPr/>
            </w:pPr>
            <w:r>
              <w:rPr/>
              <w:t>Represents shares directly held by Marcus Stuart. The address of the principal business office of Marcus Stuart is 5298 N. Hickory Tree Way,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97</w:t>
            </w:r>
          </w:p>
        </w:tc>
        <w:tc>
          <w:tcPr>
            <w:tcW w:w="9877" w:type="dxa"/>
            <w:tcBorders/>
            <w:vAlign w:val="center"/>
          </w:tcPr>
          <w:p>
            <w:pPr>
              <w:pStyle w:val="TableContents"/>
              <w:bidi w:val="0"/>
              <w:spacing w:before="0" w:after="283"/>
              <w:jc w:val="both"/>
              <w:rPr/>
            </w:pPr>
            <w:r>
              <w:rPr/>
              <w:t>Represents shares directly held by Greg Gale. The address of the principal business office of Greg Gale is 11047 N. 52</w:t>
            </w:r>
            <w:r>
              <w:rPr>
                <w:position w:val="8"/>
                <w:sz w:val="19"/>
              </w:rPr>
              <w:t>nd</w:t>
            </w:r>
            <w:r>
              <w:rPr/>
              <w:t xml:space="preserve"> Street,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98</w:t>
            </w:r>
          </w:p>
        </w:tc>
        <w:tc>
          <w:tcPr>
            <w:tcW w:w="9877" w:type="dxa"/>
            <w:tcBorders/>
            <w:vAlign w:val="center"/>
          </w:tcPr>
          <w:p>
            <w:pPr>
              <w:pStyle w:val="TableContents"/>
              <w:bidi w:val="0"/>
              <w:spacing w:before="0" w:after="283"/>
              <w:jc w:val="both"/>
              <w:rPr/>
            </w:pPr>
            <w:r>
              <w:rPr/>
              <w:t>Represents shares directly held by Monica L. Davis. The address of the principal business office of Monica L. Davis is 998 E. Winding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99</w:t>
            </w:r>
          </w:p>
        </w:tc>
        <w:tc>
          <w:tcPr>
            <w:tcW w:w="9877" w:type="dxa"/>
            <w:tcBorders/>
            <w:vAlign w:val="center"/>
          </w:tcPr>
          <w:p>
            <w:pPr>
              <w:pStyle w:val="TableContents"/>
              <w:bidi w:val="0"/>
              <w:spacing w:before="0" w:after="283"/>
              <w:jc w:val="both"/>
              <w:rPr/>
            </w:pPr>
            <w:r>
              <w:rPr/>
              <w:t>Represents shares directly held by Robert T. Stockham. The address of the principal business office of Robert T. Stockham is 3608 S. Julianite Ave.,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100</w:t>
            </w:r>
          </w:p>
        </w:tc>
        <w:tc>
          <w:tcPr>
            <w:tcW w:w="9772" w:type="dxa"/>
            <w:tcBorders/>
            <w:vAlign w:val="center"/>
          </w:tcPr>
          <w:p>
            <w:pPr>
              <w:pStyle w:val="TableContents"/>
              <w:bidi w:val="0"/>
              <w:spacing w:before="0" w:after="283"/>
              <w:jc w:val="both"/>
              <w:rPr/>
            </w:pPr>
            <w:r>
              <w:rPr/>
              <w:t>Represents shares directly held by Nikolas A. Buich. The address of the principal business office of Nikolas A. Buich is 1064 S. Don Vincent Lane,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101</w:t>
            </w:r>
          </w:p>
        </w:tc>
        <w:tc>
          <w:tcPr>
            <w:tcW w:w="9772" w:type="dxa"/>
            <w:tcBorders/>
            <w:vAlign w:val="center"/>
          </w:tcPr>
          <w:p>
            <w:pPr>
              <w:pStyle w:val="TableContents"/>
              <w:bidi w:val="0"/>
              <w:spacing w:before="0" w:after="283"/>
              <w:jc w:val="both"/>
              <w:rPr/>
            </w:pPr>
            <w:r>
              <w:rPr/>
              <w:t>Represents shares directly held by Dylan Rodgers. The address of the principal business office of Dylan Rodgers is PO Box 891, Meridian, ID 83680.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102</w:t>
            </w:r>
          </w:p>
        </w:tc>
        <w:tc>
          <w:tcPr>
            <w:tcW w:w="9772" w:type="dxa"/>
            <w:tcBorders/>
            <w:vAlign w:val="center"/>
          </w:tcPr>
          <w:p>
            <w:pPr>
              <w:pStyle w:val="TableContents"/>
              <w:bidi w:val="0"/>
              <w:spacing w:before="0" w:after="283"/>
              <w:jc w:val="both"/>
              <w:rPr/>
            </w:pPr>
            <w:r>
              <w:rPr/>
              <w:t>Represents shares directly held by Jeremy Palmerton &amp; Wendy Palmerton JT Ten. The address of the principal business office of Jeremy Palmerton &amp; Wendy Palmerton JT Ten is 3458 N. Weston Way, Meridian, ID 83646.</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020" w:type="dxa"/>
        <w:jc w:val="left"/>
        <w:tblInd w:w="0" w:type="dxa"/>
        <w:tblLayout w:type="fixed"/>
        <w:tblCellMar>
          <w:top w:w="0" w:type="dxa"/>
          <w:left w:w="0" w:type="dxa"/>
          <w:bottom w:w="0" w:type="dxa"/>
          <w:right w:w="0" w:type="dxa"/>
        </w:tblCellMar>
      </w:tblPr>
      <w:tblGrid>
        <w:gridCol w:w="1670"/>
        <w:gridCol w:w="90"/>
        <w:gridCol w:w="160"/>
        <w:gridCol w:w="1060"/>
        <w:gridCol w:w="90"/>
        <w:gridCol w:w="90"/>
        <w:gridCol w:w="148"/>
        <w:gridCol w:w="982"/>
        <w:gridCol w:w="90"/>
        <w:gridCol w:w="90"/>
        <w:gridCol w:w="288"/>
        <w:gridCol w:w="932"/>
        <w:gridCol w:w="90"/>
        <w:gridCol w:w="90"/>
        <w:gridCol w:w="162"/>
        <w:gridCol w:w="743"/>
        <w:gridCol w:w="90"/>
        <w:gridCol w:w="90"/>
        <w:gridCol w:w="288"/>
        <w:gridCol w:w="932"/>
        <w:gridCol w:w="90"/>
        <w:gridCol w:w="90"/>
        <w:gridCol w:w="203"/>
        <w:gridCol w:w="927"/>
        <w:gridCol w:w="90"/>
        <w:gridCol w:w="90"/>
        <w:gridCol w:w="288"/>
        <w:gridCol w:w="93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Mark Marshburn</w:t>
            </w:r>
            <w:r>
              <w:rPr>
                <w:position w:val="7"/>
                <w:sz w:val="16"/>
                <w:sz w:val="20"/>
              </w:rPr>
              <w:t>103</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Danible Realty LLC</w:t>
            </w:r>
            <w:r>
              <w:rPr>
                <w:position w:val="7"/>
                <w:sz w:val="16"/>
                <w:sz w:val="20"/>
              </w:rPr>
              <w:t>104</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Kyle Delorey</w:t>
            </w:r>
            <w:r>
              <w:rPr>
                <w:position w:val="7"/>
                <w:sz w:val="16"/>
                <w:sz w:val="20"/>
              </w:rPr>
              <w:t>105</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pPr>
            <w:r>
              <w:rPr/>
              <w:t>Michael Melhorn &amp; Stephanie Melhorn JT Ten</w:t>
            </w:r>
            <w:r>
              <w:rPr>
                <w:position w:val="8"/>
                <w:sz w:val="19"/>
              </w:rPr>
              <w:t>106</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 Randall Moss</w:t>
            </w:r>
            <w:r>
              <w:rPr>
                <w:position w:val="7"/>
                <w:sz w:val="16"/>
                <w:sz w:val="20"/>
              </w:rPr>
              <w:t>107</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Nathan Smith</w:t>
            </w:r>
            <w:r>
              <w:rPr>
                <w:position w:val="7"/>
                <w:sz w:val="16"/>
                <w:sz w:val="20"/>
              </w:rPr>
              <w:t>108</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Neal Stuart</w:t>
            </w:r>
            <w:r>
              <w:rPr>
                <w:position w:val="7"/>
                <w:sz w:val="16"/>
                <w:sz w:val="20"/>
              </w:rPr>
              <w:t>109</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Clinton Christensen</w:t>
            </w:r>
            <w:r>
              <w:rPr>
                <w:position w:val="7"/>
                <w:sz w:val="16"/>
                <w:sz w:val="20"/>
              </w:rPr>
              <w:t>110</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Kelsie Nalder</w:t>
            </w:r>
            <w:r>
              <w:rPr>
                <w:position w:val="7"/>
                <w:sz w:val="16"/>
                <w:sz w:val="20"/>
              </w:rPr>
              <w:t>111</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Joshua D. Barnes</w:t>
            </w:r>
            <w:r>
              <w:rPr>
                <w:position w:val="7"/>
                <w:sz w:val="16"/>
                <w:sz w:val="20"/>
              </w:rPr>
              <w:t>112</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Jack Lunsford &amp; Katie Lunsford JT Ten</w:t>
            </w:r>
            <w:r>
              <w:rPr>
                <w:position w:val="7"/>
                <w:sz w:val="16"/>
                <w:sz w:val="20"/>
              </w:rPr>
              <w:t>113</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Paul Garn</w:t>
            </w:r>
            <w:r>
              <w:rPr>
                <w:position w:val="7"/>
                <w:sz w:val="16"/>
                <w:sz w:val="20"/>
              </w:rPr>
              <w:t>114</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Garrett Jones</w:t>
            </w:r>
            <w:r>
              <w:rPr>
                <w:position w:val="7"/>
                <w:sz w:val="16"/>
                <w:sz w:val="20"/>
              </w:rPr>
              <w:t>115</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103</w:t>
            </w:r>
          </w:p>
        </w:tc>
        <w:tc>
          <w:tcPr>
            <w:tcW w:w="9772" w:type="dxa"/>
            <w:tcBorders/>
            <w:vAlign w:val="center"/>
          </w:tcPr>
          <w:p>
            <w:pPr>
              <w:pStyle w:val="TableContents"/>
              <w:bidi w:val="0"/>
              <w:spacing w:before="0" w:after="283"/>
              <w:jc w:val="both"/>
              <w:rPr/>
            </w:pPr>
            <w:r>
              <w:rPr/>
              <w:t>Represents shares directly held by Mark Marshburn. The address of the principal business office of Mark Marshburn is 7135 N. Spurwing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104</w:t>
            </w:r>
          </w:p>
        </w:tc>
        <w:tc>
          <w:tcPr>
            <w:tcW w:w="9772" w:type="dxa"/>
            <w:tcBorders/>
            <w:vAlign w:val="center"/>
          </w:tcPr>
          <w:p>
            <w:pPr>
              <w:pStyle w:val="TableContents"/>
              <w:bidi w:val="0"/>
              <w:spacing w:before="0" w:after="283"/>
              <w:jc w:val="both"/>
              <w:rPr/>
            </w:pPr>
            <w:r>
              <w:rPr/>
              <w:t>Represents shares directly held by Danible Realty LLC. Alexis Danible is the sole member of Danible Realty LLC. The address of the principal business office of Danible Realty LLC is 10907 W. Annafaye St., Star, ID 83669.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105</w:t>
            </w:r>
          </w:p>
        </w:tc>
        <w:tc>
          <w:tcPr>
            <w:tcW w:w="9772" w:type="dxa"/>
            <w:tcBorders/>
            <w:vAlign w:val="center"/>
          </w:tcPr>
          <w:p>
            <w:pPr>
              <w:pStyle w:val="TableContents"/>
              <w:bidi w:val="0"/>
              <w:spacing w:before="0" w:after="283"/>
              <w:jc w:val="both"/>
              <w:rPr/>
            </w:pPr>
            <w:r>
              <w:rPr/>
              <w:t>Represents shares directly held by Kyle Delorey. The address of the principal business office of Kyle Delorey 6807 W. Los Flores Dr.,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106</w:t>
            </w:r>
          </w:p>
        </w:tc>
        <w:tc>
          <w:tcPr>
            <w:tcW w:w="9772" w:type="dxa"/>
            <w:tcBorders/>
            <w:vAlign w:val="center"/>
          </w:tcPr>
          <w:p>
            <w:pPr>
              <w:pStyle w:val="TableContents"/>
              <w:bidi w:val="0"/>
              <w:spacing w:before="0" w:after="283"/>
              <w:jc w:val="both"/>
              <w:rPr/>
            </w:pPr>
            <w:r>
              <w:rPr/>
              <w:t>Represents shares directly held by Michael Melhorn &amp; Stephanie Melhorn JT Ten. The address of the principal business office of Michael Melhorn &amp; Stephanie Melhorn JT Ten is 5130 W. Tia Inez St.,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107</w:t>
            </w:r>
          </w:p>
        </w:tc>
        <w:tc>
          <w:tcPr>
            <w:tcW w:w="9772" w:type="dxa"/>
            <w:tcBorders/>
            <w:vAlign w:val="center"/>
          </w:tcPr>
          <w:p>
            <w:pPr>
              <w:pStyle w:val="TableContents"/>
              <w:bidi w:val="0"/>
              <w:spacing w:before="0" w:after="283"/>
              <w:jc w:val="both"/>
              <w:rPr/>
            </w:pPr>
            <w:r>
              <w:rPr/>
              <w:t>Represents shares directly held by J. Randall Moss. The address of the principal business office of J. Randall Moss is 1930 N. Wind Cave Way,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108</w:t>
            </w:r>
          </w:p>
        </w:tc>
        <w:tc>
          <w:tcPr>
            <w:tcW w:w="9772" w:type="dxa"/>
            <w:tcBorders/>
            <w:vAlign w:val="center"/>
          </w:tcPr>
          <w:p>
            <w:pPr>
              <w:pStyle w:val="TableContents"/>
              <w:bidi w:val="0"/>
              <w:spacing w:before="0" w:after="283"/>
              <w:jc w:val="both"/>
              <w:rPr/>
            </w:pPr>
            <w:r>
              <w:rPr/>
              <w:t>Represents shares directly held by Nathan Smith. The address of the principal business office of Nathan Smith is 6864 N. Pira,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109</w:t>
            </w:r>
          </w:p>
        </w:tc>
        <w:tc>
          <w:tcPr>
            <w:tcW w:w="9772" w:type="dxa"/>
            <w:tcBorders/>
            <w:vAlign w:val="center"/>
          </w:tcPr>
          <w:p>
            <w:pPr>
              <w:pStyle w:val="TableContents"/>
              <w:bidi w:val="0"/>
              <w:spacing w:before="0" w:after="283"/>
              <w:jc w:val="both"/>
              <w:rPr/>
            </w:pPr>
            <w:r>
              <w:rPr/>
              <w:t>Represents shares directly held by Neal Stuart. The address of the principal business office of Neal Stuart is 2148 W. Three Lakes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110</w:t>
            </w:r>
          </w:p>
        </w:tc>
        <w:tc>
          <w:tcPr>
            <w:tcW w:w="9772" w:type="dxa"/>
            <w:tcBorders/>
            <w:vAlign w:val="center"/>
          </w:tcPr>
          <w:p>
            <w:pPr>
              <w:pStyle w:val="TableContents"/>
              <w:bidi w:val="0"/>
              <w:spacing w:before="0" w:after="283"/>
              <w:jc w:val="both"/>
              <w:rPr/>
            </w:pPr>
            <w:r>
              <w:rPr/>
              <w:t>Represents shares directly held by Clinton Christensen. The address of the principal business office of Clinton Christensen is 3817 B North 2300 East, Filer, ID 83328.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111</w:t>
            </w:r>
          </w:p>
        </w:tc>
        <w:tc>
          <w:tcPr>
            <w:tcW w:w="9772" w:type="dxa"/>
            <w:tcBorders/>
            <w:vAlign w:val="center"/>
          </w:tcPr>
          <w:p>
            <w:pPr>
              <w:pStyle w:val="TableContents"/>
              <w:bidi w:val="0"/>
              <w:spacing w:before="0" w:after="283"/>
              <w:jc w:val="both"/>
              <w:rPr/>
            </w:pPr>
            <w:r>
              <w:rPr/>
              <w:t>Represents shares directly held by Kelsie Nalder. The address of the principal business office of Kelsie Nalder is 946 Applewood Dr., Buhl, ID 83316.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112</w:t>
            </w:r>
          </w:p>
        </w:tc>
        <w:tc>
          <w:tcPr>
            <w:tcW w:w="9772" w:type="dxa"/>
            <w:tcBorders/>
            <w:vAlign w:val="center"/>
          </w:tcPr>
          <w:p>
            <w:pPr>
              <w:pStyle w:val="TableContents"/>
              <w:bidi w:val="0"/>
              <w:spacing w:before="0" w:after="283"/>
              <w:jc w:val="both"/>
              <w:rPr/>
            </w:pPr>
            <w:r>
              <w:rPr/>
              <w:t>Represents shares directly held by Joshua D. Barnes. The address of the principal business office of Joshua D. Barnes is 3681 N. 2500 East, Twin Falls, ID 83301.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113</w:t>
            </w:r>
          </w:p>
        </w:tc>
        <w:tc>
          <w:tcPr>
            <w:tcW w:w="9772" w:type="dxa"/>
            <w:tcBorders/>
            <w:vAlign w:val="center"/>
          </w:tcPr>
          <w:p>
            <w:pPr>
              <w:pStyle w:val="TableContents"/>
              <w:bidi w:val="0"/>
              <w:spacing w:before="0" w:after="283"/>
              <w:jc w:val="both"/>
              <w:rPr/>
            </w:pPr>
            <w:r>
              <w:rPr/>
              <w:t>Represents shares directly held by Jack Lunsford &amp; Katie Lunsford JT Ten. The address of the principal business office of Jack Lunsford &amp; Katie Lunsford JT Ten is 6560 N. Big Cedar Way,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114</w:t>
            </w:r>
          </w:p>
        </w:tc>
        <w:tc>
          <w:tcPr>
            <w:tcW w:w="9772" w:type="dxa"/>
            <w:tcBorders/>
            <w:vAlign w:val="center"/>
          </w:tcPr>
          <w:p>
            <w:pPr>
              <w:pStyle w:val="TableContents"/>
              <w:bidi w:val="0"/>
              <w:spacing w:before="0" w:after="283"/>
              <w:jc w:val="both"/>
              <w:rPr/>
            </w:pPr>
            <w:r>
              <w:rPr/>
              <w:t>Represents shares directly held by Paul Garn. The address of the principal business office of Paul Garn is 1059 Pinewood Circle, Twin Falls, ID 83301.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115</w:t>
            </w:r>
          </w:p>
        </w:tc>
        <w:tc>
          <w:tcPr>
            <w:tcW w:w="9772" w:type="dxa"/>
            <w:tcBorders/>
            <w:vAlign w:val="center"/>
          </w:tcPr>
          <w:p>
            <w:pPr>
              <w:pStyle w:val="TableContents"/>
              <w:bidi w:val="0"/>
              <w:spacing w:before="0" w:after="283"/>
              <w:jc w:val="both"/>
              <w:rPr/>
            </w:pPr>
            <w:r>
              <w:rPr/>
              <w:t>Represents shares directly held by Garrett Jones. The address of the principal business office of Garrett Jones is 3949 S. Northbridge Way, Boise, ID 83706.</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020" w:type="dxa"/>
        <w:jc w:val="left"/>
        <w:tblInd w:w="0" w:type="dxa"/>
        <w:tblLayout w:type="fixed"/>
        <w:tblCellMar>
          <w:top w:w="0" w:type="dxa"/>
          <w:left w:w="0" w:type="dxa"/>
          <w:bottom w:w="0" w:type="dxa"/>
          <w:right w:w="0" w:type="dxa"/>
        </w:tblCellMar>
      </w:tblPr>
      <w:tblGrid>
        <w:gridCol w:w="1670"/>
        <w:gridCol w:w="90"/>
        <w:gridCol w:w="136"/>
        <w:gridCol w:w="1084"/>
        <w:gridCol w:w="90"/>
        <w:gridCol w:w="90"/>
        <w:gridCol w:w="148"/>
        <w:gridCol w:w="982"/>
        <w:gridCol w:w="90"/>
        <w:gridCol w:w="90"/>
        <w:gridCol w:w="288"/>
        <w:gridCol w:w="932"/>
        <w:gridCol w:w="90"/>
        <w:gridCol w:w="90"/>
        <w:gridCol w:w="130"/>
        <w:gridCol w:w="775"/>
        <w:gridCol w:w="90"/>
        <w:gridCol w:w="90"/>
        <w:gridCol w:w="288"/>
        <w:gridCol w:w="932"/>
        <w:gridCol w:w="90"/>
        <w:gridCol w:w="90"/>
        <w:gridCol w:w="190"/>
        <w:gridCol w:w="940"/>
        <w:gridCol w:w="90"/>
        <w:gridCol w:w="90"/>
        <w:gridCol w:w="288"/>
        <w:gridCol w:w="93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Jared Leuzinger</w:t>
            </w:r>
            <w:r>
              <w:rPr>
                <w:position w:val="7"/>
                <w:sz w:val="16"/>
                <w:sz w:val="20"/>
              </w:rPr>
              <w:t>116</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68,031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Holly Kawano</w:t>
            </w:r>
            <w:r>
              <w:rPr>
                <w:position w:val="7"/>
                <w:sz w:val="16"/>
                <w:sz w:val="20"/>
              </w:rPr>
              <w:t>117</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Sean Papineau Boyd</w:t>
            </w:r>
            <w:r>
              <w:rPr>
                <w:position w:val="7"/>
                <w:sz w:val="16"/>
                <w:sz w:val="20"/>
              </w:rPr>
              <w:t>118</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Louis Piccioni &amp; Nita Piccioni JT Ten</w:t>
            </w:r>
            <w:r>
              <w:rPr>
                <w:position w:val="7"/>
                <w:sz w:val="16"/>
                <w:sz w:val="20"/>
              </w:rPr>
              <w:t>119</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Ryan Beattie</w:t>
            </w:r>
            <w:r>
              <w:rPr>
                <w:position w:val="7"/>
                <w:sz w:val="16"/>
                <w:sz w:val="20"/>
              </w:rPr>
              <w:t>120</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Eric Stone</w:t>
            </w:r>
            <w:r>
              <w:rPr>
                <w:position w:val="7"/>
                <w:sz w:val="16"/>
                <w:sz w:val="20"/>
              </w:rPr>
              <w:t>121</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Rory Jones</w:t>
            </w:r>
            <w:r>
              <w:rPr>
                <w:position w:val="7"/>
                <w:sz w:val="16"/>
                <w:sz w:val="20"/>
              </w:rPr>
              <w:t>122</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Riley Jones</w:t>
            </w:r>
            <w:r>
              <w:rPr>
                <w:position w:val="7"/>
                <w:sz w:val="16"/>
                <w:sz w:val="20"/>
              </w:rPr>
              <w:t>123</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Richard E. O’Bringer Revokable Living Trust</w:t>
            </w:r>
            <w:r>
              <w:rPr>
                <w:position w:val="7"/>
                <w:sz w:val="16"/>
                <w:sz w:val="20"/>
              </w:rPr>
              <w:t>124</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Jeffery Pender</w:t>
            </w:r>
            <w:r>
              <w:rPr>
                <w:position w:val="7"/>
                <w:sz w:val="16"/>
                <w:sz w:val="20"/>
              </w:rPr>
              <w:t>125</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Scott Coronet &amp; Ken Coronet JT Ten</w:t>
            </w:r>
            <w:r>
              <w:rPr>
                <w:position w:val="7"/>
                <w:sz w:val="16"/>
                <w:sz w:val="20"/>
              </w:rPr>
              <w:t>126</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Karen Louise Buich</w:t>
            </w:r>
            <w:r>
              <w:rPr>
                <w:position w:val="7"/>
                <w:sz w:val="16"/>
                <w:sz w:val="20"/>
              </w:rPr>
              <w:t>127</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6,007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6,007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116</w:t>
            </w:r>
          </w:p>
        </w:tc>
        <w:tc>
          <w:tcPr>
            <w:tcW w:w="9772" w:type="dxa"/>
            <w:tcBorders/>
            <w:vAlign w:val="center"/>
          </w:tcPr>
          <w:p>
            <w:pPr>
              <w:pStyle w:val="TableContents"/>
              <w:bidi w:val="0"/>
              <w:spacing w:before="0" w:after="283"/>
              <w:jc w:val="both"/>
              <w:rPr/>
            </w:pPr>
            <w:r>
              <w:rPr/>
              <w:t>Represents shares directly held by Jared Leuzinger. The address of the principal business office of Jared Leuzinger is 1390 N. Deep Creek Way, Meridian, ID 83642-4215.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117</w:t>
            </w:r>
          </w:p>
        </w:tc>
        <w:tc>
          <w:tcPr>
            <w:tcW w:w="9772" w:type="dxa"/>
            <w:tcBorders/>
            <w:vAlign w:val="center"/>
          </w:tcPr>
          <w:p>
            <w:pPr>
              <w:pStyle w:val="TableContents"/>
              <w:bidi w:val="0"/>
              <w:spacing w:before="0" w:after="283"/>
              <w:jc w:val="both"/>
              <w:rPr/>
            </w:pPr>
            <w:r>
              <w:rPr/>
              <w:t>Represents shares directly held by Holly Kawano. The address of the principal business office of Holly Kawano is 2484 Sunshine Dr., Boise, ID 83712.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118</w:t>
            </w:r>
          </w:p>
        </w:tc>
        <w:tc>
          <w:tcPr>
            <w:tcW w:w="9772" w:type="dxa"/>
            <w:tcBorders/>
            <w:vAlign w:val="center"/>
          </w:tcPr>
          <w:p>
            <w:pPr>
              <w:pStyle w:val="TableContents"/>
              <w:bidi w:val="0"/>
              <w:spacing w:before="0" w:after="283"/>
              <w:jc w:val="both"/>
              <w:rPr/>
            </w:pPr>
            <w:r>
              <w:rPr/>
              <w:t>Represents shares directly held by Sean Papineau Boyd. The address of the principal business office of Sean Papineau Boyd is 838 Bryant Ave., Walla Walla, WA 99362.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119</w:t>
            </w:r>
          </w:p>
        </w:tc>
        <w:tc>
          <w:tcPr>
            <w:tcW w:w="9772" w:type="dxa"/>
            <w:tcBorders/>
            <w:vAlign w:val="center"/>
          </w:tcPr>
          <w:p>
            <w:pPr>
              <w:pStyle w:val="TableContents"/>
              <w:bidi w:val="0"/>
              <w:spacing w:before="0" w:after="283"/>
              <w:jc w:val="both"/>
              <w:rPr/>
            </w:pPr>
            <w:r>
              <w:rPr/>
              <w:t>Represents shares directly held by Louis Piccioni &amp; Nita Piccioni JT Ten. The address of the principal business office of Louis Piccioni &amp; Nita Piccioni JT Ten is 1217 E. Lone Creek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120</w:t>
            </w:r>
          </w:p>
        </w:tc>
        <w:tc>
          <w:tcPr>
            <w:tcW w:w="9772" w:type="dxa"/>
            <w:tcBorders/>
            <w:vAlign w:val="center"/>
          </w:tcPr>
          <w:p>
            <w:pPr>
              <w:pStyle w:val="TableContents"/>
              <w:bidi w:val="0"/>
              <w:spacing w:before="0" w:after="283"/>
              <w:jc w:val="both"/>
              <w:rPr/>
            </w:pPr>
            <w:r>
              <w:rPr/>
              <w:t>Represents shares directly held by Ryan Beattie. The address of the principal business office of Ryan Beattie is 11497 W. Blackmoor St., Boise, ID 83709.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121</w:t>
            </w:r>
          </w:p>
        </w:tc>
        <w:tc>
          <w:tcPr>
            <w:tcW w:w="9772" w:type="dxa"/>
            <w:tcBorders/>
            <w:vAlign w:val="center"/>
          </w:tcPr>
          <w:p>
            <w:pPr>
              <w:pStyle w:val="TableContents"/>
              <w:bidi w:val="0"/>
              <w:spacing w:before="0" w:after="283"/>
              <w:jc w:val="both"/>
              <w:rPr/>
            </w:pPr>
            <w:r>
              <w:rPr/>
              <w:t>Represents shares directly held by Eric Stone. The address of the principal business office of Eric Stone is 1082 E. Tuttle St., Meridian, ID 83646.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122</w:t>
            </w:r>
          </w:p>
        </w:tc>
        <w:tc>
          <w:tcPr>
            <w:tcW w:w="9772" w:type="dxa"/>
            <w:tcBorders/>
            <w:vAlign w:val="center"/>
          </w:tcPr>
          <w:p>
            <w:pPr>
              <w:pStyle w:val="TableContents"/>
              <w:bidi w:val="0"/>
              <w:spacing w:before="0" w:after="283"/>
              <w:jc w:val="both"/>
              <w:rPr/>
            </w:pPr>
            <w:r>
              <w:rPr/>
              <w:t>Represents shares directly held by Rory Jones. The address of the principal business office of Rory Jones is 910 E. Curling Dr., Boise, ID 83702.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123</w:t>
            </w:r>
          </w:p>
        </w:tc>
        <w:tc>
          <w:tcPr>
            <w:tcW w:w="9772" w:type="dxa"/>
            <w:tcBorders/>
            <w:vAlign w:val="center"/>
          </w:tcPr>
          <w:p>
            <w:pPr>
              <w:pStyle w:val="TableContents"/>
              <w:bidi w:val="0"/>
              <w:spacing w:before="0" w:after="283"/>
              <w:jc w:val="both"/>
              <w:rPr/>
            </w:pPr>
            <w:r>
              <w:rPr/>
              <w:t>Represents shares directly held by Riley Jones. The address of the principal business office of Riley Jones is 1641 S. Annett,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124</w:t>
            </w:r>
          </w:p>
        </w:tc>
        <w:tc>
          <w:tcPr>
            <w:tcW w:w="9772" w:type="dxa"/>
            <w:tcBorders/>
            <w:vAlign w:val="center"/>
          </w:tcPr>
          <w:p>
            <w:pPr>
              <w:pStyle w:val="TableContents"/>
              <w:bidi w:val="0"/>
              <w:spacing w:before="0" w:after="283"/>
              <w:jc w:val="both"/>
              <w:rPr/>
            </w:pPr>
            <w:r>
              <w:rPr/>
              <w:t>Represents shares directly held by the Richard E. O’Bringer Revokable Living Trust. Richard O’Bringer is the sole trustee. The address of the principal business office of the Richard E. O’Bringer Revokable Living Trust is 11413 Perugino Dr., Las Vegas, NV 89138.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125</w:t>
            </w:r>
          </w:p>
        </w:tc>
        <w:tc>
          <w:tcPr>
            <w:tcW w:w="9772" w:type="dxa"/>
            <w:tcBorders/>
            <w:vAlign w:val="center"/>
          </w:tcPr>
          <w:p>
            <w:pPr>
              <w:pStyle w:val="TableContents"/>
              <w:bidi w:val="0"/>
              <w:spacing w:before="0" w:after="283"/>
              <w:jc w:val="both"/>
              <w:rPr/>
            </w:pPr>
            <w:r>
              <w:rPr/>
              <w:t>Represents shares directly held by Jeffery Pender. The address of the principal business office of Jeffery Pender is Calcada Marques Abrantes 95, RC ESQ Lisbon, Portugal 1200-718.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126</w:t>
            </w:r>
          </w:p>
        </w:tc>
        <w:tc>
          <w:tcPr>
            <w:tcW w:w="9772" w:type="dxa"/>
            <w:tcBorders/>
            <w:vAlign w:val="center"/>
          </w:tcPr>
          <w:p>
            <w:pPr>
              <w:pStyle w:val="TableContents"/>
              <w:bidi w:val="0"/>
              <w:spacing w:before="0" w:after="283"/>
              <w:jc w:val="both"/>
              <w:rPr/>
            </w:pPr>
            <w:r>
              <w:rPr/>
              <w:t>Represents shares directly held by Scott Coronet &amp; Ken Coronet JT Ten. The address of the principal business office of Scott Coronet &amp; Ken Coronet JT Ten is 15006 Alexander, Huntersville, NC 28078.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127</w:t>
            </w:r>
          </w:p>
        </w:tc>
        <w:tc>
          <w:tcPr>
            <w:tcW w:w="9772" w:type="dxa"/>
            <w:tcBorders/>
            <w:vAlign w:val="center"/>
          </w:tcPr>
          <w:p>
            <w:pPr>
              <w:pStyle w:val="TableContents"/>
              <w:bidi w:val="0"/>
              <w:spacing w:before="0" w:after="283"/>
              <w:jc w:val="both"/>
              <w:rPr/>
            </w:pPr>
            <w:r>
              <w:rPr/>
              <w:t>Represents shares directly held by Karen Louise Buich. The address of the principal business office of Karen Louise Buich is 1109 S. Renovare Lane, Eagle, ID 83616.</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60"/>
        <w:gridCol w:w="1060"/>
        <w:gridCol w:w="90"/>
        <w:gridCol w:w="90"/>
        <w:gridCol w:w="148"/>
        <w:gridCol w:w="982"/>
        <w:gridCol w:w="90"/>
        <w:gridCol w:w="90"/>
        <w:gridCol w:w="176"/>
        <w:gridCol w:w="1044"/>
        <w:gridCol w:w="90"/>
        <w:gridCol w:w="90"/>
        <w:gridCol w:w="130"/>
        <w:gridCol w:w="775"/>
        <w:gridCol w:w="90"/>
        <w:gridCol w:w="90"/>
        <w:gridCol w:w="196"/>
        <w:gridCol w:w="1024"/>
        <w:gridCol w:w="90"/>
        <w:gridCol w:w="90"/>
        <w:gridCol w:w="267"/>
        <w:gridCol w:w="863"/>
        <w:gridCol w:w="90"/>
        <w:gridCol w:w="90"/>
        <w:gridCol w:w="288"/>
        <w:gridCol w:w="932"/>
        <w:gridCol w:w="90"/>
        <w:gridCol w:w="90"/>
        <w:gridCol w:w="163"/>
        <w:gridCol w:w="742"/>
        <w:gridCol w:w="135"/>
      </w:tblGrid>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Laurie S. Forster</w:t>
            </w:r>
            <w:r>
              <w:rPr>
                <w:position w:val="7"/>
                <w:sz w:val="16"/>
                <w:sz w:val="20"/>
              </w:rPr>
              <w:t>128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Kalisa Houdek</w:t>
            </w:r>
            <w:r>
              <w:rPr>
                <w:position w:val="7"/>
                <w:sz w:val="16"/>
                <w:sz w:val="20"/>
              </w:rPr>
              <w:t>129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4,825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4,825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William Ray</w:t>
            </w:r>
            <w:r>
              <w:rPr>
                <w:position w:val="7"/>
                <w:sz w:val="16"/>
                <w:sz w:val="20"/>
              </w:rPr>
              <w:t>130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Darwin Chen</w:t>
            </w:r>
            <w:r>
              <w:rPr>
                <w:position w:val="7"/>
                <w:sz w:val="16"/>
                <w:sz w:val="20"/>
              </w:rPr>
              <w:t>131</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4,825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4,825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Jami Vincent</w:t>
            </w:r>
            <w:r>
              <w:rPr>
                <w:position w:val="7"/>
                <w:sz w:val="16"/>
                <w:sz w:val="20"/>
              </w:rPr>
              <w:t>132</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4,222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4,222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Jerry Nemec</w:t>
            </w:r>
            <w:r>
              <w:rPr>
                <w:position w:val="7"/>
                <w:sz w:val="16"/>
                <w:sz w:val="20"/>
              </w:rPr>
              <w:t>133</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3,860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3,860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Gregory Goodman &amp; Laree Goodman JT Ten</w:t>
            </w:r>
            <w:r>
              <w:rPr>
                <w:position w:val="8"/>
                <w:sz w:val="19"/>
              </w:rPr>
              <w:t>134</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8,766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The Kyle Nagy Trust</w:t>
            </w:r>
            <w:r>
              <w:rPr>
                <w:position w:val="7"/>
                <w:sz w:val="16"/>
                <w:sz w:val="20"/>
              </w:rPr>
              <w:t>135</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3,618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3,618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Multipro Inc</w:t>
            </w:r>
            <w:r>
              <w:rPr>
                <w:position w:val="7"/>
                <w:sz w:val="16"/>
                <w:sz w:val="20"/>
              </w:rPr>
              <w:t>136</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Paul Hanson</w:t>
            </w:r>
            <w:r>
              <w:rPr>
                <w:position w:val="7"/>
                <w:sz w:val="16"/>
                <w:sz w:val="20"/>
              </w:rPr>
              <w:t>137</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3,618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3,618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128</w:t>
            </w:r>
          </w:p>
        </w:tc>
        <w:tc>
          <w:tcPr>
            <w:tcW w:w="9772" w:type="dxa"/>
            <w:tcBorders/>
            <w:vAlign w:val="center"/>
          </w:tcPr>
          <w:p>
            <w:pPr>
              <w:pStyle w:val="TableContents"/>
              <w:bidi w:val="0"/>
              <w:spacing w:before="0" w:after="283"/>
              <w:jc w:val="both"/>
              <w:rPr/>
            </w:pPr>
            <w:r>
              <w:rPr/>
              <w:t>Represents shares directly held by Laurie S. Forster. The address of the principal business office of Laurie S. Forster is 13005 Lake Shore Dr.,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129</w:t>
            </w:r>
          </w:p>
        </w:tc>
        <w:tc>
          <w:tcPr>
            <w:tcW w:w="9772" w:type="dxa"/>
            <w:tcBorders/>
            <w:vAlign w:val="center"/>
          </w:tcPr>
          <w:p>
            <w:pPr>
              <w:pStyle w:val="TableContents"/>
              <w:bidi w:val="0"/>
              <w:spacing w:before="0" w:after="283"/>
              <w:jc w:val="both"/>
              <w:rPr/>
            </w:pPr>
            <w:r>
              <w:rPr/>
              <w:t>Represents shares directly held by Kalisa Houdek. The address of the principal business office of Kalisa Houdek is 9421 S. Palena Ave., Kuna, ID 83634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130</w:t>
            </w:r>
          </w:p>
        </w:tc>
        <w:tc>
          <w:tcPr>
            <w:tcW w:w="9772" w:type="dxa"/>
            <w:tcBorders/>
            <w:vAlign w:val="center"/>
          </w:tcPr>
          <w:p>
            <w:pPr>
              <w:pStyle w:val="TableContents"/>
              <w:bidi w:val="0"/>
              <w:spacing w:before="0" w:after="283"/>
              <w:jc w:val="both"/>
              <w:rPr/>
            </w:pPr>
            <w:r>
              <w:rPr/>
              <w:t>Represents shares directly held by William Ray. The address of the principal business office of William Ray is 5387 Rainbow Pkwy, Toomsuba, MS 39364.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131</w:t>
            </w:r>
          </w:p>
        </w:tc>
        <w:tc>
          <w:tcPr>
            <w:tcW w:w="9772" w:type="dxa"/>
            <w:tcBorders/>
            <w:vAlign w:val="center"/>
          </w:tcPr>
          <w:p>
            <w:pPr>
              <w:pStyle w:val="TableContents"/>
              <w:bidi w:val="0"/>
              <w:spacing w:before="0" w:after="283"/>
              <w:jc w:val="both"/>
              <w:rPr/>
            </w:pPr>
            <w:r>
              <w:rPr/>
              <w:t>Represents shares directly held by Darwin Chen. The address of the principal business office of Darwin Chen is 18124 Wedge Pkwy #115, Reno, NV 89511.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132</w:t>
            </w:r>
          </w:p>
        </w:tc>
        <w:tc>
          <w:tcPr>
            <w:tcW w:w="9772" w:type="dxa"/>
            <w:tcBorders/>
            <w:vAlign w:val="center"/>
          </w:tcPr>
          <w:p>
            <w:pPr>
              <w:pStyle w:val="TableContents"/>
              <w:bidi w:val="0"/>
              <w:spacing w:before="0" w:after="283"/>
              <w:jc w:val="both"/>
              <w:rPr/>
            </w:pPr>
            <w:r>
              <w:rPr/>
              <w:t>Represents shares directly held by Jami Vincent. The address of the principal business office of Jami Vincent is 2436 E. Halsey,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133</w:t>
            </w:r>
          </w:p>
        </w:tc>
        <w:tc>
          <w:tcPr>
            <w:tcW w:w="9772" w:type="dxa"/>
            <w:tcBorders/>
            <w:vAlign w:val="center"/>
          </w:tcPr>
          <w:p>
            <w:pPr>
              <w:pStyle w:val="TableContents"/>
              <w:bidi w:val="0"/>
              <w:spacing w:before="0" w:after="283"/>
              <w:jc w:val="both"/>
              <w:rPr/>
            </w:pPr>
            <w:r>
              <w:rPr/>
              <w:t>Represents shares directly held by Jerry Nemec. The address of the principal business office of Jerry Nemec is 609 W. Colchester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134</w:t>
            </w:r>
          </w:p>
        </w:tc>
        <w:tc>
          <w:tcPr>
            <w:tcW w:w="9772" w:type="dxa"/>
            <w:tcBorders/>
            <w:vAlign w:val="center"/>
          </w:tcPr>
          <w:p>
            <w:pPr>
              <w:pStyle w:val="TableContents"/>
              <w:bidi w:val="0"/>
              <w:spacing w:before="0" w:after="283"/>
              <w:jc w:val="both"/>
              <w:rPr/>
            </w:pPr>
            <w:r>
              <w:rPr/>
              <w:t>Represents shares directly held by Gregory Goodman &amp; Laree Goodman JT Ten. The address of the principal business office of Gregory Goodman &amp; Laree Goodman JT Ten is 5064 W. Caragana St.,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135</w:t>
            </w:r>
          </w:p>
        </w:tc>
        <w:tc>
          <w:tcPr>
            <w:tcW w:w="9772" w:type="dxa"/>
            <w:tcBorders/>
            <w:vAlign w:val="center"/>
          </w:tcPr>
          <w:p>
            <w:pPr>
              <w:pStyle w:val="TableContents"/>
              <w:bidi w:val="0"/>
              <w:spacing w:before="0" w:after="283"/>
              <w:jc w:val="both"/>
              <w:rPr/>
            </w:pPr>
            <w:r>
              <w:rPr/>
              <w:t>Represents shares directly held by The Kyle Nagy Trust. The address of the principal business office of The Kyle Nagy Trust is 2634 Sunday Grace Drive, Henderson, NV 89052.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136</w:t>
            </w:r>
          </w:p>
        </w:tc>
        <w:tc>
          <w:tcPr>
            <w:tcW w:w="9772" w:type="dxa"/>
            <w:tcBorders/>
            <w:vAlign w:val="center"/>
          </w:tcPr>
          <w:p>
            <w:pPr>
              <w:pStyle w:val="TableContents"/>
              <w:bidi w:val="0"/>
              <w:spacing w:before="0" w:after="283"/>
              <w:jc w:val="both"/>
              <w:rPr/>
            </w:pPr>
            <w:r>
              <w:rPr/>
              <w:t>Represents shares directly held by Multipro Inc. The address of the principal business office of Multipro Inc. is 6315 W. Mesa Vista Ave., Las Vegas, NV 89118.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137</w:t>
            </w:r>
          </w:p>
        </w:tc>
        <w:tc>
          <w:tcPr>
            <w:tcW w:w="9772" w:type="dxa"/>
            <w:tcBorders/>
            <w:vAlign w:val="center"/>
          </w:tcPr>
          <w:p>
            <w:pPr>
              <w:pStyle w:val="TableContents"/>
              <w:bidi w:val="0"/>
              <w:spacing w:before="0" w:after="283"/>
              <w:jc w:val="both"/>
              <w:rPr/>
            </w:pPr>
            <w:r>
              <w:rPr/>
              <w:t>Represents shares directly held by Paul Hanson. The address of the principal business office of Paul Hanson is 300 N. Chief Garry Dr., Liberty Lake, WA 99019.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05" w:type="dxa"/>
        <w:jc w:val="left"/>
        <w:tblInd w:w="0" w:type="dxa"/>
        <w:tblLayout w:type="fixed"/>
        <w:tblCellMar>
          <w:top w:w="0" w:type="dxa"/>
          <w:left w:w="0" w:type="dxa"/>
          <w:bottom w:w="0" w:type="dxa"/>
          <w:right w:w="0" w:type="dxa"/>
        </w:tblCellMar>
      </w:tblPr>
      <w:tblGrid>
        <w:gridCol w:w="1670"/>
        <w:gridCol w:w="90"/>
        <w:gridCol w:w="160"/>
        <w:gridCol w:w="1060"/>
        <w:gridCol w:w="90"/>
        <w:gridCol w:w="90"/>
        <w:gridCol w:w="148"/>
        <w:gridCol w:w="982"/>
        <w:gridCol w:w="90"/>
        <w:gridCol w:w="90"/>
        <w:gridCol w:w="288"/>
        <w:gridCol w:w="932"/>
        <w:gridCol w:w="90"/>
        <w:gridCol w:w="90"/>
        <w:gridCol w:w="213"/>
        <w:gridCol w:w="692"/>
        <w:gridCol w:w="90"/>
        <w:gridCol w:w="90"/>
        <w:gridCol w:w="288"/>
        <w:gridCol w:w="932"/>
        <w:gridCol w:w="90"/>
        <w:gridCol w:w="90"/>
        <w:gridCol w:w="182"/>
        <w:gridCol w:w="948"/>
        <w:gridCol w:w="90"/>
        <w:gridCol w:w="90"/>
        <w:gridCol w:w="196"/>
        <w:gridCol w:w="1024"/>
        <w:gridCol w:w="90"/>
        <w:gridCol w:w="90"/>
        <w:gridCol w:w="213"/>
        <w:gridCol w:w="692"/>
        <w:gridCol w:w="135"/>
      </w:tblGrid>
      <w:tr>
        <w:trPr/>
        <w:tc>
          <w:tcPr>
            <w:tcW w:w="16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0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Owned</w:t>
            </w:r>
          </w:p>
        </w:tc>
        <w:tc>
          <w:tcPr>
            <w:tcW w:w="135" w:type="dxa"/>
            <w:tcBorders/>
            <w:vAlign w:val="center"/>
          </w:tcPr>
          <w:p>
            <w:pPr>
              <w:pStyle w:val="TableContents"/>
              <w:bidi w:val="0"/>
              <w:spacing w:before="0" w:after="283"/>
              <w:ind w:left="0" w:right="0" w:hanging="180"/>
              <w:jc w:val="center"/>
              <w:rPr/>
            </w:pPr>
            <w:r>
              <w:rPr/>
              <w:t> </w:t>
            </w:r>
          </w:p>
        </w:tc>
      </w:tr>
      <w:tr>
        <w:trPr/>
        <w:tc>
          <w:tcPr>
            <w:tcW w:w="16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vAlign w:val="center"/>
          </w:tcPr>
          <w:p>
            <w:pPr>
              <w:pStyle w:val="TableContents"/>
              <w:bidi w:val="0"/>
              <w:spacing w:before="0" w:after="283"/>
              <w:jc w:val="center"/>
              <w:rPr>
                <w:b/>
              </w:rPr>
            </w:pPr>
            <w:r>
              <w:rPr>
                <w:b/>
              </w:rPr>
              <w:t>After</w:t>
            </w:r>
          </w:p>
        </w:tc>
        <w:tc>
          <w:tcPr>
            <w:tcW w:w="135" w:type="dxa"/>
            <w:tcBorders/>
            <w:vAlign w:val="center"/>
          </w:tcPr>
          <w:p>
            <w:pPr>
              <w:pStyle w:val="TableContents"/>
              <w:bidi w:val="0"/>
              <w:spacing w:before="0" w:after="283"/>
              <w:jc w:val="center"/>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r>
              <w:rPr>
                <w:b/>
                <w:position w:val="8"/>
                <w:sz w:val="19"/>
              </w:rPr>
              <w:t>1</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Excaliber Holdings Inc.</w:t>
            </w:r>
            <w:r>
              <w:rPr>
                <w:position w:val="7"/>
                <w:sz w:val="16"/>
                <w:sz w:val="20"/>
              </w:rPr>
              <w:t>138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Leslie D. Penney</w:t>
            </w:r>
            <w:r>
              <w:rPr>
                <w:position w:val="7"/>
                <w:sz w:val="16"/>
                <w:sz w:val="20"/>
              </w:rPr>
              <w:t>139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Tatum Gale</w:t>
            </w:r>
            <w:r>
              <w:rPr>
                <w:position w:val="7"/>
                <w:sz w:val="16"/>
                <w:sz w:val="20"/>
              </w:rPr>
              <w:t>140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Kai Gale</w:t>
            </w:r>
            <w:r>
              <w:rPr>
                <w:position w:val="7"/>
                <w:sz w:val="16"/>
                <w:sz w:val="20"/>
              </w:rPr>
              <w:t>141</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Ryan Muckenthaler &amp; Tomasine Sessions JT Ten</w:t>
            </w:r>
            <w:r>
              <w:rPr>
                <w:position w:val="8"/>
                <w:sz w:val="19"/>
              </w:rPr>
              <w:t>142</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Great North Capital Corp.</w:t>
            </w:r>
            <w:r>
              <w:rPr>
                <w:position w:val="7"/>
                <w:sz w:val="16"/>
                <w:sz w:val="20"/>
              </w:rPr>
              <w:t>143</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Michael O’Dwyer</w:t>
            </w:r>
            <w:r>
              <w:rPr>
                <w:position w:val="7"/>
                <w:sz w:val="16"/>
                <w:sz w:val="20"/>
              </w:rPr>
              <w:t>144</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Zachery Nemec &amp; Carly Nemec JT Ten</w:t>
            </w:r>
            <w:r>
              <w:rPr>
                <w:position w:val="7"/>
                <w:sz w:val="16"/>
                <w:sz w:val="20"/>
              </w:rPr>
              <w:t>145</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Matthew Gaworski</w:t>
            </w:r>
            <w:r>
              <w:rPr>
                <w:position w:val="7"/>
                <w:sz w:val="16"/>
                <w:sz w:val="20"/>
              </w:rPr>
              <w:t>146</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Saumya Das</w:t>
            </w:r>
            <w:r>
              <w:rPr>
                <w:position w:val="7"/>
                <w:sz w:val="16"/>
                <w:sz w:val="20"/>
              </w:rPr>
              <w:t>147</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8,214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Rob Dunn</w:t>
            </w:r>
            <w:r>
              <w:rPr>
                <w:position w:val="7"/>
                <w:sz w:val="16"/>
                <w:sz w:val="20"/>
              </w:rPr>
              <w:t>148</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shd w:fill="FFFFFF" w:val="clear"/>
            <w:vAlign w:val="center"/>
          </w:tcPr>
          <w:p>
            <w:pPr>
              <w:pStyle w:val="TableContents"/>
              <w:bidi w:val="0"/>
              <w:spacing w:before="0" w:after="283"/>
              <w:jc w:val="left"/>
              <w:rPr>
                <w:sz w:val="20"/>
              </w:rPr>
            </w:pPr>
            <w:r>
              <w:rPr>
                <w:sz w:val="20"/>
              </w:rPr>
              <w:t>Patricia E. Dulaney</w:t>
            </w:r>
            <w:r>
              <w:rPr>
                <w:position w:val="7"/>
                <w:sz w:val="16"/>
                <w:sz w:val="20"/>
              </w:rPr>
              <w:t>149</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Jeremy Terman</w:t>
            </w:r>
            <w:r>
              <w:rPr>
                <w:position w:val="7"/>
                <w:sz w:val="16"/>
                <w:sz w:val="20"/>
              </w:rPr>
              <w:t>150</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138</w:t>
            </w:r>
          </w:p>
        </w:tc>
        <w:tc>
          <w:tcPr>
            <w:tcW w:w="9772" w:type="dxa"/>
            <w:tcBorders/>
            <w:vAlign w:val="center"/>
          </w:tcPr>
          <w:p>
            <w:pPr>
              <w:pStyle w:val="TableContents"/>
              <w:bidi w:val="0"/>
              <w:spacing w:before="0" w:after="283"/>
              <w:jc w:val="both"/>
              <w:rPr/>
            </w:pPr>
            <w:r>
              <w:rPr/>
              <w:t>Represents shares directly held by Excaliber Holdings, Inc. Daniel Wright is the controlling shareholder of Excaliber Holdings, Inc. The address of the principal business office of Excaliber Holdings, Inc. is 4866 N. Maidstone Pl,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139</w:t>
            </w:r>
          </w:p>
        </w:tc>
        <w:tc>
          <w:tcPr>
            <w:tcW w:w="9772" w:type="dxa"/>
            <w:tcBorders/>
            <w:vAlign w:val="center"/>
          </w:tcPr>
          <w:p>
            <w:pPr>
              <w:pStyle w:val="TableContents"/>
              <w:bidi w:val="0"/>
              <w:spacing w:before="0" w:after="283"/>
              <w:jc w:val="both"/>
              <w:rPr/>
            </w:pPr>
            <w:r>
              <w:rPr/>
              <w:t>Represents shares directly held by Leslie D. Penney. The address of the principal business office of Leslie D. Penney is 34 S. Mesa Vista Dr.,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140</w:t>
            </w:r>
          </w:p>
        </w:tc>
        <w:tc>
          <w:tcPr>
            <w:tcW w:w="9772" w:type="dxa"/>
            <w:tcBorders/>
            <w:vAlign w:val="center"/>
          </w:tcPr>
          <w:p>
            <w:pPr>
              <w:pStyle w:val="TableContents"/>
              <w:bidi w:val="0"/>
              <w:spacing w:before="0" w:after="283"/>
              <w:jc w:val="both"/>
              <w:rPr/>
            </w:pPr>
            <w:r>
              <w:rPr/>
              <w:t>Represents shares directly held by Tatum Gale. The address of the principal business office of Tatum Gale is 11047 N. 52</w:t>
            </w:r>
            <w:r>
              <w:rPr>
                <w:position w:val="8"/>
                <w:sz w:val="19"/>
              </w:rPr>
              <w:t>nd</w:t>
            </w:r>
            <w:r>
              <w:rPr/>
              <w:t xml:space="preserve"> St.,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141</w:t>
            </w:r>
          </w:p>
        </w:tc>
        <w:tc>
          <w:tcPr>
            <w:tcW w:w="9772" w:type="dxa"/>
            <w:tcBorders/>
            <w:vAlign w:val="center"/>
          </w:tcPr>
          <w:p>
            <w:pPr>
              <w:pStyle w:val="TableContents"/>
              <w:bidi w:val="0"/>
              <w:spacing w:before="0" w:after="283"/>
              <w:jc w:val="both"/>
              <w:rPr/>
            </w:pPr>
            <w:r>
              <w:rPr/>
              <w:t>Represents shares directly held by Kai Gale. The address of the principal business office of Kai Gale is 11047 N. 52</w:t>
            </w:r>
            <w:r>
              <w:rPr>
                <w:position w:val="8"/>
                <w:sz w:val="19"/>
              </w:rPr>
              <w:t>nd</w:t>
            </w:r>
            <w:r>
              <w:rPr/>
              <w:t xml:space="preserve"> St., Scottsdale, AZ 85254.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142</w:t>
            </w:r>
          </w:p>
        </w:tc>
        <w:tc>
          <w:tcPr>
            <w:tcW w:w="9772" w:type="dxa"/>
            <w:tcBorders/>
            <w:vAlign w:val="center"/>
          </w:tcPr>
          <w:p>
            <w:pPr>
              <w:pStyle w:val="TableContents"/>
              <w:bidi w:val="0"/>
              <w:spacing w:before="0" w:after="283"/>
              <w:jc w:val="both"/>
              <w:rPr/>
            </w:pPr>
            <w:r>
              <w:rPr/>
              <w:t>Represents shares directly held by Ryan Muckenthaler &amp; Tomasine Sessions JT Ten. The address of the principal business office of Ryan Muckenthaler &amp; Tomasine Sessions JT Ten is 1676 S. Blacksmith Pl,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143</w:t>
            </w:r>
          </w:p>
        </w:tc>
        <w:tc>
          <w:tcPr>
            <w:tcW w:w="9772" w:type="dxa"/>
            <w:tcBorders/>
            <w:vAlign w:val="center"/>
          </w:tcPr>
          <w:p>
            <w:pPr>
              <w:pStyle w:val="TableContents"/>
              <w:bidi w:val="0"/>
              <w:spacing w:before="0" w:after="283"/>
              <w:jc w:val="both"/>
              <w:rPr/>
            </w:pPr>
            <w:r>
              <w:rPr/>
              <w:t>Represents shares directly held by Great North Capital Corp. The address of the principal business office of Great North Capital Corp. is 4471 Dean Martin Dr., Unit 3102, Las Vegas, NV 89103.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144</w:t>
            </w:r>
          </w:p>
        </w:tc>
        <w:tc>
          <w:tcPr>
            <w:tcW w:w="9772" w:type="dxa"/>
            <w:tcBorders/>
            <w:vAlign w:val="center"/>
          </w:tcPr>
          <w:p>
            <w:pPr>
              <w:pStyle w:val="TableContents"/>
              <w:bidi w:val="0"/>
              <w:spacing w:before="0" w:after="283"/>
              <w:jc w:val="both"/>
              <w:rPr/>
            </w:pPr>
            <w:r>
              <w:rPr/>
              <w:t>Represents shares directly held by Michael O’Dwyer. The address of the principal business office of Michael O’Dwyer is 7532 Toscana Blvd, Unit 524, Orlando, FL 32819.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145</w:t>
            </w:r>
          </w:p>
        </w:tc>
        <w:tc>
          <w:tcPr>
            <w:tcW w:w="9772" w:type="dxa"/>
            <w:tcBorders/>
            <w:vAlign w:val="center"/>
          </w:tcPr>
          <w:p>
            <w:pPr>
              <w:pStyle w:val="TableContents"/>
              <w:bidi w:val="0"/>
              <w:spacing w:before="0" w:after="283"/>
              <w:jc w:val="both"/>
              <w:rPr/>
            </w:pPr>
            <w:r>
              <w:rPr/>
              <w:t>Represents shares directly held by Zachery Nemec &amp; Carly Nemec JT Ten. The address of the principal business office of Zachery Nemec &amp; Carly Nemec JT Ten is 2416 W. Coneflower St., Nampa, ID 83686.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146</w:t>
            </w:r>
          </w:p>
        </w:tc>
        <w:tc>
          <w:tcPr>
            <w:tcW w:w="9772" w:type="dxa"/>
            <w:tcBorders/>
            <w:vAlign w:val="center"/>
          </w:tcPr>
          <w:p>
            <w:pPr>
              <w:pStyle w:val="TableContents"/>
              <w:bidi w:val="0"/>
              <w:spacing w:before="0" w:after="283"/>
              <w:jc w:val="both"/>
              <w:rPr/>
            </w:pPr>
            <w:r>
              <w:rPr/>
              <w:t>Represents shares directly held by Matthew Gaworski. The address of the principal business office of Matthew Gaworski is 11013 N. Pinto Dr., Fountain Hills, AZ 85268.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147</w:t>
            </w:r>
          </w:p>
        </w:tc>
        <w:tc>
          <w:tcPr>
            <w:tcW w:w="9772" w:type="dxa"/>
            <w:tcBorders/>
            <w:vAlign w:val="center"/>
          </w:tcPr>
          <w:p>
            <w:pPr>
              <w:pStyle w:val="TableContents"/>
              <w:bidi w:val="0"/>
              <w:spacing w:before="0" w:after="283"/>
              <w:jc w:val="both"/>
              <w:rPr/>
            </w:pPr>
            <w:r>
              <w:rPr/>
              <w:t>Represents shares directly held by Saumya Das. The address of the principal business office of Saumya Das is 42205 Dove Wing Ct., Ashburn, VA 20148.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148</w:t>
            </w:r>
          </w:p>
        </w:tc>
        <w:tc>
          <w:tcPr>
            <w:tcW w:w="9772" w:type="dxa"/>
            <w:tcBorders/>
            <w:vAlign w:val="center"/>
          </w:tcPr>
          <w:p>
            <w:pPr>
              <w:pStyle w:val="TableContents"/>
              <w:bidi w:val="0"/>
              <w:spacing w:before="0" w:after="283"/>
              <w:jc w:val="both"/>
              <w:rPr/>
            </w:pPr>
            <w:r>
              <w:rPr/>
              <w:t>Represents shares directly held by Rob Dunn. The address of the principal business office of Rob Dunn is 651 East Gentlewind Court,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149</w:t>
            </w:r>
          </w:p>
        </w:tc>
        <w:tc>
          <w:tcPr>
            <w:tcW w:w="9772" w:type="dxa"/>
            <w:tcBorders/>
            <w:vAlign w:val="center"/>
          </w:tcPr>
          <w:p>
            <w:pPr>
              <w:pStyle w:val="TableContents"/>
              <w:bidi w:val="0"/>
              <w:spacing w:before="0" w:after="283"/>
              <w:jc w:val="both"/>
              <w:rPr/>
            </w:pPr>
            <w:r>
              <w:rPr/>
              <w:t>Represents shares directly held by Patricia E. Dulaney. The address of the principal business office of Patricia E. Dulaney is 3443 Modena Circle, Las Vegas, NV 89120.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150</w:t>
            </w:r>
          </w:p>
        </w:tc>
        <w:tc>
          <w:tcPr>
            <w:tcW w:w="9772" w:type="dxa"/>
            <w:tcBorders/>
            <w:vAlign w:val="center"/>
          </w:tcPr>
          <w:p>
            <w:pPr>
              <w:pStyle w:val="TableContents"/>
              <w:bidi w:val="0"/>
              <w:spacing w:before="0" w:after="283"/>
              <w:jc w:val="both"/>
              <w:rPr/>
            </w:pPr>
            <w:r>
              <w:rPr/>
              <w:t>Represents shares directly held by Jeremy Terman. The address of the principal business office of Jeremy Terman is 1201 West 86</w:t>
            </w:r>
            <w:r>
              <w:rPr>
                <w:position w:val="8"/>
                <w:sz w:val="19"/>
              </w:rPr>
              <w:t>th</w:t>
            </w:r>
            <w:r>
              <w:rPr/>
              <w:t xml:space="preserve"> St., Kansas City, MO 64114.</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1415"/>
        <w:gridCol w:w="90"/>
        <w:gridCol w:w="159"/>
        <w:gridCol w:w="911"/>
        <w:gridCol w:w="90"/>
        <w:gridCol w:w="90"/>
        <w:gridCol w:w="141"/>
        <w:gridCol w:w="809"/>
        <w:gridCol w:w="90"/>
        <w:gridCol w:w="90"/>
        <w:gridCol w:w="253"/>
        <w:gridCol w:w="817"/>
        <w:gridCol w:w="90"/>
        <w:gridCol w:w="90"/>
        <w:gridCol w:w="181"/>
        <w:gridCol w:w="589"/>
        <w:gridCol w:w="90"/>
        <w:gridCol w:w="90"/>
        <w:gridCol w:w="253"/>
        <w:gridCol w:w="817"/>
        <w:gridCol w:w="90"/>
        <w:gridCol w:w="90"/>
        <w:gridCol w:w="224"/>
        <w:gridCol w:w="726"/>
        <w:gridCol w:w="90"/>
        <w:gridCol w:w="90"/>
        <w:gridCol w:w="253"/>
        <w:gridCol w:w="817"/>
        <w:gridCol w:w="90"/>
        <w:gridCol w:w="90"/>
        <w:gridCol w:w="181"/>
        <w:gridCol w:w="589"/>
        <w:gridCol w:w="135"/>
      </w:tblGrid>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Cucchiaro</w:t>
            </w:r>
            <w:r>
              <w:rPr>
                <w:rFonts w:ascii="Times New Roman;Times;Serif" w:hAnsi="Times New Roman;Times;Serif"/>
                <w:position w:val="7"/>
                <w:sz w:val="16"/>
                <w:sz w:val="20"/>
              </w:rPr>
              <w:t>151</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Megan Warren</w:t>
            </w:r>
            <w:r>
              <w:rPr>
                <w:rFonts w:ascii="Times New Roman;Times;Serif" w:hAnsi="Times New Roman;Times;Serif"/>
                <w:position w:val="7"/>
                <w:sz w:val="16"/>
                <w:sz w:val="20"/>
              </w:rPr>
              <w:t>152</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Scott Spraker</w:t>
            </w:r>
            <w:r>
              <w:rPr>
                <w:rFonts w:ascii="Times New Roman;Times;Serif" w:hAnsi="Times New Roman;Times;Serif"/>
                <w:position w:val="7"/>
                <w:sz w:val="16"/>
                <w:sz w:val="20"/>
              </w:rPr>
              <w:t>153</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 Dickson</w:t>
            </w:r>
            <w:r>
              <w:rPr>
                <w:rFonts w:ascii="Times New Roman;Times;Serif" w:hAnsi="Times New Roman;Times;Serif"/>
                <w:position w:val="7"/>
                <w:sz w:val="16"/>
                <w:sz w:val="20"/>
              </w:rPr>
              <w:t>154</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 E. Dressen Churchill</w:t>
            </w:r>
            <w:r>
              <w:rPr>
                <w:rFonts w:ascii="Times New Roman;Times;Serif" w:hAnsi="Times New Roman;Times;Serif"/>
                <w:position w:val="7"/>
                <w:sz w:val="16"/>
                <w:sz w:val="20"/>
              </w:rPr>
              <w:t>155</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Joel Fish</w:t>
            </w:r>
            <w:r>
              <w:rPr>
                <w:rFonts w:ascii="Times New Roman;Times;Serif" w:hAnsi="Times New Roman;Times;Serif"/>
                <w:position w:val="7"/>
                <w:sz w:val="16"/>
                <w:sz w:val="20"/>
              </w:rPr>
              <w:t>156</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Spencer Lee Smith</w:t>
            </w:r>
            <w:r>
              <w:rPr>
                <w:rFonts w:ascii="Times New Roman;Times;Serif" w:hAnsi="Times New Roman;Times;Serif"/>
                <w:position w:val="7"/>
                <w:sz w:val="16"/>
                <w:sz w:val="20"/>
              </w:rPr>
              <w:t>157</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Paul Esposito</w:t>
            </w:r>
            <w:r>
              <w:rPr>
                <w:rFonts w:ascii="Times New Roman;Times;Serif" w:hAnsi="Times New Roman;Times;Serif"/>
                <w:position w:val="7"/>
                <w:sz w:val="16"/>
                <w:sz w:val="20"/>
              </w:rPr>
              <w:t>158</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Samual Mallane</w:t>
            </w:r>
            <w:r>
              <w:rPr>
                <w:rFonts w:ascii="Times New Roman;Times;Serif" w:hAnsi="Times New Roman;Times;Serif"/>
                <w:position w:val="7"/>
                <w:sz w:val="16"/>
                <w:sz w:val="20"/>
              </w:rPr>
              <w:t>159</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Wright</w:t>
            </w:r>
            <w:r>
              <w:rPr>
                <w:rFonts w:ascii="Times New Roman;Times;Serif" w:hAnsi="Times New Roman;Times;Serif"/>
                <w:position w:val="7"/>
                <w:sz w:val="16"/>
                <w:sz w:val="20"/>
              </w:rPr>
              <w:t>160</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Alejandro Salinas</w:t>
            </w:r>
            <w:r>
              <w:rPr>
                <w:rFonts w:ascii="Times New Roman;Times;Serif" w:hAnsi="Times New Roman;Times;Serif"/>
                <w:position w:val="7"/>
                <w:sz w:val="16"/>
                <w:sz w:val="20"/>
              </w:rPr>
              <w:t>161</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Elisa R. Bilbao</w:t>
            </w:r>
            <w:r>
              <w:rPr>
                <w:rFonts w:ascii="Times New Roman;Times;Serif" w:hAnsi="Times New Roman;Times;Serif"/>
                <w:position w:val="7"/>
                <w:sz w:val="16"/>
                <w:sz w:val="20"/>
              </w:rPr>
              <w:t>162</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Boquette</w:t>
            </w:r>
            <w:r>
              <w:rPr>
                <w:rFonts w:ascii="Times New Roman;Times;Serif" w:hAnsi="Times New Roman;Times;Serif"/>
                <w:position w:val="7"/>
                <w:sz w:val="16"/>
                <w:sz w:val="20"/>
              </w:rPr>
              <w:t>163</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151</w:t>
            </w:r>
          </w:p>
        </w:tc>
        <w:tc>
          <w:tcPr>
            <w:tcW w:w="9772" w:type="dxa"/>
            <w:tcBorders/>
            <w:vAlign w:val="center"/>
          </w:tcPr>
          <w:p>
            <w:pPr>
              <w:pStyle w:val="TableContents"/>
              <w:bidi w:val="0"/>
              <w:spacing w:before="0" w:after="283"/>
              <w:jc w:val="both"/>
              <w:rPr/>
            </w:pPr>
            <w:r>
              <w:rPr/>
              <w:t>Represents shares directly held by Robert Cucchiaro. The address of the principal business office of Robert Cucchiaro is 360 W. Back Forty Dr., Eagle, ID 83616.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152</w:t>
            </w:r>
          </w:p>
        </w:tc>
        <w:tc>
          <w:tcPr>
            <w:tcW w:w="9772" w:type="dxa"/>
            <w:tcBorders/>
            <w:vAlign w:val="center"/>
          </w:tcPr>
          <w:p>
            <w:pPr>
              <w:pStyle w:val="TableContents"/>
              <w:bidi w:val="0"/>
              <w:spacing w:before="0" w:after="283"/>
              <w:jc w:val="both"/>
              <w:rPr/>
            </w:pPr>
            <w:r>
              <w:rPr/>
              <w:t>Represents shares directly held by Megan Warren. The address of the principal business office of Megan Warren is 3034 West Central Blvd., Cambridge, ID 83610.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153</w:t>
            </w:r>
          </w:p>
        </w:tc>
        <w:tc>
          <w:tcPr>
            <w:tcW w:w="9772" w:type="dxa"/>
            <w:tcBorders/>
            <w:vAlign w:val="center"/>
          </w:tcPr>
          <w:p>
            <w:pPr>
              <w:pStyle w:val="TableContents"/>
              <w:bidi w:val="0"/>
              <w:spacing w:before="0" w:after="283"/>
              <w:jc w:val="both"/>
              <w:rPr/>
            </w:pPr>
            <w:r>
              <w:rPr/>
              <w:t>Represents shares directly held by Kenneth Scott Spraker. The address of the principal business office of Kenneth Scott Spraker is 294 E. Whitespur St., Meridian, ID 83642.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154</w:t>
            </w:r>
          </w:p>
        </w:tc>
        <w:tc>
          <w:tcPr>
            <w:tcW w:w="9772" w:type="dxa"/>
            <w:tcBorders/>
            <w:vAlign w:val="center"/>
          </w:tcPr>
          <w:p>
            <w:pPr>
              <w:pStyle w:val="TableContents"/>
              <w:bidi w:val="0"/>
              <w:spacing w:before="0" w:after="283"/>
              <w:jc w:val="both"/>
              <w:rPr/>
            </w:pPr>
            <w:r>
              <w:rPr/>
              <w:t>Represents shares directly held by Rob Dickson. The address of the principal business office of Rob Dickson is 2434 East Garber,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155</w:t>
            </w:r>
          </w:p>
        </w:tc>
        <w:tc>
          <w:tcPr>
            <w:tcW w:w="9772" w:type="dxa"/>
            <w:tcBorders/>
            <w:vAlign w:val="center"/>
          </w:tcPr>
          <w:p>
            <w:pPr>
              <w:pStyle w:val="TableContents"/>
              <w:bidi w:val="0"/>
              <w:spacing w:before="0" w:after="283"/>
              <w:jc w:val="both"/>
              <w:rPr/>
            </w:pPr>
            <w:r>
              <w:rPr/>
              <w:t>Represents shares directly held by Mari E. Dressen Churchill. The address of the principal business office of Mari E. Dressen Churchill is 967 E. Parkcenter #302, Boise, ID 83706.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156</w:t>
            </w:r>
          </w:p>
        </w:tc>
        <w:tc>
          <w:tcPr>
            <w:tcW w:w="9772" w:type="dxa"/>
            <w:tcBorders/>
            <w:vAlign w:val="center"/>
          </w:tcPr>
          <w:p>
            <w:pPr>
              <w:pStyle w:val="TableContents"/>
              <w:bidi w:val="0"/>
              <w:spacing w:before="0" w:after="283"/>
              <w:jc w:val="both"/>
              <w:rPr/>
            </w:pPr>
            <w:r>
              <w:rPr/>
              <w:t>Represents shares directly held by Joel Fish. The address of the principal business office of Joel Fish is 4931 Morninggale Way, Boise, ID 83713.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157</w:t>
            </w:r>
          </w:p>
        </w:tc>
        <w:tc>
          <w:tcPr>
            <w:tcW w:w="9772" w:type="dxa"/>
            <w:tcBorders/>
            <w:vAlign w:val="center"/>
          </w:tcPr>
          <w:p>
            <w:pPr>
              <w:pStyle w:val="TableContents"/>
              <w:bidi w:val="0"/>
              <w:spacing w:before="0" w:after="283"/>
              <w:jc w:val="both"/>
              <w:rPr/>
            </w:pPr>
            <w:r>
              <w:rPr/>
              <w:t>Represents shares directly held by Spencer Lee Smith. The address of the principal business office of Spencer Lee Smith is 3200 Birch St., Baker City, OR 97814.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158</w:t>
            </w:r>
          </w:p>
        </w:tc>
        <w:tc>
          <w:tcPr>
            <w:tcW w:w="9772" w:type="dxa"/>
            <w:tcBorders/>
            <w:vAlign w:val="center"/>
          </w:tcPr>
          <w:p>
            <w:pPr>
              <w:pStyle w:val="TableContents"/>
              <w:bidi w:val="0"/>
              <w:spacing w:before="0" w:after="283"/>
              <w:jc w:val="both"/>
              <w:rPr/>
            </w:pPr>
            <w:r>
              <w:rPr/>
              <w:t>Represents shares directly held by Adam Paul Esposito. The address of the principal business office of Adam Paul Esposito is 11331 W. Brandi Ln, Nampa, ID 83651.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159</w:t>
            </w:r>
          </w:p>
        </w:tc>
        <w:tc>
          <w:tcPr>
            <w:tcW w:w="9772" w:type="dxa"/>
            <w:tcBorders/>
            <w:vAlign w:val="center"/>
          </w:tcPr>
          <w:p>
            <w:pPr>
              <w:pStyle w:val="TableContents"/>
              <w:bidi w:val="0"/>
              <w:spacing w:before="0" w:after="283"/>
              <w:jc w:val="both"/>
              <w:rPr/>
            </w:pPr>
            <w:r>
              <w:rPr/>
              <w:t>Represents shares directly held by Samuel Mallane. The address of the principal business office of Samuel Mallane is 2324 W. Ona St., Boise, ID 83705.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160</w:t>
            </w:r>
          </w:p>
        </w:tc>
        <w:tc>
          <w:tcPr>
            <w:tcW w:w="9772" w:type="dxa"/>
            <w:tcBorders/>
            <w:vAlign w:val="center"/>
          </w:tcPr>
          <w:p>
            <w:pPr>
              <w:pStyle w:val="TableContents"/>
              <w:bidi w:val="0"/>
              <w:spacing w:before="0" w:after="283"/>
              <w:jc w:val="both"/>
              <w:rPr/>
            </w:pPr>
            <w:r>
              <w:rPr/>
              <w:t>Represents shares directly held by Michael Wright. The address of the principal business office of Michael Wright is 5683 S. Alyssum Pl., Boise, ID 83716.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161</w:t>
            </w:r>
          </w:p>
        </w:tc>
        <w:tc>
          <w:tcPr>
            <w:tcW w:w="9772" w:type="dxa"/>
            <w:tcBorders/>
            <w:vAlign w:val="center"/>
          </w:tcPr>
          <w:p>
            <w:pPr>
              <w:pStyle w:val="TableContents"/>
              <w:bidi w:val="0"/>
              <w:spacing w:before="0" w:after="283"/>
              <w:jc w:val="both"/>
              <w:rPr/>
            </w:pPr>
            <w:r>
              <w:rPr/>
              <w:t>Represents shares directly held by Alejandro Salinas. The address of the principal business office of Alejandro Salinas is 3428 W. Star Hollow Dr., Meridian, ID 83646.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162</w:t>
            </w:r>
          </w:p>
        </w:tc>
        <w:tc>
          <w:tcPr>
            <w:tcW w:w="9772" w:type="dxa"/>
            <w:tcBorders/>
            <w:vAlign w:val="center"/>
          </w:tcPr>
          <w:p>
            <w:pPr>
              <w:pStyle w:val="TableContents"/>
              <w:bidi w:val="0"/>
              <w:spacing w:before="0" w:after="283"/>
              <w:jc w:val="both"/>
              <w:rPr/>
            </w:pPr>
            <w:r>
              <w:rPr/>
              <w:t>Represents shares directly held by Elisa Bilbao. The address of the principal business office of Elisa Bilbao is 3597 Cow Creek Rd., Cambridge, ID 83610.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163</w:t>
            </w:r>
          </w:p>
        </w:tc>
        <w:tc>
          <w:tcPr>
            <w:tcW w:w="9772" w:type="dxa"/>
            <w:tcBorders/>
            <w:vAlign w:val="center"/>
          </w:tcPr>
          <w:p>
            <w:pPr>
              <w:pStyle w:val="TableContents"/>
              <w:bidi w:val="0"/>
              <w:spacing w:before="0" w:after="283"/>
              <w:jc w:val="both"/>
              <w:rPr/>
            </w:pPr>
            <w:r>
              <w:rPr/>
              <w:t>Represents shares directly held by Christopher Boquette. The address of the principal business office of Christopher Boquette is 7889 S. Indigo Ridge Ave., Boise, ID 83716.</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1415"/>
        <w:gridCol w:w="90"/>
        <w:gridCol w:w="134"/>
        <w:gridCol w:w="936"/>
        <w:gridCol w:w="90"/>
        <w:gridCol w:w="90"/>
        <w:gridCol w:w="119"/>
        <w:gridCol w:w="831"/>
        <w:gridCol w:w="90"/>
        <w:gridCol w:w="90"/>
        <w:gridCol w:w="253"/>
        <w:gridCol w:w="817"/>
        <w:gridCol w:w="90"/>
        <w:gridCol w:w="90"/>
        <w:gridCol w:w="181"/>
        <w:gridCol w:w="589"/>
        <w:gridCol w:w="90"/>
        <w:gridCol w:w="90"/>
        <w:gridCol w:w="253"/>
        <w:gridCol w:w="817"/>
        <w:gridCol w:w="90"/>
        <w:gridCol w:w="90"/>
        <w:gridCol w:w="224"/>
        <w:gridCol w:w="726"/>
        <w:gridCol w:w="90"/>
        <w:gridCol w:w="90"/>
        <w:gridCol w:w="253"/>
        <w:gridCol w:w="817"/>
        <w:gridCol w:w="90"/>
        <w:gridCol w:w="90"/>
        <w:gridCol w:w="181"/>
        <w:gridCol w:w="589"/>
        <w:gridCol w:w="135"/>
      </w:tblGrid>
      <w:tr>
        <w:trPr/>
        <w:tc>
          <w:tcPr>
            <w:tcW w:w="1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Michelmore</w:t>
            </w:r>
            <w:r>
              <w:rPr>
                <w:rFonts w:ascii="Times New Roman;Times;Serif" w:hAnsi="Times New Roman;Times;Serif"/>
                <w:position w:val="7"/>
                <w:sz w:val="16"/>
                <w:sz w:val="20"/>
              </w:rPr>
              <w:t>164</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YanQiang Lu</w:t>
            </w:r>
            <w:r>
              <w:rPr>
                <w:rFonts w:ascii="Times New Roman;Times;Serif" w:hAnsi="Times New Roman;Times;Serif"/>
                <w:position w:val="7"/>
                <w:sz w:val="16"/>
                <w:sz w:val="20"/>
              </w:rPr>
              <w:t>165</w:t>
            </w:r>
          </w:p>
        </w:tc>
        <w:tc>
          <w:tcPr>
            <w:tcW w:w="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Najeeb Ahmed</w:t>
            </w:r>
            <w:r>
              <w:rPr>
                <w:rFonts w:ascii="Times New Roman;Times;Serif" w:hAnsi="Times New Roman;Times;Serif"/>
                <w:position w:val="7"/>
                <w:sz w:val="16"/>
                <w:sz w:val="20"/>
              </w:rPr>
              <w:t>166</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Weier</w:t>
            </w:r>
            <w:r>
              <w:rPr>
                <w:rFonts w:ascii="Times New Roman;Times;Serif" w:hAnsi="Times New Roman;Times;Serif"/>
                <w:position w:val="7"/>
                <w:sz w:val="16"/>
                <w:sz w:val="20"/>
              </w:rPr>
              <w:t>167</w:t>
            </w:r>
          </w:p>
        </w:tc>
        <w:tc>
          <w:tcPr>
            <w:tcW w:w="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StartUpNV</w:t>
            </w:r>
            <w:r>
              <w:rPr>
                <w:rFonts w:ascii="Times New Roman;Times;Serif" w:hAnsi="Times New Roman;Times;Serif"/>
                <w:position w:val="7"/>
                <w:sz w:val="16"/>
                <w:sz w:val="20"/>
              </w:rPr>
              <w:t>168</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Absolute Return Master Account, L.P.</w:t>
            </w:r>
            <w:r>
              <w:rPr>
                <w:rFonts w:ascii="Times New Roman;Times;Serif" w:hAnsi="Times New Roman;Times;Serif"/>
                <w:position w:val="7"/>
                <w:sz w:val="16"/>
                <w:sz w:val="20"/>
              </w:rPr>
              <w:t>169</w:t>
            </w:r>
          </w:p>
        </w:tc>
        <w:tc>
          <w:tcPr>
            <w:tcW w:w="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Diversified Arbitrage Fund, a series of AQR Funds</w:t>
            </w:r>
            <w:r>
              <w:rPr>
                <w:rFonts w:ascii="Times New Roman;Times;Serif" w:hAnsi="Times New Roman;Times;Serif"/>
                <w:position w:val="7"/>
                <w:sz w:val="16"/>
                <w:sz w:val="20"/>
              </w:rPr>
              <w:t>170</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AQR Global Alternative Investment Offshore Fund, L.P.</w:t>
            </w:r>
            <w:r>
              <w:rPr>
                <w:rFonts w:ascii="Times New Roman;Times;Serif" w:hAnsi="Times New Roman;Times;Serif"/>
                <w:position w:val="7"/>
                <w:sz w:val="16"/>
                <w:sz w:val="20"/>
              </w:rPr>
              <w:t>171</w:t>
            </w:r>
          </w:p>
        </w:tc>
        <w:tc>
          <w:tcPr>
            <w:tcW w:w="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AQR TA Global Alpha Fund, L.P. </w:t>
            </w:r>
            <w:r>
              <w:rPr>
                <w:rFonts w:ascii="Times New Roman;Times;Serif" w:hAnsi="Times New Roman;Times;Serif"/>
                <w:position w:val="7"/>
                <w:sz w:val="16"/>
                <w:sz w:val="20"/>
              </w:rPr>
              <w:t>172</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Asif Ramji</w:t>
            </w:r>
            <w:r>
              <w:rPr>
                <w:rFonts w:ascii="Times New Roman;Times;Serif" w:hAnsi="Times New Roman;Times;Serif"/>
                <w:position w:val="7"/>
                <w:sz w:val="16"/>
                <w:sz w:val="20"/>
              </w:rPr>
              <w:t>173</w:t>
            </w:r>
          </w:p>
        </w:tc>
        <w:tc>
          <w:tcPr>
            <w:tcW w:w="9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49,501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49,501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ASK, LLC</w:t>
            </w:r>
            <w:r>
              <w:rPr>
                <w:rFonts w:ascii="Times New Roman;Times;Serif" w:hAnsi="Times New Roman;Times;Serif"/>
                <w:position w:val="7"/>
                <w:sz w:val="16"/>
                <w:sz w:val="20"/>
              </w:rPr>
              <w:t>174</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164</w:t>
            </w:r>
          </w:p>
        </w:tc>
        <w:tc>
          <w:tcPr>
            <w:tcW w:w="9772" w:type="dxa"/>
            <w:tcBorders/>
            <w:vAlign w:val="center"/>
          </w:tcPr>
          <w:p>
            <w:pPr>
              <w:pStyle w:val="TableContents"/>
              <w:bidi w:val="0"/>
              <w:spacing w:before="0" w:after="283"/>
              <w:jc w:val="both"/>
              <w:rPr/>
            </w:pPr>
            <w:r>
              <w:rPr/>
              <w:t>Represents shares directly held by John Michelmore. The address of the principal business office of John Michelmore is 2749 Leolota Way, Carmichael, CA 95608.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165</w:t>
            </w:r>
          </w:p>
        </w:tc>
        <w:tc>
          <w:tcPr>
            <w:tcW w:w="9772" w:type="dxa"/>
            <w:tcBorders/>
            <w:vAlign w:val="center"/>
          </w:tcPr>
          <w:p>
            <w:pPr>
              <w:pStyle w:val="TableContents"/>
              <w:bidi w:val="0"/>
              <w:spacing w:before="0" w:after="283"/>
              <w:jc w:val="both"/>
              <w:rPr/>
            </w:pPr>
            <w:r>
              <w:rPr/>
              <w:t>Represents shares directly held by YanQiang Lu. The address of the principal business office of YanQiang Lu is 11838 Bragno Ct., Las Vegas, NV 89138.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166</w:t>
            </w:r>
          </w:p>
        </w:tc>
        <w:tc>
          <w:tcPr>
            <w:tcW w:w="9772" w:type="dxa"/>
            <w:tcBorders/>
            <w:vAlign w:val="center"/>
          </w:tcPr>
          <w:p>
            <w:pPr>
              <w:pStyle w:val="TableContents"/>
              <w:bidi w:val="0"/>
              <w:spacing w:before="0" w:after="283"/>
              <w:jc w:val="both"/>
              <w:rPr/>
            </w:pPr>
            <w:r>
              <w:rPr/>
              <w:t>Represents shares directly held by Najeeb Ahmed. The address of the principal business office of Najeeb Ahmed is 425 S. Secratariat Dr., Springfield, OH 45503.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167</w:t>
            </w:r>
          </w:p>
        </w:tc>
        <w:tc>
          <w:tcPr>
            <w:tcW w:w="9772" w:type="dxa"/>
            <w:tcBorders/>
            <w:vAlign w:val="center"/>
          </w:tcPr>
          <w:p>
            <w:pPr>
              <w:pStyle w:val="TableContents"/>
              <w:bidi w:val="0"/>
              <w:spacing w:before="0" w:after="283"/>
              <w:jc w:val="both"/>
              <w:rPr/>
            </w:pPr>
            <w:r>
              <w:rPr/>
              <w:t>Represents shares directly held by Jeffrey Weier. The address of the principal business office of Jeffrey Weier is 148 N. Harding Rd., Columbus, OH 43209.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168</w:t>
            </w:r>
          </w:p>
        </w:tc>
        <w:tc>
          <w:tcPr>
            <w:tcW w:w="9772" w:type="dxa"/>
            <w:tcBorders/>
            <w:vAlign w:val="center"/>
          </w:tcPr>
          <w:p>
            <w:pPr>
              <w:pStyle w:val="TableContents"/>
              <w:bidi w:val="0"/>
              <w:spacing w:before="0" w:after="283"/>
              <w:jc w:val="both"/>
              <w:rPr/>
            </w:pPr>
            <w:r>
              <w:rPr/>
              <w:t>Represents shares directly held by StartUpNV. The address of the principal business office of StartUpNV is 450 Sinclair St., Reno, NV 89503.</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169</w:t>
            </w:r>
          </w:p>
        </w:tc>
        <w:tc>
          <w:tcPr>
            <w:tcW w:w="98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170</w:t>
            </w:r>
          </w:p>
        </w:tc>
        <w:tc>
          <w:tcPr>
            <w:tcW w:w="98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171</w:t>
            </w:r>
          </w:p>
        </w:tc>
        <w:tc>
          <w:tcPr>
            <w:tcW w:w="98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172</w:t>
            </w:r>
          </w:p>
        </w:tc>
        <w:tc>
          <w:tcPr>
            <w:tcW w:w="98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173</w:t>
            </w:r>
          </w:p>
        </w:tc>
        <w:tc>
          <w:tcPr>
            <w:tcW w:w="9772" w:type="dxa"/>
            <w:tcBorders/>
            <w:vAlign w:val="center"/>
          </w:tcPr>
          <w:p>
            <w:pPr>
              <w:pStyle w:val="TableContents"/>
              <w:bidi w:val="0"/>
              <w:spacing w:before="0" w:after="283"/>
              <w:jc w:val="both"/>
              <w:rPr/>
            </w:pPr>
            <w:r>
              <w:rPr/>
              <w:t>Represents shares directly held by Asif Ramji. The address of the principal business office of Asif Ramji is 337 King Road NW, Atlanta, GA 30342.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174</w:t>
            </w:r>
          </w:p>
        </w:tc>
        <w:tc>
          <w:tcPr>
            <w:tcW w:w="9772" w:type="dxa"/>
            <w:tcBorders/>
            <w:vAlign w:val="center"/>
          </w:tcPr>
          <w:p>
            <w:pPr>
              <w:pStyle w:val="TableContents"/>
              <w:bidi w:val="0"/>
              <w:spacing w:before="0" w:after="283"/>
              <w:jc w:val="both"/>
              <w:rPr/>
            </w:pPr>
            <w:r>
              <w:rPr/>
              <w:t>Represents shares directly held by ASK, LLC. Janice Howroyd is the sole member of ASK, LLC and has voting and investment control of the shares held by ASK, LLC. The address of the principal business office of ASK, LLC is 327 W. Broadway Ave, Glendale, CA 91204.</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1415"/>
        <w:gridCol w:w="90"/>
        <w:gridCol w:w="118"/>
        <w:gridCol w:w="952"/>
        <w:gridCol w:w="90"/>
        <w:gridCol w:w="90"/>
        <w:gridCol w:w="104"/>
        <w:gridCol w:w="846"/>
        <w:gridCol w:w="90"/>
        <w:gridCol w:w="90"/>
        <w:gridCol w:w="253"/>
        <w:gridCol w:w="817"/>
        <w:gridCol w:w="90"/>
        <w:gridCol w:w="90"/>
        <w:gridCol w:w="181"/>
        <w:gridCol w:w="589"/>
        <w:gridCol w:w="90"/>
        <w:gridCol w:w="90"/>
        <w:gridCol w:w="159"/>
        <w:gridCol w:w="911"/>
        <w:gridCol w:w="90"/>
        <w:gridCol w:w="90"/>
        <w:gridCol w:w="148"/>
        <w:gridCol w:w="802"/>
        <w:gridCol w:w="90"/>
        <w:gridCol w:w="90"/>
        <w:gridCol w:w="253"/>
        <w:gridCol w:w="817"/>
        <w:gridCol w:w="90"/>
        <w:gridCol w:w="90"/>
        <w:gridCol w:w="181"/>
        <w:gridCol w:w="589"/>
        <w:gridCol w:w="135"/>
      </w:tblGrid>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Merchant Capital SPAC Fund I LP</w:t>
            </w:r>
            <w:r>
              <w:rPr>
                <w:rFonts w:ascii="Times New Roman;Times;Serif" w:hAnsi="Times New Roman;Times;Serif"/>
                <w:position w:val="7"/>
                <w:sz w:val="16"/>
                <w:sz w:val="20"/>
              </w:rPr>
              <w:t>175</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Betsy Cohen</w:t>
            </w:r>
            <w:r>
              <w:rPr>
                <w:rFonts w:ascii="Times New Roman;Times;Serif" w:hAnsi="Times New Roman;Times;Serif"/>
                <w:position w:val="7"/>
                <w:sz w:val="16"/>
                <w:sz w:val="20"/>
              </w:rPr>
              <w:t>176</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Patriot Merrimack St, LLC</w:t>
            </w:r>
            <w:r>
              <w:rPr>
                <w:rFonts w:ascii="Times New Roman;Times;Serif" w:hAnsi="Times New Roman;Times;Serif"/>
                <w:position w:val="7"/>
                <w:sz w:val="16"/>
                <w:sz w:val="20"/>
              </w:rPr>
              <w:t>177</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Breoga Trust</w:t>
            </w:r>
            <w:r>
              <w:rPr>
                <w:rFonts w:ascii="Times New Roman;Times;Serif" w:hAnsi="Times New Roman;Times;Serif"/>
                <w:position w:val="7"/>
                <w:sz w:val="16"/>
                <w:sz w:val="20"/>
              </w:rPr>
              <w:t>178</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Cameron Balash</w:t>
            </w:r>
            <w:r>
              <w:rPr>
                <w:rFonts w:ascii="Times New Roman;Times;Serif" w:hAnsi="Times New Roman;Times;Serif"/>
                <w:position w:val="7"/>
                <w:sz w:val="16"/>
                <w:sz w:val="20"/>
              </w:rPr>
              <w:t>179</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Cohen Sponsor LLC - V29 RS</w:t>
            </w:r>
            <w:r>
              <w:rPr>
                <w:rFonts w:ascii="Times New Roman;Times;Serif" w:hAnsi="Times New Roman;Times;Serif"/>
                <w:position w:val="7"/>
                <w:sz w:val="16"/>
                <w:sz w:val="20"/>
              </w:rPr>
              <w:t>180</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Crestline Summit Master, SPC - Crestline Summit APEX SP</w:t>
            </w:r>
            <w:r>
              <w:rPr>
                <w:rFonts w:ascii="Times New Roman;Times;Serif" w:hAnsi="Times New Roman;Times;Serif"/>
                <w:position w:val="7"/>
                <w:sz w:val="16"/>
                <w:sz w:val="20"/>
              </w:rPr>
              <w:t>181</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Crestline Summit Master, SPC- Peak SP</w:t>
            </w:r>
            <w:r>
              <w:rPr>
                <w:rFonts w:ascii="Times New Roman;Times;Serif" w:hAnsi="Times New Roman;Times;Serif"/>
                <w:position w:val="7"/>
                <w:sz w:val="16"/>
                <w:sz w:val="20"/>
              </w:rPr>
              <w:t>182</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15,378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15,378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Cyber Secure at Sea, LLC</w:t>
            </w:r>
            <w:r>
              <w:rPr>
                <w:rFonts w:ascii="Times New Roman;Times;Serif" w:hAnsi="Times New Roman;Times;Serif"/>
                <w:position w:val="7"/>
                <w:sz w:val="16"/>
                <w:sz w:val="20"/>
              </w:rPr>
              <w:t>183</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Cynosure Holdings, LLC</w:t>
            </w:r>
            <w:r>
              <w:rPr>
                <w:rFonts w:ascii="Times New Roman;Times;Serif" w:hAnsi="Times New Roman;Times;Serif"/>
                <w:position w:val="7"/>
                <w:sz w:val="16"/>
                <w:sz w:val="20"/>
              </w:rPr>
              <w:t>184</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175</w:t>
            </w:r>
          </w:p>
        </w:tc>
        <w:tc>
          <w:tcPr>
            <w:tcW w:w="9772" w:type="dxa"/>
            <w:tcBorders/>
            <w:vAlign w:val="center"/>
          </w:tcPr>
          <w:p>
            <w:pPr>
              <w:pStyle w:val="TableContents"/>
              <w:bidi w:val="0"/>
              <w:spacing w:before="0" w:after="283"/>
              <w:jc w:val="both"/>
              <w:rPr/>
            </w:pPr>
            <w:r>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position w:val="8"/>
                <w:sz w:val="19"/>
              </w:rPr>
              <w:t>nd</w:t>
            </w:r>
            <w:r>
              <w:rPr/>
              <w:t xml:space="preserve"> Floor, New York,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176</w:t>
            </w:r>
          </w:p>
        </w:tc>
        <w:tc>
          <w:tcPr>
            <w:tcW w:w="9772" w:type="dxa"/>
            <w:tcBorders/>
            <w:vAlign w:val="center"/>
          </w:tcPr>
          <w:p>
            <w:pPr>
              <w:pStyle w:val="TableContents"/>
              <w:bidi w:val="0"/>
              <w:spacing w:before="0" w:after="283"/>
              <w:jc w:val="both"/>
              <w:rPr/>
            </w:pPr>
            <w:r>
              <w:rPr/>
              <w:t>Represents shares directly held by Betsy Cohen. The address of the principal business office of Betsy Cohen is 1240 N. Casey Key Rd, Osprey, FL 34229.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177</w:t>
            </w:r>
          </w:p>
        </w:tc>
        <w:tc>
          <w:tcPr>
            <w:tcW w:w="9772" w:type="dxa"/>
            <w:tcBorders/>
            <w:vAlign w:val="center"/>
          </w:tcPr>
          <w:p>
            <w:pPr>
              <w:pStyle w:val="TableContents"/>
              <w:bidi w:val="0"/>
              <w:spacing w:before="0" w:after="283"/>
              <w:jc w:val="both"/>
              <w:rPr/>
            </w:pPr>
            <w:r>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position w:val="8"/>
                <w:sz w:val="19"/>
              </w:rPr>
              <w:t>th</w:t>
            </w:r>
            <w:r>
              <w:rPr/>
              <w:t xml:space="preserve">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178</w:t>
            </w:r>
          </w:p>
        </w:tc>
        <w:tc>
          <w:tcPr>
            <w:tcW w:w="9772" w:type="dxa"/>
            <w:tcBorders/>
            <w:vAlign w:val="center"/>
          </w:tcPr>
          <w:p>
            <w:pPr>
              <w:pStyle w:val="TableContents"/>
              <w:bidi w:val="0"/>
              <w:spacing w:before="0" w:after="283"/>
              <w:jc w:val="both"/>
              <w:rPr/>
            </w:pPr>
            <w:r>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179</w:t>
            </w:r>
          </w:p>
        </w:tc>
        <w:tc>
          <w:tcPr>
            <w:tcW w:w="9772" w:type="dxa"/>
            <w:tcBorders/>
            <w:vAlign w:val="center"/>
          </w:tcPr>
          <w:p>
            <w:pPr>
              <w:pStyle w:val="TableContents"/>
              <w:bidi w:val="0"/>
              <w:spacing w:before="0" w:after="283"/>
              <w:jc w:val="both"/>
              <w:rPr/>
            </w:pPr>
            <w:r>
              <w:rPr/>
              <w:t>Represents shares directly held by Cameron Balash. The address of the principal business office of Cameron Balash is 218 Le Starboard Dr., Pensacola Beach, FL 32561.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180</w:t>
            </w:r>
          </w:p>
        </w:tc>
        <w:tc>
          <w:tcPr>
            <w:tcW w:w="9772" w:type="dxa"/>
            <w:tcBorders/>
            <w:vAlign w:val="center"/>
          </w:tcPr>
          <w:p>
            <w:pPr>
              <w:pStyle w:val="TableContents"/>
              <w:bidi w:val="0"/>
              <w:spacing w:before="0" w:after="283"/>
              <w:jc w:val="both"/>
              <w:rPr/>
            </w:pPr>
            <w:r>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181</w:t>
            </w:r>
          </w:p>
        </w:tc>
        <w:tc>
          <w:tcPr>
            <w:tcW w:w="9772" w:type="dxa"/>
            <w:tcBorders/>
            <w:vAlign w:val="center"/>
          </w:tcPr>
          <w:p>
            <w:pPr>
              <w:pStyle w:val="TableContents"/>
              <w:bidi w:val="0"/>
              <w:spacing w:before="0" w:after="283"/>
              <w:jc w:val="both"/>
              <w:rPr/>
            </w:pPr>
            <w:r>
              <w:rPr/>
              <w:t>Represents shares directly held by Crestline Summit Master, SPC - Crestline Summit APEX SP. The address of the principal business office of Crestline Summit Master, SPC - Crestline Summit APEX SP is 201 Main Street, Suite 2600, Fort Worth, TX 76102.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182</w:t>
            </w:r>
          </w:p>
        </w:tc>
        <w:tc>
          <w:tcPr>
            <w:tcW w:w="9772" w:type="dxa"/>
            <w:tcBorders/>
            <w:vAlign w:val="center"/>
          </w:tcPr>
          <w:p>
            <w:pPr>
              <w:pStyle w:val="TableContents"/>
              <w:bidi w:val="0"/>
              <w:spacing w:before="0" w:after="283"/>
              <w:jc w:val="both"/>
              <w:rPr/>
            </w:pPr>
            <w:r>
              <w:rPr/>
              <w:t>Represents shares directly held by Crestline Summit Master, SPC- Peak SP. The address of the principal business office of Crestline Summit Master, SPC- Peak SP is 201 Main Street, Suite 2600, Fort Worth, TX 76102.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183</w:t>
            </w:r>
          </w:p>
        </w:tc>
        <w:tc>
          <w:tcPr>
            <w:tcW w:w="9772" w:type="dxa"/>
            <w:tcBorders/>
            <w:vAlign w:val="center"/>
          </w:tcPr>
          <w:p>
            <w:pPr>
              <w:pStyle w:val="TableContents"/>
              <w:bidi w:val="0"/>
              <w:spacing w:before="0" w:after="283"/>
              <w:jc w:val="both"/>
              <w:rPr/>
            </w:pPr>
            <w:r>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184</w:t>
            </w:r>
          </w:p>
        </w:tc>
        <w:tc>
          <w:tcPr>
            <w:tcW w:w="9772" w:type="dxa"/>
            <w:tcBorders/>
            <w:vAlign w:val="center"/>
          </w:tcPr>
          <w:p>
            <w:pPr>
              <w:pStyle w:val="TableContents"/>
              <w:bidi w:val="0"/>
              <w:spacing w:before="0" w:after="283"/>
              <w:jc w:val="both"/>
              <w:rPr/>
            </w:pPr>
            <w:r>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1415"/>
        <w:gridCol w:w="90"/>
        <w:gridCol w:w="118"/>
        <w:gridCol w:w="952"/>
        <w:gridCol w:w="90"/>
        <w:gridCol w:w="90"/>
        <w:gridCol w:w="104"/>
        <w:gridCol w:w="846"/>
        <w:gridCol w:w="90"/>
        <w:gridCol w:w="90"/>
        <w:gridCol w:w="253"/>
        <w:gridCol w:w="817"/>
        <w:gridCol w:w="90"/>
        <w:gridCol w:w="90"/>
        <w:gridCol w:w="181"/>
        <w:gridCol w:w="589"/>
        <w:gridCol w:w="90"/>
        <w:gridCol w:w="90"/>
        <w:gridCol w:w="253"/>
        <w:gridCol w:w="817"/>
        <w:gridCol w:w="90"/>
        <w:gridCol w:w="90"/>
        <w:gridCol w:w="224"/>
        <w:gridCol w:w="726"/>
        <w:gridCol w:w="90"/>
        <w:gridCol w:w="90"/>
        <w:gridCol w:w="253"/>
        <w:gridCol w:w="817"/>
        <w:gridCol w:w="90"/>
        <w:gridCol w:w="90"/>
        <w:gridCol w:w="181"/>
        <w:gridCol w:w="589"/>
        <w:gridCol w:w="135"/>
      </w:tblGrid>
      <w:tr>
        <w:trPr/>
        <w:tc>
          <w:tcPr>
            <w:tcW w:w="1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Barbara Hutchinson</w:t>
            </w:r>
            <w:r>
              <w:rPr>
                <w:rFonts w:ascii="Times New Roman;Times;Serif" w:hAnsi="Times New Roman;Times;Serif"/>
                <w:position w:val="7"/>
                <w:sz w:val="16"/>
                <w:sz w:val="20"/>
              </w:rPr>
              <w:t>185</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Oruoele</w:t>
            </w:r>
            <w:r>
              <w:rPr>
                <w:rFonts w:ascii="Times New Roman;Times;Serif" w:hAnsi="Times New Roman;Times;Serif"/>
                <w:position w:val="7"/>
                <w:sz w:val="16"/>
                <w:sz w:val="20"/>
              </w:rPr>
              <w:t>186</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EVN 2021 Trust, Ezekiel V. Newhouse</w:t>
            </w:r>
            <w:r>
              <w:rPr>
                <w:rFonts w:ascii="Times New Roman;Times;Serif" w:hAnsi="Times New Roman;Times;Serif"/>
                <w:position w:val="7"/>
                <w:sz w:val="16"/>
                <w:sz w:val="20"/>
              </w:rPr>
              <w:t>187</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EXOS Collateralized SPAC Holdings Fund</w:t>
            </w:r>
            <w:r>
              <w:rPr>
                <w:rFonts w:ascii="Times New Roman;Times;Serif" w:hAnsi="Times New Roman;Times;Serif"/>
                <w:position w:val="7"/>
                <w:sz w:val="16"/>
                <w:sz w:val="20"/>
              </w:rPr>
              <w:t>188</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F-Cubed Investments, LLC</w:t>
            </w:r>
            <w:r>
              <w:rPr>
                <w:rFonts w:ascii="Times New Roman;Times;Serif" w:hAnsi="Times New Roman;Times;Serif"/>
                <w:position w:val="7"/>
                <w:sz w:val="16"/>
                <w:sz w:val="20"/>
              </w:rPr>
              <w:t>189</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 Tree Credit Opportunity Master Fund III, LP FKA: Fir Tree Capital Opportunity Master Fund III, LP</w:t>
            </w:r>
            <w:r>
              <w:rPr>
                <w:rFonts w:ascii="Times New Roman;Times;Serif" w:hAnsi="Times New Roman;Times;Serif"/>
                <w:position w:val="7"/>
                <w:sz w:val="16"/>
                <w:sz w:val="20"/>
              </w:rPr>
              <w:t>190</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FT SOF XIII (SPAC) Holdings, LLC</w:t>
            </w:r>
            <w:r>
              <w:rPr>
                <w:rFonts w:ascii="Times New Roman;Times;Serif" w:hAnsi="Times New Roman;Times;Serif"/>
                <w:position w:val="7"/>
                <w:sz w:val="16"/>
                <w:sz w:val="20"/>
              </w:rPr>
              <w:t>191</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Grace Vandecruze</w:t>
            </w:r>
            <w:r>
              <w:rPr>
                <w:rFonts w:ascii="Times New Roman;Times;Serif" w:hAnsi="Times New Roman;Times;Serif"/>
                <w:position w:val="7"/>
                <w:sz w:val="16"/>
                <w:sz w:val="20"/>
              </w:rPr>
              <w:t>192</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Greice Murphy Enterprise, LLC</w:t>
            </w:r>
            <w:r>
              <w:rPr>
                <w:rFonts w:ascii="Times New Roman;Times;Serif" w:hAnsi="Times New Roman;Times;Serif"/>
                <w:position w:val="7"/>
                <w:sz w:val="16"/>
                <w:sz w:val="20"/>
              </w:rPr>
              <w:t>193</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Highbridge</w:t>
            </w:r>
            <w:r>
              <w:rPr>
                <w:rFonts w:ascii="Times New Roman;Times;Serif" w:hAnsi="Times New Roman;Times;Serif"/>
                <w:position w:val="7"/>
                <w:sz w:val="16"/>
                <w:sz w:val="20"/>
              </w:rPr>
              <w:t>194</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185</w:t>
            </w:r>
          </w:p>
        </w:tc>
        <w:tc>
          <w:tcPr>
            <w:tcW w:w="9772" w:type="dxa"/>
            <w:tcBorders/>
            <w:vAlign w:val="center"/>
          </w:tcPr>
          <w:p>
            <w:pPr>
              <w:pStyle w:val="TableContents"/>
              <w:bidi w:val="0"/>
              <w:spacing w:before="0" w:after="283"/>
              <w:jc w:val="both"/>
              <w:rPr/>
            </w:pPr>
            <w:r>
              <w:rPr/>
              <w:t>Represents shares directly held by Dr. Barbara Hutchinson. The address of the principal business office of Dr. Barbara Hutchinson is 11906 Shady Stone Terr., Bowie, MD 20721.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186</w:t>
            </w:r>
          </w:p>
        </w:tc>
        <w:tc>
          <w:tcPr>
            <w:tcW w:w="9772" w:type="dxa"/>
            <w:tcBorders/>
            <w:vAlign w:val="center"/>
          </w:tcPr>
          <w:p>
            <w:pPr>
              <w:pStyle w:val="TableContents"/>
              <w:bidi w:val="0"/>
              <w:spacing w:before="0" w:after="283"/>
              <w:jc w:val="both"/>
              <w:rPr/>
            </w:pPr>
            <w:r>
              <w:rPr/>
              <w:t>Represents shares directly held by Eric Oruoele. The address of the principal business office of Eric Oruoele is 11180 State Bridge Road, Suite 203, Alpharetta, GA 30022.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187</w:t>
            </w:r>
          </w:p>
        </w:tc>
        <w:tc>
          <w:tcPr>
            <w:tcW w:w="9772" w:type="dxa"/>
            <w:tcBorders/>
            <w:vAlign w:val="center"/>
          </w:tcPr>
          <w:p>
            <w:pPr>
              <w:pStyle w:val="TableContents"/>
              <w:bidi w:val="0"/>
              <w:spacing w:before="0" w:after="283"/>
              <w:jc w:val="both"/>
              <w:rPr/>
            </w:pPr>
            <w:r>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188</w:t>
            </w:r>
          </w:p>
        </w:tc>
        <w:tc>
          <w:tcPr>
            <w:tcW w:w="9772" w:type="dxa"/>
            <w:tcBorders/>
            <w:vAlign w:val="center"/>
          </w:tcPr>
          <w:p>
            <w:pPr>
              <w:pStyle w:val="TableContents"/>
              <w:bidi w:val="0"/>
              <w:spacing w:before="0" w:after="283"/>
              <w:jc w:val="both"/>
              <w:rPr/>
            </w:pPr>
            <w:r>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189</w:t>
            </w:r>
          </w:p>
        </w:tc>
        <w:tc>
          <w:tcPr>
            <w:tcW w:w="9772" w:type="dxa"/>
            <w:tcBorders/>
            <w:vAlign w:val="center"/>
          </w:tcPr>
          <w:p>
            <w:pPr>
              <w:pStyle w:val="TableContents"/>
              <w:bidi w:val="0"/>
              <w:spacing w:before="0" w:after="283"/>
              <w:jc w:val="both"/>
              <w:rPr/>
            </w:pPr>
            <w:r>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190</w:t>
            </w:r>
          </w:p>
        </w:tc>
        <w:tc>
          <w:tcPr>
            <w:tcW w:w="9772" w:type="dxa"/>
            <w:tcBorders/>
            <w:vAlign w:val="center"/>
          </w:tcPr>
          <w:p>
            <w:pPr>
              <w:pStyle w:val="TableContents"/>
              <w:bidi w:val="0"/>
              <w:spacing w:before="0" w:after="283"/>
              <w:jc w:val="both"/>
              <w:rPr/>
            </w:pPr>
            <w:r>
              <w:rPr/>
              <w:t>Represents shares directly held by Fir Tree Credit Opportunity Master Fund, LP formerly known as Fir Tree Capital Opportunity Master Fund III, LP. Fir Tree Capital Management, LP is the investment manager of Fir Tree Credit Opportunity Master Fund, LP formerly known as Fir Tree Capital Opportunity Master Fund III, LP. Clinton Biando and David Sultan are the Managing Partners of Fir Tree Capital Management, LP and have voting and investment control of the shares held by Fir Tree Credit Opportunity Master Fund, LP formerly known as Fir Tree Capital Opportunity Master Fund III, LP but disclaim beneficial ownership of such shares. The address of the principal business office of Fir Tree Credit Opportunity Master Fund, LP formerly known as Fir Tree Capital Opportunity Master Fund III, LP is c/o Fir Tree Capital Management, LP, 500 Fifth Avenue, 9</w:t>
            </w:r>
            <w:r>
              <w:rPr>
                <w:position w:val="8"/>
                <w:sz w:val="19"/>
              </w:rPr>
              <w:t>th</w:t>
            </w:r>
            <w:r>
              <w:rPr/>
              <w:t xml:space="preserve">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191</w:t>
            </w:r>
          </w:p>
        </w:tc>
        <w:tc>
          <w:tcPr>
            <w:tcW w:w="9772" w:type="dxa"/>
            <w:tcBorders/>
            <w:vAlign w:val="center"/>
          </w:tcPr>
          <w:p>
            <w:pPr>
              <w:pStyle w:val="TableContents"/>
              <w:bidi w:val="0"/>
              <w:spacing w:before="0" w:after="283"/>
              <w:jc w:val="both"/>
              <w:rPr/>
            </w:pPr>
            <w:r>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192</w:t>
            </w:r>
          </w:p>
        </w:tc>
        <w:tc>
          <w:tcPr>
            <w:tcW w:w="9772" w:type="dxa"/>
            <w:tcBorders/>
            <w:vAlign w:val="center"/>
          </w:tcPr>
          <w:p>
            <w:pPr>
              <w:pStyle w:val="TableContents"/>
              <w:bidi w:val="0"/>
              <w:spacing w:before="0" w:after="283"/>
              <w:jc w:val="both"/>
              <w:rPr/>
            </w:pPr>
            <w:r>
              <w:rPr/>
              <w:t>Represents shares directly held by Grace Vandecruze. The address of the principal business office of Grace Vandecruze is 54 Riverside Drive 8AA, New York, NY 10024.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193</w:t>
            </w:r>
          </w:p>
        </w:tc>
        <w:tc>
          <w:tcPr>
            <w:tcW w:w="9772" w:type="dxa"/>
            <w:tcBorders/>
            <w:vAlign w:val="center"/>
          </w:tcPr>
          <w:p>
            <w:pPr>
              <w:pStyle w:val="TableContents"/>
              <w:bidi w:val="0"/>
              <w:spacing w:before="0" w:after="283"/>
              <w:jc w:val="both"/>
              <w:rPr/>
            </w:pPr>
            <w:r>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194</w:t>
            </w:r>
          </w:p>
        </w:tc>
        <w:tc>
          <w:tcPr>
            <w:tcW w:w="9772" w:type="dxa"/>
            <w:tcBorders/>
            <w:vAlign w:val="center"/>
          </w:tcPr>
          <w:p>
            <w:pPr>
              <w:pStyle w:val="TableContents"/>
              <w:bidi w:val="0"/>
              <w:spacing w:before="0" w:after="283"/>
              <w:jc w:val="both"/>
              <w:rPr/>
            </w:pPr>
            <w:r>
              <w:rPr/>
              <w:t xml:space="preserve">Represents (1) 20,300 shares directly held by Highbridge Tactical Credit Institutional Fund Ltd. and (2) 79,700 shares directly held by Highbridge Tactical Credit Master Fund LP (together, the “Highbride Entities”). The address of the principal business office of the Highbridge Entities is P.O. Box 309 GT, Ugland House, South Church St., George Town.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935" w:type="dxa"/>
        <w:jc w:val="left"/>
        <w:tblInd w:w="0" w:type="dxa"/>
        <w:tblLayout w:type="fixed"/>
        <w:tblCellMar>
          <w:top w:w="0" w:type="dxa"/>
          <w:left w:w="0" w:type="dxa"/>
          <w:bottom w:w="0" w:type="dxa"/>
          <w:right w:w="0" w:type="dxa"/>
        </w:tblCellMar>
      </w:tblPr>
      <w:tblGrid>
        <w:gridCol w:w="1730"/>
        <w:gridCol w:w="90"/>
        <w:gridCol w:w="118"/>
        <w:gridCol w:w="952"/>
        <w:gridCol w:w="90"/>
        <w:gridCol w:w="90"/>
        <w:gridCol w:w="104"/>
        <w:gridCol w:w="846"/>
        <w:gridCol w:w="90"/>
        <w:gridCol w:w="90"/>
        <w:gridCol w:w="253"/>
        <w:gridCol w:w="817"/>
        <w:gridCol w:w="90"/>
        <w:gridCol w:w="90"/>
        <w:gridCol w:w="181"/>
        <w:gridCol w:w="589"/>
        <w:gridCol w:w="90"/>
        <w:gridCol w:w="90"/>
        <w:gridCol w:w="253"/>
        <w:gridCol w:w="817"/>
        <w:gridCol w:w="90"/>
        <w:gridCol w:w="90"/>
        <w:gridCol w:w="224"/>
        <w:gridCol w:w="726"/>
        <w:gridCol w:w="90"/>
        <w:gridCol w:w="90"/>
        <w:gridCol w:w="253"/>
        <w:gridCol w:w="817"/>
        <w:gridCol w:w="90"/>
        <w:gridCol w:w="90"/>
        <w:gridCol w:w="181"/>
        <w:gridCol w:w="589"/>
        <w:gridCol w:w="135"/>
      </w:tblGrid>
      <w:tr>
        <w:trPr/>
        <w:tc>
          <w:tcPr>
            <w:tcW w:w="1730" w:type="dxa"/>
            <w:tcBorders/>
            <w:vAlign w:val="center"/>
          </w:tcPr>
          <w:p>
            <w:pPr>
              <w:pStyle w:val="TableContents"/>
              <w:bidi w:val="0"/>
              <w:spacing w:before="0" w:after="283"/>
              <w:ind w:left="0" w:right="0" w:hanging="360"/>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360"/>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360"/>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360"/>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360"/>
              <w:jc w:val="center"/>
              <w:rPr/>
            </w:pPr>
            <w:r>
              <w:rPr/>
              <w:t> </w:t>
            </w:r>
          </w:p>
        </w:tc>
      </w:tr>
      <w:tr>
        <w:trPr/>
        <w:tc>
          <w:tcPr>
            <w:tcW w:w="1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7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Ingram Capital Investment Group, LLC</w:t>
            </w:r>
            <w:r>
              <w:rPr>
                <w:rFonts w:ascii="Times New Roman;Times;Serif" w:hAnsi="Times New Roman;Times;Serif"/>
                <w:position w:val="7"/>
                <w:sz w:val="16"/>
                <w:sz w:val="20"/>
              </w:rPr>
              <w:t>195</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 Ariel Mendiola</w:t>
            </w:r>
            <w:r>
              <w:rPr>
                <w:rFonts w:ascii="Times New Roman;Times;Serif" w:hAnsi="Times New Roman;Times;Serif"/>
                <w:position w:val="7"/>
                <w:sz w:val="16"/>
                <w:sz w:val="20"/>
              </w:rPr>
              <w:t>196</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Joyce Brocaglia</w:t>
            </w:r>
            <w:r>
              <w:rPr>
                <w:rFonts w:ascii="Times New Roman;Times;Serif" w:hAnsi="Times New Roman;Times;Serif"/>
                <w:position w:val="7"/>
                <w:sz w:val="16"/>
                <w:sz w:val="20"/>
              </w:rPr>
              <w:t>197</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Latonja Chatman-Culmer</w:t>
            </w:r>
            <w:r>
              <w:rPr>
                <w:rFonts w:ascii="Times New Roman;Times;Serif" w:hAnsi="Times New Roman;Times;Serif"/>
                <w:position w:val="7"/>
                <w:sz w:val="16"/>
                <w:sz w:val="20"/>
              </w:rPr>
              <w:t>198</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 C. Anderson</w:t>
            </w:r>
            <w:r>
              <w:rPr>
                <w:rFonts w:ascii="Times New Roman;Times;Serif" w:hAnsi="Times New Roman;Times;Serif"/>
                <w:position w:val="7"/>
                <w:sz w:val="16"/>
                <w:sz w:val="20"/>
              </w:rPr>
              <w:t>199</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M&amp;M Holdings LLC</w:t>
            </w:r>
            <w:r>
              <w:rPr>
                <w:rFonts w:ascii="Times New Roman;Times;Serif" w:hAnsi="Times New Roman;Times;Serif"/>
                <w:position w:val="7"/>
                <w:sz w:val="16"/>
                <w:sz w:val="20"/>
              </w:rPr>
              <w:t>200</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Madhani Investments, LLC</w:t>
            </w:r>
            <w:r>
              <w:rPr>
                <w:rFonts w:ascii="Times New Roman;Times;Serif" w:hAnsi="Times New Roman;Times;Serif"/>
                <w:position w:val="7"/>
                <w:sz w:val="16"/>
                <w:sz w:val="20"/>
              </w:rPr>
              <w:t>201</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Mahesh Konduru</w:t>
            </w:r>
            <w:r>
              <w:rPr>
                <w:rFonts w:ascii="Times New Roman;Times;Serif" w:hAnsi="Times New Roman;Times;Serif"/>
                <w:position w:val="7"/>
                <w:sz w:val="16"/>
                <w:sz w:val="20"/>
              </w:rPr>
              <w:t>202</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14,903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14,903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J Gorlin TTEE MJG 2014 Subtrust U/a DTD 09/03/2021</w:t>
            </w:r>
            <w:r>
              <w:rPr>
                <w:rFonts w:ascii="Times New Roman;Times;Serif" w:hAnsi="Times New Roman;Times;Serif"/>
                <w:position w:val="7"/>
                <w:sz w:val="16"/>
                <w:sz w:val="20"/>
              </w:rPr>
              <w:t>203</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Marco Gomez Roquero</w:t>
            </w:r>
            <w:r>
              <w:rPr>
                <w:rFonts w:ascii="Times New Roman;Times;Serif" w:hAnsi="Times New Roman;Times;Serif"/>
                <w:position w:val="7"/>
                <w:sz w:val="16"/>
                <w:sz w:val="20"/>
              </w:rPr>
              <w:t>204</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Lake Polan</w:t>
            </w:r>
            <w:r>
              <w:rPr>
                <w:rFonts w:ascii="Times New Roman;Times;Serif" w:hAnsi="Times New Roman;Times;Serif"/>
                <w:position w:val="7"/>
                <w:sz w:val="16"/>
                <w:sz w:val="20"/>
              </w:rPr>
              <w:t>205</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osition w:val="8"/>
                <w:sz w:val="19"/>
              </w:rPr>
            </w:pPr>
            <w:r>
              <w:rPr>
                <w:position w:val="8"/>
                <w:sz w:val="19"/>
              </w:rPr>
              <w:t>195</w:t>
            </w:r>
          </w:p>
        </w:tc>
        <w:tc>
          <w:tcPr>
            <w:tcW w:w="9772" w:type="dxa"/>
            <w:tcBorders/>
            <w:vAlign w:val="center"/>
          </w:tcPr>
          <w:p>
            <w:pPr>
              <w:pStyle w:val="TableContents"/>
              <w:bidi w:val="0"/>
              <w:spacing w:before="0" w:after="283"/>
              <w:jc w:val="both"/>
              <w:rPr/>
            </w:pPr>
            <w:r>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196</w:t>
            </w:r>
          </w:p>
        </w:tc>
        <w:tc>
          <w:tcPr>
            <w:tcW w:w="9772" w:type="dxa"/>
            <w:tcBorders/>
            <w:vAlign w:val="center"/>
          </w:tcPr>
          <w:p>
            <w:pPr>
              <w:pStyle w:val="TableContents"/>
              <w:bidi w:val="0"/>
              <w:spacing w:before="0" w:after="283"/>
              <w:jc w:val="both"/>
              <w:rPr/>
            </w:pPr>
            <w:r>
              <w:rPr/>
              <w:t>Represents shares directly held by Jose Ariel Mendiola. The address of the principal business office of Jose Ariel Mendiola is 12015 Silverwood Bend Ln, Cypress, TX 77433.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197</w:t>
            </w:r>
          </w:p>
        </w:tc>
        <w:tc>
          <w:tcPr>
            <w:tcW w:w="9772" w:type="dxa"/>
            <w:tcBorders/>
            <w:vAlign w:val="center"/>
          </w:tcPr>
          <w:p>
            <w:pPr>
              <w:pStyle w:val="TableContents"/>
              <w:bidi w:val="0"/>
              <w:spacing w:before="0" w:after="283"/>
              <w:jc w:val="both"/>
              <w:rPr/>
            </w:pPr>
            <w:r>
              <w:rPr/>
              <w:t>Represents shares directly held by Joyce Brocaglia. The address of the principal business office of Joyce Brocaglia is 602 Ocean Avenue, Sea Bright, NJ 07760.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198</w:t>
            </w:r>
          </w:p>
        </w:tc>
        <w:tc>
          <w:tcPr>
            <w:tcW w:w="9772" w:type="dxa"/>
            <w:tcBorders/>
            <w:vAlign w:val="center"/>
          </w:tcPr>
          <w:p>
            <w:pPr>
              <w:pStyle w:val="TableContents"/>
              <w:bidi w:val="0"/>
              <w:spacing w:before="0" w:after="283"/>
              <w:jc w:val="both"/>
              <w:rPr/>
            </w:pPr>
            <w:r>
              <w:rPr/>
              <w:t>Represents shares directly held by Latonja Chatman-Culmer. The address of the principal business office of Latonja Chatman-Culmer is 4330 Celebration Drive SW, Atlanta, GA 30331.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199</w:t>
            </w:r>
          </w:p>
        </w:tc>
        <w:tc>
          <w:tcPr>
            <w:tcW w:w="9772" w:type="dxa"/>
            <w:tcBorders/>
            <w:vAlign w:val="center"/>
          </w:tcPr>
          <w:p>
            <w:pPr>
              <w:pStyle w:val="TableContents"/>
              <w:bidi w:val="0"/>
              <w:spacing w:before="0" w:after="283"/>
              <w:jc w:val="both"/>
              <w:rPr/>
            </w:pPr>
            <w:r>
              <w:rPr/>
              <w:t>Represents shares directly held by Lauren C. Anderson. The address of the principal business office of Lauren C. Anderson is 327 Tonetta Lake Road, Brewster, NY 10509.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200</w:t>
            </w:r>
          </w:p>
        </w:tc>
        <w:tc>
          <w:tcPr>
            <w:tcW w:w="9772" w:type="dxa"/>
            <w:tcBorders/>
            <w:vAlign w:val="center"/>
          </w:tcPr>
          <w:p>
            <w:pPr>
              <w:pStyle w:val="TableContents"/>
              <w:bidi w:val="0"/>
              <w:spacing w:before="0" w:after="283"/>
              <w:jc w:val="both"/>
              <w:rPr/>
            </w:pPr>
            <w:r>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201</w:t>
            </w:r>
          </w:p>
        </w:tc>
        <w:tc>
          <w:tcPr>
            <w:tcW w:w="9772" w:type="dxa"/>
            <w:tcBorders/>
            <w:vAlign w:val="center"/>
          </w:tcPr>
          <w:p>
            <w:pPr>
              <w:pStyle w:val="TableContents"/>
              <w:bidi w:val="0"/>
              <w:spacing w:before="0" w:after="283"/>
              <w:jc w:val="both"/>
              <w:rPr/>
            </w:pPr>
            <w:r>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202</w:t>
            </w:r>
          </w:p>
        </w:tc>
        <w:tc>
          <w:tcPr>
            <w:tcW w:w="9772" w:type="dxa"/>
            <w:tcBorders/>
            <w:vAlign w:val="center"/>
          </w:tcPr>
          <w:p>
            <w:pPr>
              <w:pStyle w:val="TableContents"/>
              <w:bidi w:val="0"/>
              <w:spacing w:before="0" w:after="283"/>
              <w:jc w:val="both"/>
              <w:rPr/>
            </w:pPr>
            <w:r>
              <w:rPr/>
              <w:t>Represents shares directly held by Mahesh Konduru. The address of the principal business office of Mahesh Konduru is 6512 Mercer St., Houston, TX 77005.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203</w:t>
            </w:r>
          </w:p>
        </w:tc>
        <w:tc>
          <w:tcPr>
            <w:tcW w:w="9772" w:type="dxa"/>
            <w:tcBorders/>
            <w:vAlign w:val="center"/>
          </w:tcPr>
          <w:p>
            <w:pPr>
              <w:pStyle w:val="TableContents"/>
              <w:bidi w:val="0"/>
              <w:spacing w:before="0" w:after="283"/>
              <w:jc w:val="both"/>
              <w:rPr/>
            </w:pPr>
            <w:r>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204</w:t>
            </w:r>
          </w:p>
        </w:tc>
        <w:tc>
          <w:tcPr>
            <w:tcW w:w="9772" w:type="dxa"/>
            <w:tcBorders/>
            <w:vAlign w:val="center"/>
          </w:tcPr>
          <w:p>
            <w:pPr>
              <w:pStyle w:val="TableContents"/>
              <w:bidi w:val="0"/>
              <w:spacing w:before="0" w:after="283"/>
              <w:jc w:val="both"/>
              <w:rPr/>
            </w:pPr>
            <w:r>
              <w:rPr/>
              <w:t>Represents shares directly held by Marco Gomez Roquero. The address of the principal business office of Marco Gomez Roquero is 1300 S Miami Avenue #4705, Miami, FL 33130.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205</w:t>
            </w:r>
          </w:p>
        </w:tc>
        <w:tc>
          <w:tcPr>
            <w:tcW w:w="9772" w:type="dxa"/>
            <w:tcBorders/>
            <w:vAlign w:val="center"/>
          </w:tcPr>
          <w:p>
            <w:pPr>
              <w:pStyle w:val="TableContents"/>
              <w:bidi w:val="0"/>
              <w:spacing w:before="0" w:after="283"/>
              <w:jc w:val="both"/>
              <w:rPr/>
            </w:pPr>
            <w:r>
              <w:rPr/>
              <w:t>Represents shares directly held by Mary Lake Polan. The address of the principal business office of Mary Lake Polan is Eagle Bluff Ranch, 795 Eagle Ridge Rd., Camp Verde, TX 78010.</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635" w:type="dxa"/>
        <w:jc w:val="left"/>
        <w:tblInd w:w="0" w:type="dxa"/>
        <w:tblLayout w:type="fixed"/>
        <w:tblCellMar>
          <w:top w:w="0" w:type="dxa"/>
          <w:left w:w="0" w:type="dxa"/>
          <w:bottom w:w="0" w:type="dxa"/>
          <w:right w:w="0" w:type="dxa"/>
        </w:tblCellMar>
      </w:tblPr>
      <w:tblGrid>
        <w:gridCol w:w="1415"/>
        <w:gridCol w:w="90"/>
        <w:gridCol w:w="99"/>
        <w:gridCol w:w="971"/>
        <w:gridCol w:w="90"/>
        <w:gridCol w:w="90"/>
        <w:gridCol w:w="90"/>
        <w:gridCol w:w="875"/>
        <w:gridCol w:w="90"/>
        <w:gridCol w:w="90"/>
        <w:gridCol w:w="253"/>
        <w:gridCol w:w="817"/>
        <w:gridCol w:w="90"/>
        <w:gridCol w:w="90"/>
        <w:gridCol w:w="181"/>
        <w:gridCol w:w="589"/>
        <w:gridCol w:w="90"/>
        <w:gridCol w:w="90"/>
        <w:gridCol w:w="118"/>
        <w:gridCol w:w="952"/>
        <w:gridCol w:w="90"/>
        <w:gridCol w:w="90"/>
        <w:gridCol w:w="104"/>
        <w:gridCol w:w="846"/>
        <w:gridCol w:w="90"/>
        <w:gridCol w:w="90"/>
        <w:gridCol w:w="118"/>
        <w:gridCol w:w="952"/>
        <w:gridCol w:w="90"/>
        <w:gridCol w:w="90"/>
        <w:gridCol w:w="157"/>
        <w:gridCol w:w="613"/>
        <w:gridCol w:w="135"/>
      </w:tblGrid>
      <w:tr>
        <w:trPr/>
        <w:tc>
          <w:tcPr>
            <w:tcW w:w="1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441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center"/>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center"/>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MMF LT, LLC</w:t>
            </w:r>
            <w:r>
              <w:rPr>
                <w:rFonts w:ascii="Times New Roman;Times;Serif" w:hAnsi="Times New Roman;Times;Serif"/>
                <w:position w:val="7"/>
                <w:sz w:val="16"/>
                <w:sz w:val="20"/>
              </w:rPr>
              <w:t>206</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Nautilus Master Fund, L.P</w:t>
            </w:r>
            <w:r>
              <w:rPr>
                <w:rFonts w:ascii="Times New Roman;Times;Serif" w:hAnsi="Times New Roman;Times;Serif"/>
                <w:position w:val="7"/>
                <w:sz w:val="16"/>
                <w:sz w:val="20"/>
              </w:rPr>
              <w:t>207</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332,797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332,797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2.1 </w:t>
            </w:r>
          </w:p>
        </w:tc>
        <w:tc>
          <w:tcPr>
            <w:tcW w:w="135" w:type="dxa"/>
            <w:tcBorders/>
            <w:shd w:fill="FFFFFF" w:val="clear"/>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Ocean Family Trust, LLC</w:t>
            </w:r>
            <w:r>
              <w:rPr>
                <w:rFonts w:ascii="Times New Roman;Times;Serif" w:hAnsi="Times New Roman;Times;Serif"/>
                <w:position w:val="7"/>
                <w:sz w:val="16"/>
                <w:sz w:val="20"/>
              </w:rPr>
              <w:t>208</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Hawkins</w:t>
            </w:r>
            <w:r>
              <w:rPr>
                <w:rFonts w:ascii="Times New Roman;Times;Serif" w:hAnsi="Times New Roman;Times;Serif"/>
                <w:position w:val="7"/>
                <w:sz w:val="16"/>
                <w:sz w:val="20"/>
              </w:rPr>
              <w:t>209</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W. Newhouse</w:t>
            </w:r>
            <w:r>
              <w:rPr>
                <w:rFonts w:ascii="Times New Roman;Times;Serif" w:hAnsi="Times New Roman;Times;Serif"/>
                <w:position w:val="7"/>
                <w:sz w:val="16"/>
                <w:sz w:val="20"/>
              </w:rPr>
              <w:t>210</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Primetime Investment Group, LLC</w:t>
            </w:r>
            <w:r>
              <w:rPr>
                <w:rFonts w:ascii="Times New Roman;Times;Serif" w:hAnsi="Times New Roman;Times;Serif"/>
                <w:position w:val="7"/>
                <w:sz w:val="16"/>
                <w:sz w:val="20"/>
              </w:rPr>
              <w:t>211</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JB LLC</w:t>
            </w:r>
            <w:r>
              <w:rPr>
                <w:rFonts w:ascii="Times New Roman;Times;Serif" w:hAnsi="Times New Roman;Times;Serif"/>
                <w:position w:val="7"/>
                <w:sz w:val="16"/>
                <w:sz w:val="20"/>
              </w:rPr>
              <w:t>212</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Radcliffe SPAC Master Fund, L.P.</w:t>
            </w:r>
            <w:r>
              <w:rPr>
                <w:rFonts w:ascii="Times New Roman;Times;Serif" w:hAnsi="Times New Roman;Times;Serif"/>
                <w:position w:val="7"/>
                <w:sz w:val="16"/>
                <w:sz w:val="20"/>
              </w:rPr>
              <w:t>213</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Rashaun Williams</w:t>
            </w:r>
            <w:r>
              <w:rPr>
                <w:rFonts w:ascii="Times New Roman;Times;Serif" w:hAnsi="Times New Roman;Times;Serif"/>
                <w:position w:val="7"/>
                <w:sz w:val="16"/>
                <w:sz w:val="20"/>
              </w:rPr>
              <w:t>214</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 Caron</w:t>
            </w:r>
            <w:r>
              <w:rPr>
                <w:rFonts w:ascii="Times New Roman;Times;Serif" w:hAnsi="Times New Roman;Times;Serif"/>
                <w:position w:val="7"/>
                <w:sz w:val="16"/>
                <w:sz w:val="20"/>
              </w:rPr>
              <w:t>215</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36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Rivernorth SPAC Arbitrage Fund, LP</w:t>
            </w:r>
            <w:r>
              <w:rPr>
                <w:rFonts w:ascii="Times New Roman;Times;Serif" w:hAnsi="Times New Roman;Times;Serif"/>
                <w:position w:val="7"/>
                <w:sz w:val="16"/>
                <w:sz w:val="20"/>
              </w:rPr>
              <w:t>216</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36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Romonda Jordan</w:t>
            </w:r>
            <w:r>
              <w:rPr>
                <w:rFonts w:ascii="Times New Roman;Times;Serif" w:hAnsi="Times New Roman;Times;Serif"/>
                <w:position w:val="7"/>
                <w:sz w:val="16"/>
                <w:sz w:val="20"/>
              </w:rPr>
              <w:t>217</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osition w:val="8"/>
                <w:sz w:val="19"/>
              </w:rPr>
            </w:pPr>
            <w:r>
              <w:rPr>
                <w:position w:val="8"/>
                <w:sz w:val="19"/>
              </w:rPr>
              <w:t>206</w:t>
            </w:r>
          </w:p>
        </w:tc>
        <w:tc>
          <w:tcPr>
            <w:tcW w:w="9772" w:type="dxa"/>
            <w:tcBorders/>
            <w:vAlign w:val="center"/>
          </w:tcPr>
          <w:p>
            <w:pPr>
              <w:pStyle w:val="TableContents"/>
              <w:bidi w:val="0"/>
              <w:spacing w:before="0" w:after="283"/>
              <w:jc w:val="both"/>
              <w:rPr/>
            </w:pPr>
            <w:r>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207</w:t>
            </w:r>
          </w:p>
        </w:tc>
        <w:tc>
          <w:tcPr>
            <w:tcW w:w="9772" w:type="dxa"/>
            <w:tcBorders/>
            <w:vAlign w:val="center"/>
          </w:tcPr>
          <w:p>
            <w:pPr>
              <w:pStyle w:val="TableContents"/>
              <w:bidi w:val="0"/>
              <w:spacing w:before="0" w:after="283"/>
              <w:jc w:val="both"/>
              <w:rPr/>
            </w:pPr>
            <w:r>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208</w:t>
            </w:r>
          </w:p>
        </w:tc>
        <w:tc>
          <w:tcPr>
            <w:tcW w:w="9772" w:type="dxa"/>
            <w:tcBorders/>
            <w:vAlign w:val="center"/>
          </w:tcPr>
          <w:p>
            <w:pPr>
              <w:pStyle w:val="TableContents"/>
              <w:bidi w:val="0"/>
              <w:spacing w:before="0" w:after="283"/>
              <w:jc w:val="both"/>
              <w:rPr/>
            </w:pPr>
            <w:r>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209</w:t>
            </w:r>
          </w:p>
        </w:tc>
        <w:tc>
          <w:tcPr>
            <w:tcW w:w="9772" w:type="dxa"/>
            <w:tcBorders/>
            <w:vAlign w:val="center"/>
          </w:tcPr>
          <w:p>
            <w:pPr>
              <w:pStyle w:val="TableContents"/>
              <w:bidi w:val="0"/>
              <w:spacing w:before="0" w:after="283"/>
              <w:jc w:val="both"/>
              <w:rPr/>
            </w:pPr>
            <w:r>
              <w:rPr/>
              <w:t>Represents shares directly held by Paula Hawkins. The address of the principal business office of Paula Hawkins is 2904 Lennox Rd, Conyers, GA 30094.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210</w:t>
            </w:r>
          </w:p>
        </w:tc>
        <w:tc>
          <w:tcPr>
            <w:tcW w:w="9772" w:type="dxa"/>
            <w:tcBorders/>
            <w:vAlign w:val="center"/>
          </w:tcPr>
          <w:p>
            <w:pPr>
              <w:pStyle w:val="TableContents"/>
              <w:bidi w:val="0"/>
              <w:spacing w:before="0" w:after="283"/>
              <w:jc w:val="both"/>
              <w:rPr/>
            </w:pPr>
            <w:r>
              <w:rPr/>
              <w:t>Represents shares directly held by Phyllis W. Newhouse. The address of the principal business office of Phyllis W. Newhouse is 2291 Loring Oak PL NW, Marietta, GA 30064.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211</w:t>
            </w:r>
          </w:p>
        </w:tc>
        <w:tc>
          <w:tcPr>
            <w:tcW w:w="9772" w:type="dxa"/>
            <w:tcBorders/>
            <w:vAlign w:val="center"/>
          </w:tcPr>
          <w:p>
            <w:pPr>
              <w:pStyle w:val="TableContents"/>
              <w:bidi w:val="0"/>
              <w:spacing w:before="0" w:after="283"/>
              <w:jc w:val="both"/>
              <w:rPr/>
            </w:pPr>
            <w:r>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212</w:t>
            </w:r>
          </w:p>
        </w:tc>
        <w:tc>
          <w:tcPr>
            <w:tcW w:w="9772" w:type="dxa"/>
            <w:tcBorders/>
            <w:vAlign w:val="center"/>
          </w:tcPr>
          <w:p>
            <w:pPr>
              <w:pStyle w:val="TableContents"/>
              <w:bidi w:val="0"/>
              <w:spacing w:before="0" w:after="283"/>
              <w:jc w:val="both"/>
              <w:rPr/>
            </w:pPr>
            <w:r>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osition w:val="8"/>
                <w:sz w:val="19"/>
              </w:rPr>
            </w:pPr>
            <w:r>
              <w:rPr>
                <w:position w:val="8"/>
                <w:sz w:val="19"/>
              </w:rPr>
              <w:t>213</w:t>
            </w:r>
          </w:p>
        </w:tc>
        <w:tc>
          <w:tcPr>
            <w:tcW w:w="9772" w:type="dxa"/>
            <w:tcBorders/>
            <w:vAlign w:val="center"/>
          </w:tcPr>
          <w:p>
            <w:pPr>
              <w:pStyle w:val="TableContents"/>
              <w:bidi w:val="0"/>
              <w:spacing w:before="0" w:after="283"/>
              <w:jc w:val="both"/>
              <w:rPr/>
            </w:pPr>
            <w:r>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214</w:t>
            </w:r>
          </w:p>
        </w:tc>
        <w:tc>
          <w:tcPr>
            <w:tcW w:w="9772" w:type="dxa"/>
            <w:tcBorders/>
            <w:vAlign w:val="center"/>
          </w:tcPr>
          <w:p>
            <w:pPr>
              <w:pStyle w:val="TableContents"/>
              <w:bidi w:val="0"/>
              <w:spacing w:before="0" w:after="283"/>
              <w:jc w:val="both"/>
              <w:rPr/>
            </w:pPr>
            <w:r>
              <w:rPr/>
              <w:t>Represents shares directly held by Rashaun Williams. The address of the principal business office of Rashaun Williams is 505 N. Lake Shore Dr. #3810-11, Chicago, IL 60611.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215</w:t>
            </w:r>
          </w:p>
        </w:tc>
        <w:tc>
          <w:tcPr>
            <w:tcW w:w="9772" w:type="dxa"/>
            <w:tcBorders/>
            <w:vAlign w:val="center"/>
          </w:tcPr>
          <w:p>
            <w:pPr>
              <w:pStyle w:val="TableContents"/>
              <w:bidi w:val="0"/>
              <w:spacing w:before="0" w:after="283"/>
              <w:jc w:val="both"/>
              <w:rPr/>
            </w:pPr>
            <w:r>
              <w:rPr/>
              <w:t>Represents shares directly held by Ray Caron. The address of the principal business office of Ray Caron is 14 Marina Ct, Newnan, GA 30263.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216</w:t>
            </w:r>
          </w:p>
        </w:tc>
        <w:tc>
          <w:tcPr>
            <w:tcW w:w="9772" w:type="dxa"/>
            <w:tcBorders/>
            <w:vAlign w:val="center"/>
          </w:tcPr>
          <w:p>
            <w:pPr>
              <w:pStyle w:val="TableContents"/>
              <w:bidi w:val="0"/>
              <w:spacing w:before="0" w:after="283"/>
              <w:jc w:val="both"/>
              <w:rPr/>
            </w:pPr>
            <w:r>
              <w:rPr/>
              <w:t>Represents shares directly held by Rivernorth SPAC Arbitrage Fund, LP. The address of the principal business office of Rivernorth SPAC Arbitrage Fund, LP is 360 South Rosemary Ave, Suite 1420, West Palm Beach, FL 33401.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217</w:t>
            </w:r>
          </w:p>
        </w:tc>
        <w:tc>
          <w:tcPr>
            <w:tcW w:w="9772" w:type="dxa"/>
            <w:tcBorders/>
            <w:vAlign w:val="center"/>
          </w:tcPr>
          <w:p>
            <w:pPr>
              <w:pStyle w:val="TableContents"/>
              <w:bidi w:val="0"/>
              <w:spacing w:before="0" w:after="283"/>
              <w:jc w:val="both"/>
              <w:rPr/>
            </w:pPr>
            <w:r>
              <w:rPr/>
              <w:t>Represents shares directly held by Romonda Jordan. The address of the principal business office of Romonda Jordan is 22197 Windy Pine Ct., Broadlands, VA 20148.</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1325"/>
        <w:gridCol w:w="90"/>
        <w:gridCol w:w="99"/>
        <w:gridCol w:w="971"/>
        <w:gridCol w:w="90"/>
        <w:gridCol w:w="90"/>
        <w:gridCol w:w="90"/>
        <w:gridCol w:w="875"/>
        <w:gridCol w:w="90"/>
        <w:gridCol w:w="90"/>
        <w:gridCol w:w="253"/>
        <w:gridCol w:w="817"/>
        <w:gridCol w:w="90"/>
        <w:gridCol w:w="90"/>
        <w:gridCol w:w="181"/>
        <w:gridCol w:w="589"/>
        <w:gridCol w:w="90"/>
        <w:gridCol w:w="90"/>
        <w:gridCol w:w="253"/>
        <w:gridCol w:w="817"/>
        <w:gridCol w:w="90"/>
        <w:gridCol w:w="90"/>
        <w:gridCol w:w="224"/>
        <w:gridCol w:w="726"/>
        <w:gridCol w:w="90"/>
        <w:gridCol w:w="90"/>
        <w:gridCol w:w="253"/>
        <w:gridCol w:w="817"/>
        <w:gridCol w:w="90"/>
        <w:gridCol w:w="90"/>
        <w:gridCol w:w="181"/>
        <w:gridCol w:w="589"/>
        <w:gridCol w:w="135"/>
      </w:tblGrid>
      <w:tr>
        <w:trPr/>
        <w:tc>
          <w:tcPr>
            <w:tcW w:w="132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41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left"/>
              <w:rPr/>
            </w:pPr>
            <w:r>
              <w:rPr/>
              <w:t> </w:t>
            </w:r>
          </w:p>
        </w:tc>
      </w:tr>
      <w:tr>
        <w:trPr/>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left"/>
              <w:rPr/>
            </w:pPr>
            <w:r>
              <w:rPr/>
              <w:t> </w:t>
            </w:r>
          </w:p>
        </w:tc>
      </w:tr>
      <w:tr>
        <w:trPr/>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left"/>
              <w:rPr/>
            </w:pPr>
            <w:r>
              <w:rPr/>
              <w:t> </w:t>
            </w:r>
          </w:p>
        </w:tc>
      </w:tr>
      <w:tr>
        <w:trPr/>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left"/>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36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Roxanna Aguillard</w:t>
            </w:r>
            <w:r>
              <w:rPr>
                <w:rFonts w:ascii="Times New Roman;Times;Serif" w:hAnsi="Times New Roman;Times;Serif"/>
                <w:position w:val="7"/>
                <w:sz w:val="16"/>
                <w:sz w:val="20"/>
              </w:rPr>
              <w:t>218</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 Henry</w:t>
            </w:r>
            <w:r>
              <w:rPr>
                <w:rFonts w:ascii="Times New Roman;Times;Serif" w:hAnsi="Times New Roman;Times;Serif"/>
                <w:position w:val="7"/>
                <w:sz w:val="16"/>
                <w:sz w:val="20"/>
              </w:rPr>
              <w:t>219</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ShoulderUp 2021 Trust</w:t>
            </w:r>
            <w:r>
              <w:rPr>
                <w:rFonts w:ascii="Times New Roman;Times;Serif" w:hAnsi="Times New Roman;Times;Serif"/>
                <w:position w:val="7"/>
                <w:sz w:val="16"/>
                <w:sz w:val="20"/>
              </w:rPr>
              <w:t>220</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2,354,416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2,354,416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Sierra Hotel Enterprise LLC</w:t>
            </w:r>
            <w:r>
              <w:rPr>
                <w:rFonts w:ascii="Times New Roman;Times;Serif" w:hAnsi="Times New Roman;Times;Serif"/>
                <w:position w:val="7"/>
                <w:sz w:val="16"/>
                <w:sz w:val="20"/>
              </w:rPr>
              <w:t>221</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19,869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Stacey Berns</w:t>
            </w:r>
            <w:r>
              <w:rPr>
                <w:rFonts w:ascii="Times New Roman;Times;Serif" w:hAnsi="Times New Roman;Times;Serif"/>
                <w:position w:val="7"/>
                <w:sz w:val="16"/>
                <w:sz w:val="20"/>
              </w:rPr>
              <w:t>222</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Eskenazi</w:t>
            </w:r>
            <w:r>
              <w:rPr>
                <w:rFonts w:ascii="Times New Roman;Times;Serif" w:hAnsi="Times New Roman;Times;Serif"/>
                <w:position w:val="7"/>
                <w:sz w:val="16"/>
                <w:sz w:val="20"/>
              </w:rPr>
              <w:t>223</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Tauheed Epps</w:t>
            </w:r>
            <w:r>
              <w:rPr>
                <w:rFonts w:ascii="Times New Roman;Times;Serif" w:hAnsi="Times New Roman;Times;Serif"/>
                <w:position w:val="7"/>
                <w:sz w:val="16"/>
                <w:sz w:val="20"/>
              </w:rPr>
              <w:t>224</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Opportunity Master Fund, Ltd.</w:t>
            </w:r>
            <w:r>
              <w:rPr>
                <w:rFonts w:ascii="Times New Roman;Times;Serif" w:hAnsi="Times New Roman;Times;Serif"/>
                <w:position w:val="7"/>
                <w:sz w:val="16"/>
                <w:sz w:val="20"/>
              </w:rPr>
              <w:t>225</w:t>
            </w:r>
            <w:r>
              <w:rPr>
                <w:rFonts w:ascii="Times New Roman;Times;Serif" w:hAnsi="Times New Roman;Times;Serif"/>
                <w:sz w:val="20"/>
              </w:rPr>
              <w:t xml:space="preserve">    </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Newhouse Family 2016 Revocable Trust</w:t>
            </w:r>
            <w:r>
              <w:rPr>
                <w:rFonts w:ascii="Times New Roman;Times;Serif" w:hAnsi="Times New Roman;Times;Serif"/>
                <w:position w:val="7"/>
                <w:sz w:val="16"/>
                <w:sz w:val="20"/>
              </w:rPr>
              <w:t>226</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Salman Rehmetullah Revocable Trust</w:t>
            </w:r>
            <w:r>
              <w:rPr>
                <w:rFonts w:ascii="Times New Roman;Times;Serif" w:hAnsi="Times New Roman;Times;Serif"/>
                <w:position w:val="7"/>
                <w:sz w:val="16"/>
                <w:sz w:val="20"/>
              </w:rPr>
              <w:t>227</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Vincent Raymond Stewart and Phyllis Lea Stewart Living Trust</w:t>
            </w:r>
            <w:r>
              <w:rPr>
                <w:rFonts w:ascii="Times New Roman;Times;Serif" w:hAnsi="Times New Roman;Times;Serif"/>
                <w:position w:val="7"/>
                <w:sz w:val="16"/>
                <w:sz w:val="20"/>
              </w:rPr>
              <w:t>228</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218</w:t>
            </w:r>
          </w:p>
        </w:tc>
        <w:tc>
          <w:tcPr>
            <w:tcW w:w="9772" w:type="dxa"/>
            <w:tcBorders/>
            <w:vAlign w:val="center"/>
          </w:tcPr>
          <w:p>
            <w:pPr>
              <w:pStyle w:val="TableContents"/>
              <w:bidi w:val="0"/>
              <w:spacing w:before="0" w:after="283"/>
              <w:jc w:val="both"/>
              <w:rPr/>
            </w:pPr>
            <w:r>
              <w:rPr/>
              <w:t>Represents shares directly held by Roxanna Aguillard. The address of the principal business office of Roxanna Aguillard is 504 Bruin Court, Stockbridge, GA 30281.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219</w:t>
            </w:r>
          </w:p>
        </w:tc>
        <w:tc>
          <w:tcPr>
            <w:tcW w:w="9772" w:type="dxa"/>
            <w:tcBorders/>
            <w:vAlign w:val="center"/>
          </w:tcPr>
          <w:p>
            <w:pPr>
              <w:pStyle w:val="TableContents"/>
              <w:bidi w:val="0"/>
              <w:spacing w:before="0" w:after="283"/>
              <w:jc w:val="both"/>
              <w:rPr/>
            </w:pPr>
            <w:r>
              <w:rPr/>
              <w:t>Represents shares directly held by Shawn Henry. The address of the principal business office of Shawn Henry is 605 S. Gulfstream Ave, Sarasota, FL 34236.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220</w:t>
            </w:r>
          </w:p>
        </w:tc>
        <w:tc>
          <w:tcPr>
            <w:tcW w:w="9772" w:type="dxa"/>
            <w:tcBorders/>
            <w:vAlign w:val="center"/>
          </w:tcPr>
          <w:p>
            <w:pPr>
              <w:pStyle w:val="TableContents"/>
              <w:bidi w:val="0"/>
              <w:spacing w:before="0" w:after="283"/>
              <w:jc w:val="both"/>
              <w:rPr/>
            </w:pPr>
            <w:r>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221</w:t>
            </w:r>
          </w:p>
        </w:tc>
        <w:tc>
          <w:tcPr>
            <w:tcW w:w="9772" w:type="dxa"/>
            <w:tcBorders/>
            <w:vAlign w:val="center"/>
          </w:tcPr>
          <w:p>
            <w:pPr>
              <w:pStyle w:val="TableContents"/>
              <w:bidi w:val="0"/>
              <w:spacing w:before="0" w:after="283"/>
              <w:jc w:val="both"/>
              <w:rPr/>
            </w:pPr>
            <w:r>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222</w:t>
            </w:r>
          </w:p>
        </w:tc>
        <w:tc>
          <w:tcPr>
            <w:tcW w:w="9772" w:type="dxa"/>
            <w:tcBorders/>
            <w:vAlign w:val="center"/>
          </w:tcPr>
          <w:p>
            <w:pPr>
              <w:pStyle w:val="TableContents"/>
              <w:bidi w:val="0"/>
              <w:spacing w:before="0" w:after="283"/>
              <w:jc w:val="both"/>
              <w:rPr/>
            </w:pPr>
            <w:r>
              <w:rPr/>
              <w:t>Represents shares directly held by Stacey Berns. The address of the principal business office of Stacey Berns is 101 Warren St., Apt. 820, New York, NY 10007.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223</w:t>
            </w:r>
          </w:p>
        </w:tc>
        <w:tc>
          <w:tcPr>
            <w:tcW w:w="9772" w:type="dxa"/>
            <w:tcBorders/>
            <w:vAlign w:val="center"/>
          </w:tcPr>
          <w:p>
            <w:pPr>
              <w:pStyle w:val="TableContents"/>
              <w:bidi w:val="0"/>
              <w:spacing w:before="0" w:after="283"/>
              <w:jc w:val="both"/>
              <w:rPr/>
            </w:pPr>
            <w:r>
              <w:rPr/>
              <w:t>Represents shares directly held by Steve Eskenazi. The address of the principal business office of Steve Eskenazi is 50 Sheldon Way, Hillsborough, CA 94010.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224</w:t>
            </w:r>
          </w:p>
        </w:tc>
        <w:tc>
          <w:tcPr>
            <w:tcW w:w="9772" w:type="dxa"/>
            <w:tcBorders/>
            <w:vAlign w:val="center"/>
          </w:tcPr>
          <w:p>
            <w:pPr>
              <w:pStyle w:val="TableContents"/>
              <w:bidi w:val="0"/>
              <w:spacing w:before="0" w:after="283"/>
              <w:jc w:val="both"/>
              <w:rPr/>
            </w:pPr>
            <w:r>
              <w:rPr/>
              <w:t>Represents shares directly held by Tauheed Epps. The address of the principal business office of Tauheed Epps is 1740 Defoor Pl, Atlanta, GA 30318.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225</w:t>
            </w:r>
          </w:p>
        </w:tc>
        <w:tc>
          <w:tcPr>
            <w:tcW w:w="9772" w:type="dxa"/>
            <w:tcBorders/>
            <w:vAlign w:val="center"/>
          </w:tcPr>
          <w:p>
            <w:pPr>
              <w:pStyle w:val="TableContents"/>
              <w:bidi w:val="0"/>
              <w:spacing w:before="0" w:after="283"/>
              <w:jc w:val="both"/>
              <w:rPr/>
            </w:pPr>
            <w:r>
              <w:rPr/>
              <w:t>Represents shares directly held by Tenor Opportunity Master Fund, Ltd. The address of the principal business office of Tenor Opportunity Fund, Ltd. is 810 Seventh Ave., Suite 1905,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226</w:t>
            </w:r>
          </w:p>
        </w:tc>
        <w:tc>
          <w:tcPr>
            <w:tcW w:w="9772" w:type="dxa"/>
            <w:tcBorders/>
            <w:vAlign w:val="center"/>
          </w:tcPr>
          <w:p>
            <w:pPr>
              <w:pStyle w:val="TableContents"/>
              <w:bidi w:val="0"/>
              <w:spacing w:before="0" w:after="283"/>
              <w:jc w:val="both"/>
              <w:rPr/>
            </w:pPr>
            <w:r>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227</w:t>
            </w:r>
          </w:p>
        </w:tc>
        <w:tc>
          <w:tcPr>
            <w:tcW w:w="9772" w:type="dxa"/>
            <w:tcBorders/>
            <w:vAlign w:val="center"/>
          </w:tcPr>
          <w:p>
            <w:pPr>
              <w:pStyle w:val="TableContents"/>
              <w:bidi w:val="0"/>
              <w:spacing w:before="0" w:after="283"/>
              <w:jc w:val="both"/>
              <w:rPr/>
            </w:pPr>
            <w:r>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228</w:t>
            </w:r>
          </w:p>
        </w:tc>
        <w:tc>
          <w:tcPr>
            <w:tcW w:w="9772" w:type="dxa"/>
            <w:tcBorders/>
            <w:vAlign w:val="center"/>
          </w:tcPr>
          <w:p>
            <w:pPr>
              <w:pStyle w:val="TableContents"/>
              <w:bidi w:val="0"/>
              <w:spacing w:before="0" w:after="283"/>
              <w:jc w:val="both"/>
              <w:rPr/>
            </w:pPr>
            <w:r>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635" w:type="dxa"/>
        <w:jc w:val="left"/>
        <w:tblInd w:w="0" w:type="dxa"/>
        <w:tblLayout w:type="fixed"/>
        <w:tblCellMar>
          <w:top w:w="0" w:type="dxa"/>
          <w:left w:w="0" w:type="dxa"/>
          <w:bottom w:w="0" w:type="dxa"/>
          <w:right w:w="0" w:type="dxa"/>
        </w:tblCellMar>
      </w:tblPr>
      <w:tblGrid>
        <w:gridCol w:w="1415"/>
        <w:gridCol w:w="90"/>
        <w:gridCol w:w="99"/>
        <w:gridCol w:w="971"/>
        <w:gridCol w:w="90"/>
        <w:gridCol w:w="90"/>
        <w:gridCol w:w="90"/>
        <w:gridCol w:w="875"/>
        <w:gridCol w:w="90"/>
        <w:gridCol w:w="90"/>
        <w:gridCol w:w="253"/>
        <w:gridCol w:w="817"/>
        <w:gridCol w:w="90"/>
        <w:gridCol w:w="90"/>
        <w:gridCol w:w="181"/>
        <w:gridCol w:w="589"/>
        <w:gridCol w:w="90"/>
        <w:gridCol w:w="90"/>
        <w:gridCol w:w="118"/>
        <w:gridCol w:w="952"/>
        <w:gridCol w:w="90"/>
        <w:gridCol w:w="90"/>
        <w:gridCol w:w="104"/>
        <w:gridCol w:w="846"/>
        <w:gridCol w:w="90"/>
        <w:gridCol w:w="90"/>
        <w:gridCol w:w="253"/>
        <w:gridCol w:w="817"/>
        <w:gridCol w:w="90"/>
        <w:gridCol w:w="90"/>
        <w:gridCol w:w="181"/>
        <w:gridCol w:w="589"/>
        <w:gridCol w:w="135"/>
      </w:tblGrid>
      <w:tr>
        <w:trPr/>
        <w:tc>
          <w:tcPr>
            <w:tcW w:w="141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41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Warrants to Purchase Common Stock</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Registered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Prior 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w:t>
            </w:r>
          </w:p>
        </w:tc>
        <w:tc>
          <w:tcPr>
            <w:tcW w:w="135" w:type="dxa"/>
            <w:tcBorders/>
            <w:vAlign w:val="center"/>
          </w:tcPr>
          <w:p>
            <w:pPr>
              <w:pStyle w:val="TableContents"/>
              <w:bidi w:val="0"/>
              <w:spacing w:before="0" w:after="283"/>
              <w:jc w:val="left"/>
              <w:rPr/>
            </w:pPr>
            <w:r>
              <w:rPr/>
              <w:t> </w:t>
            </w:r>
          </w:p>
        </w:tc>
      </w:tr>
      <w:tr>
        <w:trPr/>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Hereby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Triple Helix, LLC</w:t>
            </w:r>
            <w:r>
              <w:rPr>
                <w:rFonts w:ascii="Times New Roman;Times;Serif" w:hAnsi="Times New Roman;Times;Serif"/>
                <w:position w:val="7"/>
                <w:sz w:val="16"/>
                <w:sz w:val="20"/>
              </w:rPr>
              <w:t>229</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 Ryan</w:t>
            </w:r>
            <w:r>
              <w:rPr>
                <w:rFonts w:ascii="Times New Roman;Times;Serif" w:hAnsi="Times New Roman;Times;Serif"/>
                <w:position w:val="7"/>
                <w:sz w:val="16"/>
                <w:sz w:val="20"/>
              </w:rPr>
              <w:t>230</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Mosley</w:t>
            </w:r>
            <w:r>
              <w:rPr>
                <w:rFonts w:ascii="Times New Roman;Times;Serif" w:hAnsi="Times New Roman;Times;Serif"/>
                <w:position w:val="7"/>
                <w:sz w:val="16"/>
                <w:sz w:val="20"/>
              </w:rPr>
              <w:t>231</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Vellar Special Opportunities Fund, LLC – Series 29</w:t>
            </w:r>
            <w:r>
              <w:rPr>
                <w:rFonts w:ascii="Times New Roman;Times;Serif" w:hAnsi="Times New Roman;Times;Serif"/>
                <w:position w:val="7"/>
                <w:sz w:val="16"/>
                <w:sz w:val="20"/>
              </w:rPr>
              <w:t>232</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1,057,916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1,057,916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Walleye Investment Fund LLC</w:t>
            </w:r>
            <w:r>
              <w:rPr>
                <w:rFonts w:ascii="Times New Roman;Times;Serif" w:hAnsi="Times New Roman;Times;Serif"/>
                <w:position w:val="7"/>
                <w:sz w:val="16"/>
                <w:sz w:val="20"/>
              </w:rPr>
              <w:t>233</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Walleye Opportunities Master Fund Ltd.</w:t>
            </w:r>
            <w:r>
              <w:rPr>
                <w:rFonts w:ascii="Times New Roman;Times;Serif" w:hAnsi="Times New Roman;Times;Serif"/>
                <w:position w:val="7"/>
                <w:sz w:val="16"/>
                <w:sz w:val="20"/>
              </w:rPr>
              <w:t>234</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ZNH Holdings Group, LLC</w:t>
            </w:r>
            <w:r>
              <w:rPr>
                <w:rFonts w:ascii="Times New Roman;Times;Serif" w:hAnsi="Times New Roman;Times;Serif"/>
                <w:position w:val="7"/>
                <w:sz w:val="16"/>
                <w:sz w:val="20"/>
              </w:rPr>
              <w:t>235</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Circle Principal Investments LLC</w:t>
            </w:r>
            <w:r>
              <w:rPr>
                <w:rFonts w:ascii="Times New Roman;Times;Serif" w:hAnsi="Times New Roman;Times;Serif"/>
                <w:position w:val="7"/>
                <w:sz w:val="16"/>
                <w:sz w:val="20"/>
              </w:rPr>
              <w:t>236</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5,524,624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229</w:t>
            </w:r>
          </w:p>
        </w:tc>
        <w:tc>
          <w:tcPr>
            <w:tcW w:w="9772" w:type="dxa"/>
            <w:tcBorders/>
            <w:vAlign w:val="center"/>
          </w:tcPr>
          <w:p>
            <w:pPr>
              <w:pStyle w:val="TableContents"/>
              <w:bidi w:val="0"/>
              <w:spacing w:before="0" w:after="283"/>
              <w:jc w:val="both"/>
              <w:rPr/>
            </w:pPr>
            <w:r>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230</w:t>
            </w:r>
          </w:p>
        </w:tc>
        <w:tc>
          <w:tcPr>
            <w:tcW w:w="9772" w:type="dxa"/>
            <w:tcBorders/>
            <w:vAlign w:val="center"/>
          </w:tcPr>
          <w:p>
            <w:pPr>
              <w:pStyle w:val="TableContents"/>
              <w:bidi w:val="0"/>
              <w:spacing w:before="0" w:after="283"/>
              <w:jc w:val="both"/>
              <w:rPr/>
            </w:pPr>
            <w:r>
              <w:rPr/>
              <w:t>Represents shares directly held by Una Ryan. The address of the principal business office of Una Ryan is 7500 Old Georgetown Road, Suite 901, Bethesda, MD 20814.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231</w:t>
            </w:r>
          </w:p>
        </w:tc>
        <w:tc>
          <w:tcPr>
            <w:tcW w:w="9772" w:type="dxa"/>
            <w:tcBorders/>
            <w:vAlign w:val="center"/>
          </w:tcPr>
          <w:p>
            <w:pPr>
              <w:pStyle w:val="TableContents"/>
              <w:bidi w:val="0"/>
              <w:spacing w:before="0" w:after="283"/>
              <w:jc w:val="both"/>
              <w:rPr/>
            </w:pPr>
            <w:r>
              <w:rPr/>
              <w:t>Represents shares directly held by Valerie Mosley. The address of the principal business office of Valerie Mosley is PO Box 2430, Oak Bluffs, MA 02557.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232</w:t>
            </w:r>
          </w:p>
        </w:tc>
        <w:tc>
          <w:tcPr>
            <w:tcW w:w="9772" w:type="dxa"/>
            <w:tcBorders/>
            <w:vAlign w:val="center"/>
          </w:tcPr>
          <w:p>
            <w:pPr>
              <w:pStyle w:val="TableContents"/>
              <w:bidi w:val="0"/>
              <w:spacing w:before="0" w:after="283"/>
              <w:jc w:val="both"/>
              <w:rPr/>
            </w:pPr>
            <w:r>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233</w:t>
            </w:r>
          </w:p>
        </w:tc>
        <w:tc>
          <w:tcPr>
            <w:tcW w:w="9772" w:type="dxa"/>
            <w:tcBorders/>
            <w:vAlign w:val="center"/>
          </w:tcPr>
          <w:p>
            <w:pPr>
              <w:pStyle w:val="TableContents"/>
              <w:bidi w:val="0"/>
              <w:spacing w:before="0" w:after="283"/>
              <w:jc w:val="both"/>
              <w:rPr/>
            </w:pPr>
            <w:r>
              <w:rPr/>
              <w:t>Represents shares directly held by Walleye Investment Fund LLC.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position w:val="8"/>
                <w:sz w:val="19"/>
              </w:rPr>
              <w:t>rd</w:t>
            </w:r>
            <w:r>
              <w:rPr/>
              <w:t xml:space="preserve"> Floor, Wayzata, MN 55391.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234</w:t>
            </w:r>
          </w:p>
        </w:tc>
        <w:tc>
          <w:tcPr>
            <w:tcW w:w="9772" w:type="dxa"/>
            <w:tcBorders/>
            <w:vAlign w:val="center"/>
          </w:tcPr>
          <w:p>
            <w:pPr>
              <w:pStyle w:val="TableContents"/>
              <w:bidi w:val="0"/>
              <w:spacing w:before="0" w:after="283"/>
              <w:jc w:val="both"/>
              <w:rPr/>
            </w:pPr>
            <w:r>
              <w:rPr/>
              <w:t>Represents shares directly held by Walleye Opportunities Master Fund Ltd.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position w:val="8"/>
                <w:sz w:val="19"/>
              </w:rPr>
              <w:t>rd</w:t>
            </w:r>
            <w:r>
              <w:rPr/>
              <w:t xml:space="preserve"> Floor, Wayzata, MN 55391.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65"/>
        <w:gridCol w:w="9735"/>
      </w:tblGrid>
      <w:tr>
        <w:trPr/>
        <w:tc>
          <w:tcPr>
            <w:tcW w:w="10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235</w:t>
            </w:r>
          </w:p>
        </w:tc>
        <w:tc>
          <w:tcPr>
            <w:tcW w:w="9735" w:type="dxa"/>
            <w:tcBorders/>
            <w:vAlign w:val="center"/>
          </w:tcPr>
          <w:p>
            <w:pPr>
              <w:pStyle w:val="TableContents"/>
              <w:bidi w:val="0"/>
              <w:spacing w:before="0" w:after="283"/>
              <w:jc w:val="both"/>
              <w:rPr/>
            </w:pPr>
            <w:r>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tc>
      </w:tr>
      <w:tr>
        <w:trPr/>
        <w:tc>
          <w:tcPr>
            <w:tcW w:w="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73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osition w:val="8"/>
                <w:sz w:val="19"/>
              </w:rPr>
            </w:pPr>
            <w:r>
              <w:rPr>
                <w:position w:val="8"/>
                <w:sz w:val="19"/>
              </w:rPr>
              <w:t>236</w:t>
            </w:r>
          </w:p>
        </w:tc>
        <w:tc>
          <w:tcPr>
            <w:tcW w:w="97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authorizes the Company to issue 300,000,000 shares, consisting of (A) 10,000,000 shares of Preferred Stock, par value $0.0001 per share (“Preferred Stock”) and (B) 290,000,000 shares of Common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shares of Common Stock are entitled to receive such dividends, if any, as may be declared from time-to-time by the Board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outstanding for the purchase of one share of Common Stock is exercisable for one share of Common Stock, with all other terms of such warrants remaining unchanged. The following is a description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became exercisable on July 18, 2025, provided the Company has an effective registration statement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 when the price per share of Common Stock equals or exceeds $18.00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Public Warrants:</w:t>
      </w:r>
    </w:p>
    <w:p>
      <w:pPr>
        <w:pStyle w:val="TextBody"/>
        <w:bidi w:val="0"/>
        <w:spacing w:before="0" w:after="0"/>
        <w:ind w:left="280" w:right="0" w:hanging="36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68"/>
        <w:gridCol w:w="200"/>
        <w:gridCol w:w="24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pPr>
            <w:r>
              <w:rPr/>
              <w:t>in whole and not in part;</w:t>
            </w:r>
          </w:p>
        </w:tc>
      </w:tr>
    </w:tbl>
    <w:p>
      <w:pPr>
        <w:pStyle w:val="TextBody"/>
        <w:bidi w:val="0"/>
        <w:spacing w:before="0" w:after="0"/>
        <w:ind w:left="280" w:right="0" w:hanging="360"/>
        <w:jc w:val="both"/>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68"/>
        <w:gridCol w:w="200"/>
        <w:gridCol w:w="3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pPr>
            <w:r>
              <w:rPr/>
              <w:t>at a price of $0.01 per warrant;</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upon a minimum of 30 days’ prior written notice of redemption (the “30-day redemption period”) to each warrant holder; and</w:t>
            </w:r>
          </w:p>
        </w:tc>
      </w:tr>
    </w:tbl>
    <w:p>
      <w:pPr>
        <w:pStyle w:val="TextBody"/>
        <w:bidi w:val="0"/>
        <w:spacing w:before="0" w:after="0"/>
        <w:ind w:left="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 Election to Limit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Holdings currently intends to retain all available funds and any future earnings to fund the development and growth of the business, and therefore does not anticipate declaring or paying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disclosure of the date of such annual meeting was first made by the Company (such notice within such time periods, “</w:t>
      </w:r>
      <w:r>
        <w:rPr>
          <w:rFonts w:ascii="Times New Roman;Times;Serif" w:hAnsi="Times New Roman;Times;Serif"/>
          <w:b/>
          <w:i/>
          <w:caps w:val="false"/>
          <w:smallCaps w:val="false"/>
          <w:sz w:val="20"/>
        </w:rPr>
        <w:t>Timely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provision is to restrict the Company’s rights and the rights of the Company’s stockholders in derivative suits to recover monetary damages against a director for breach of fiduciary duties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violations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and Warrants are listed on the Nasdaq under the symbols “DAIC” and “DAIC.W,”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Company’s securities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by us of 15,654,983 shares of Common Stock issuable by us upon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offer and sale from time to time by the Selling Securityholders or their permitted transferees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the Nasdaq, in the over-the-counter market or on any other national securities exchange on which our securities are listed or traded;</w:t>
            </w:r>
          </w:p>
        </w:tc>
      </w:tr>
    </w:tbl>
    <w:p>
      <w:pPr>
        <w:pStyle w:val="TextBody"/>
        <w:bidi w:val="0"/>
        <w:spacing w:before="0" w:after="0"/>
        <w:ind w:left="320" w:right="0" w:hanging="36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68"/>
        <w:gridCol w:w="200"/>
        <w:gridCol w:w="3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in privately negotiated transactions;</w:t>
            </w:r>
          </w:p>
        </w:tc>
      </w:tr>
    </w:tbl>
    <w:p>
      <w:pPr>
        <w:pStyle w:val="TextBody"/>
        <w:bidi w:val="0"/>
        <w:spacing w:before="0" w:after="0"/>
        <w:ind w:left="320" w:right="0" w:hanging="36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68"/>
        <w:gridCol w:w="200"/>
        <w:gridCol w:w="2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pPr>
            <w:r>
              <w:rPr/>
              <w:t>in underwritten transactions;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 a block trade in which a broker-dealer will attempt to sell the offered securities as agent but may purchase and resell a portion of the block as principal to facilitate the transaction;</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through purchases by a broker-dealer as principal and resale by the broker-dealer for its account pursuant to this prospectus;</w:t>
            </w:r>
          </w:p>
        </w:tc>
      </w:tr>
    </w:tbl>
    <w:p>
      <w:pPr>
        <w:pStyle w:val="TextBody"/>
        <w:bidi w:val="0"/>
        <w:spacing w:before="0" w:after="0"/>
        <w:ind w:left="320" w:right="0" w:hanging="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68"/>
        <w:gridCol w:w="200"/>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in ordinary brokerage transactions and transactions in which the broker solicits purchasers;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through the writing or settlement of options (including put or call options) or other hedging transactions, whether the options are listed on an options exchange or otherwise;</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through the distribution of the securities by any Selling Securityholder to its partners, members or stockholders;</w:t>
            </w:r>
          </w:p>
        </w:tc>
      </w:tr>
    </w:tbl>
    <w:p>
      <w:pPr>
        <w:pStyle w:val="TextBody"/>
        <w:bidi w:val="0"/>
        <w:spacing w:before="0" w:after="0"/>
        <w:ind w:left="3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 short sales entered into after the effective date of the registration statement of which this prospectus forms a part;</w:t>
            </w:r>
          </w:p>
        </w:tc>
      </w:tr>
    </w:tbl>
    <w:p>
      <w:pPr>
        <w:pStyle w:val="TextBody"/>
        <w:bidi w:val="0"/>
        <w:spacing w:before="0" w:after="0"/>
        <w:ind w:left="320" w:right="0" w:hanging="36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68"/>
        <w:gridCol w:w="200"/>
        <w:gridCol w:w="4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by pledge to secured debts and other obligations;</w:t>
            </w:r>
          </w:p>
        </w:tc>
      </w:tr>
    </w:tbl>
    <w:p>
      <w:pPr>
        <w:pStyle w:val="TextBody"/>
        <w:bidi w:val="0"/>
        <w:spacing w:before="0" w:after="0"/>
        <w:ind w:left="320" w:right="0" w:hanging="36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68"/>
        <w:gridCol w:w="200"/>
        <w:gridCol w:w="3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to or through underwriters or agents;</w:t>
            </w:r>
          </w:p>
        </w:tc>
      </w:tr>
    </w:tbl>
    <w:p>
      <w:pPr>
        <w:pStyle w:val="TextBody"/>
        <w:bidi w:val="0"/>
        <w:spacing w:before="0" w:after="0"/>
        <w:ind w:left="32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w:t>
            </w:r>
            <w:r>
              <w:rPr/>
              <w:t>at the market” or through market makers or into an existing market for the securities; and</w:t>
            </w:r>
          </w:p>
        </w:tc>
      </w:tr>
    </w:tbl>
    <w:p>
      <w:pPr>
        <w:pStyle w:val="TextBody"/>
        <w:bidi w:val="0"/>
        <w:spacing w:before="0" w:after="0"/>
        <w:ind w:left="320" w:right="0" w:hanging="36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68"/>
        <w:gridCol w:w="200"/>
        <w:gridCol w:w="5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and Lock-Up Agreement, the Holders (as defined therein) are subject to a 180 day lock up period (subject to customary exceptions) in respect of their shares of Common Stock received in the Business Combination (subject to certain customary exceptions).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UNITED STATES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68"/>
        <w:gridCol w:w="200"/>
        <w:gridCol w:w="4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financial institutions or financial services entities;</w:t>
            </w:r>
          </w:p>
        </w:tc>
      </w:tr>
    </w:tbl>
    <w:p>
      <w:pPr>
        <w:pStyle w:val="TextBody"/>
        <w:bidi w:val="0"/>
        <w:spacing w:before="0" w:after="0"/>
        <w:ind w:left="0"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68"/>
        <w:gridCol w:w="200"/>
        <w:gridCol w:w="1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pPr>
            <w:r>
              <w:rPr/>
              <w:t>broker-dealers;</w:t>
            </w:r>
          </w:p>
        </w:tc>
      </w:tr>
    </w:tbl>
    <w:p>
      <w:pPr>
        <w:pStyle w:val="TextBody"/>
        <w:bidi w:val="0"/>
        <w:spacing w:before="0" w:after="0"/>
        <w:ind w:left="0" w:right="0" w:hanging="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00"/>
        <w:gridCol w:w="5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governments or agencies or instrumentalities thereof;</w:t>
            </w:r>
          </w:p>
        </w:tc>
      </w:tr>
    </w:tbl>
    <w:p>
      <w:pPr>
        <w:pStyle w:val="TextBody"/>
        <w:bidi w:val="0"/>
        <w:spacing w:before="0" w:after="0"/>
        <w:ind w:left="0"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68"/>
        <w:gridCol w:w="200"/>
        <w:gridCol w:w="3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68"/>
        <w:gridCol w:w="200"/>
        <w:gridCol w:w="2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pPr>
            <w:r>
              <w:rPr/>
              <w:t>real estate investment trusts;</w:t>
            </w:r>
          </w:p>
        </w:tc>
      </w:tr>
    </w:tbl>
    <w:tbl>
      <w:tblPr>
        <w:tblW w:w="293" w:type="dxa"/>
        <w:jc w:val="left"/>
        <w:tblInd w:w="0" w:type="dxa"/>
        <w:tblLayout w:type="fixed"/>
        <w:tblCellMar>
          <w:top w:w="0" w:type="dxa"/>
          <w:left w:w="0" w:type="dxa"/>
          <w:bottom w:w="0" w:type="dxa"/>
          <w:right w:w="0" w:type="dxa"/>
        </w:tblCellMar>
      </w:tblPr>
      <w:tblGrid>
        <w:gridCol w:w="68"/>
        <w:gridCol w:w="90"/>
        <w:gridCol w:w="135"/>
      </w:tblGrid>
      <w:tr>
        <w:trPr/>
        <w:tc>
          <w:tcPr>
            <w:tcW w:w="6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bl>
    <w:tbl>
      <w:tblPr>
        <w:tblW w:w="8358" w:type="dxa"/>
        <w:jc w:val="left"/>
        <w:tblInd w:w="0" w:type="dxa"/>
        <w:tblLayout w:type="fixed"/>
        <w:tblCellMar>
          <w:top w:w="0" w:type="dxa"/>
          <w:left w:w="0" w:type="dxa"/>
          <w:bottom w:w="0" w:type="dxa"/>
          <w:right w:w="0" w:type="dxa"/>
        </w:tblCellMar>
      </w:tblPr>
      <w:tblGrid>
        <w:gridCol w:w="68"/>
        <w:gridCol w:w="20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persons that actually or constructively own five percent or more of our voting shares;</w:t>
            </w:r>
          </w:p>
        </w:tc>
      </w:tr>
    </w:tbl>
    <w:p>
      <w:pPr>
        <w:pStyle w:val="TextBody"/>
        <w:bidi w:val="0"/>
        <w:spacing w:before="0" w:after="0"/>
        <w:ind w:left="0"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00"/>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68"/>
        <w:gridCol w:w="20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dealers or traders subject to a mark-to-market method of accounting with respect to the securities;</w:t>
            </w:r>
          </w:p>
        </w:tc>
      </w:tr>
    </w:tbl>
    <w:tbl>
      <w:tblPr>
        <w:tblW w:w="293" w:type="dxa"/>
        <w:jc w:val="left"/>
        <w:tblInd w:w="0" w:type="dxa"/>
        <w:tblLayout w:type="fixed"/>
        <w:tblCellMar>
          <w:top w:w="0" w:type="dxa"/>
          <w:left w:w="0" w:type="dxa"/>
          <w:bottom w:w="0" w:type="dxa"/>
          <w:right w:w="0" w:type="dxa"/>
        </w:tblCellMar>
      </w:tblPr>
      <w:tblGrid>
        <w:gridCol w:w="68"/>
        <w:gridCol w:w="90"/>
        <w:gridCol w:w="135"/>
      </w:tblGrid>
      <w:tr>
        <w:trPr/>
        <w:tc>
          <w:tcPr>
            <w:tcW w:w="6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bl>
    <w:tbl>
      <w:tblPr>
        <w:tblW w:w="10143" w:type="dxa"/>
        <w:jc w:val="left"/>
        <w:tblInd w:w="0" w:type="dxa"/>
        <w:tblLayout w:type="fixed"/>
        <w:tblCellMar>
          <w:top w:w="0" w:type="dxa"/>
          <w:left w:w="0" w:type="dxa"/>
          <w:bottom w:w="0" w:type="dxa"/>
          <w:right w:w="0" w:type="dxa"/>
        </w:tblCellMar>
      </w:tblPr>
      <w:tblGrid>
        <w:gridCol w:w="68"/>
        <w:gridCol w:w="200"/>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persons holding the securities as part of a “straddle,” hedge, integrated transaction or similar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persons who acquired the securities through the exercise or cancellation of employee stock options or otherwise as compensation for their services;</w:t>
            </w:r>
          </w:p>
        </w:tc>
      </w:tr>
    </w:tbl>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68"/>
        <w:gridCol w:w="200"/>
        <w:gridCol w:w="77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pPr>
            <w:r>
              <w:rPr/>
              <w:t>U.S. holders (as defined below) whose functional currency is not the U.S. dollar;</w:t>
            </w:r>
          </w:p>
        </w:tc>
      </w:tr>
    </w:tbl>
    <w:tbl>
      <w:tblPr>
        <w:tblW w:w="293" w:type="dxa"/>
        <w:jc w:val="left"/>
        <w:tblInd w:w="0" w:type="dxa"/>
        <w:tblLayout w:type="fixed"/>
        <w:tblCellMar>
          <w:top w:w="0" w:type="dxa"/>
          <w:left w:w="0" w:type="dxa"/>
          <w:bottom w:w="0" w:type="dxa"/>
          <w:right w:w="0" w:type="dxa"/>
        </w:tblCellMar>
      </w:tblPr>
      <w:tblGrid>
        <w:gridCol w:w="68"/>
        <w:gridCol w:w="90"/>
        <w:gridCol w:w="135"/>
      </w:tblGrid>
      <w:tr>
        <w:trPr/>
        <w:tc>
          <w:tcPr>
            <w:tcW w:w="6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bl>
    <w:tbl>
      <w:tblPr>
        <w:tblW w:w="5823" w:type="dxa"/>
        <w:jc w:val="left"/>
        <w:tblInd w:w="0" w:type="dxa"/>
        <w:tblLayout w:type="fixed"/>
        <w:tblCellMar>
          <w:top w:w="0" w:type="dxa"/>
          <w:left w:w="0" w:type="dxa"/>
          <w:bottom w:w="0" w:type="dxa"/>
          <w:right w:w="0" w:type="dxa"/>
        </w:tblCellMar>
      </w:tblPr>
      <w:tblGrid>
        <w:gridCol w:w="68"/>
        <w:gridCol w:w="200"/>
        <w:gridCol w:w="55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U.S. expatriates or former long-term residents of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partnerships or other pass-through entities for U.S. federal income tax purposes and any beneficial owners of such entities; and</w:t>
            </w:r>
          </w:p>
        </w:tc>
      </w:tr>
    </w:tbl>
    <w:p>
      <w:pPr>
        <w:pStyle w:val="TextBody"/>
        <w:bidi w:val="0"/>
        <w:spacing w:before="0" w:after="0"/>
        <w:ind w:left="0" w:right="0" w:hanging="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68"/>
        <w:gridCol w:w="200"/>
        <w:gridCol w:w="1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tax-exempt entities.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“U.S. holder.” A U.S. holder is a beneficial owner of our shares of Common Stock or Warrants who or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68"/>
        <w:gridCol w:w="20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corporation (or other entity taxable as a corporation)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 estate the income of which is includible in gross income for U.S. federal income tax purposes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Times;Serif" w:hAnsi="Times New Roman;Times;Serif"/>
          <w:b w:val="false"/>
          <w:i/>
          <w:caps w:val="false"/>
          <w:smallCaps w:val="false"/>
          <w:sz w:val="20"/>
        </w:rPr>
        <w:t>U.S. Holders-Gain or Loss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or Loss on Sale, Taxable Exchange or Other Taxable Disposition of Common Stock and Warrants. </w:t>
      </w:r>
      <w:r>
        <w:rPr>
          <w:rFonts w:ascii="Times New Roman;Times;Serif" w:hAnsi="Times New Roman;Times;Serif"/>
          <w:b w:val="false"/>
          <w:i w:val="false"/>
          <w:caps w:val="false"/>
          <w:smallCaps w:val="false"/>
          <w:sz w:val="20"/>
        </w:rPr>
        <w:t>A U.S. holder will generally recognize gain or loss 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Warrants for cash pursuant to the redemption provisions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such redemption or purchase generally will be treated as a taxable disposition to the U.S. holder, taxed as described above under “-</w:t>
      </w:r>
      <w:r>
        <w:rPr>
          <w:rFonts w:ascii="Times New Roman;Times;Serif" w:hAnsi="Times New Roman;Times;Serif"/>
          <w:b w:val="false"/>
          <w:i/>
          <w:caps w:val="false"/>
          <w:smallCaps w:val="false"/>
          <w:sz w:val="20"/>
        </w:rPr>
        <w:t>Gain or Loss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Times;Serif" w:hAnsi="Times New Roman;Times;Serif"/>
          <w:b w:val="false"/>
          <w:i/>
          <w:caps w:val="false"/>
          <w:smallCaps w:val="false"/>
          <w:sz w:val="20"/>
        </w:rPr>
        <w:t>Taxation of Distributions</w:t>
      </w:r>
      <w:r>
        <w:rPr>
          <w:rFonts w:ascii="Times New Roman;Times;Serif" w:hAnsi="Times New Roman;Times;Serif"/>
          <w:b w:val="false"/>
          <w:i w:val="false"/>
          <w:caps w:val="false"/>
          <w:smallCaps w:val="false"/>
          <w:sz w:val="20"/>
        </w:rPr>
        <w:t>” in the same manner as if the U.S. holders of the Warrants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 general, information reporting requirements may apply to dividends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amounts withheld under the backup withholding rules generally should be allowed as a refund or a credit against a U.S. holder’s U.S. federal income tax liability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to you if you are a “Non-U.S. holder.” As used herein, the term “Non-U.S. holder” means a beneficial owner of our Common Stock or Warrants who or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non-resident alien individual (other than certain former citizens and residents of the U.S. subject to U.S. tax as expatriates);</w:t>
            </w:r>
          </w:p>
        </w:tc>
      </w:tr>
    </w:tbl>
    <w:p>
      <w:pPr>
        <w:pStyle w:val="TextBody"/>
        <w:bidi w:val="0"/>
        <w:spacing w:before="0" w:after="0"/>
        <w:ind w:left="0" w:right="0" w:hanging="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200"/>
        <w:gridCol w:w="2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a foreign corporation; or</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00"/>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pPr>
            <w:r>
              <w:rPr/>
              <w:t>an estate or trust that is not a U.S.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Taxation of Distributions. </w:t>
      </w:r>
      <w:r>
        <w:rPr>
          <w:rFonts w:ascii="Times New Roman;Times;Serif" w:hAnsi="Times New Roman;Times;Serif"/>
          <w:b w:val="false"/>
          <w:i w:val="false"/>
          <w:caps w:val="false"/>
          <w:smallCaps w:val="false"/>
          <w:sz w:val="20"/>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Lapse or Redemption of a Warrant. </w:t>
      </w:r>
      <w:r>
        <w:rPr>
          <w:rFonts w:ascii="Times New Roman;Times;Serif" w:hAnsi="Times New Roman;Times;Serif"/>
          <w:b w:val="false"/>
          <w:i w:val="false"/>
          <w:caps w:val="false"/>
          <w:smallCaps w:val="false"/>
          <w:sz w:val="20"/>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Times;Serif" w:hAnsi="Times New Roman;Times;Serif"/>
          <w:b w:val="false"/>
          <w:i/>
          <w:caps w:val="false"/>
          <w:smallCaps w:val="false"/>
          <w:sz w:val="20"/>
        </w:rPr>
        <w:t>U.S. Holders-Exercise, Lapse or Redemption of a Warrant</w:t>
      </w:r>
      <w:r>
        <w:rPr>
          <w:rFonts w:ascii="Times New Roman;Times;Serif" w:hAnsi="Times New Roman;Times;Serif"/>
          <w:b w:val="false"/>
          <w:i w:val="false"/>
          <w:caps w:val="false"/>
          <w:smallCaps w:val="false"/>
          <w:sz w:val="20"/>
        </w:rPr>
        <w:t>” above, although to the extent a cashless exercise results in a taxable exchange, the consequences would be similar to those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 The U.S. federal income tax treatment for a Non-U.S. holder of a redemption of Warrants for cash described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(or if we purchase Warrants in an open market transaction) would be similar to that described below in “</w:t>
      </w:r>
      <w:r>
        <w:rPr>
          <w:rFonts w:ascii="Times New Roman;Times;Serif" w:hAnsi="Times New Roman;Times;Serif"/>
          <w:b w:val="false"/>
          <w:i/>
          <w:caps w:val="false"/>
          <w:smallCaps w:val="false"/>
          <w:sz w:val="20"/>
        </w:rPr>
        <w:t>Non-U.S. Holders-Gain on Sale, Taxable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Sale, Taxable Exchange or Other Taxable Disposition of Common Stock and Warrants. </w:t>
      </w: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(including a redemption of our Warrants),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and do not anticipate becoming, a U.S. real property holding corporation; however, there can be no assurance that we will not become a U.S. real property holding corporation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Constructive Distributions. </w:t>
      </w: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entitled “</w:t>
      </w:r>
      <w:r>
        <w:rPr>
          <w:rFonts w:ascii="Times New Roman;Times;Serif" w:hAnsi="Times New Roman;Times;Serif"/>
          <w:b w:val="false"/>
          <w:i/>
          <w:caps w:val="false"/>
          <w:smallCaps w:val="false"/>
          <w:sz w:val="20"/>
        </w:rPr>
        <w:t>Description of Securities-Warrants</w:t>
      </w:r>
      <w:r>
        <w:rPr>
          <w:rFonts w:ascii="Times New Roman;Times;Serif" w:hAnsi="Times New Roman;Times;Serif"/>
          <w:b w:val="false"/>
          <w:i w:val="false"/>
          <w:caps w:val="false"/>
          <w:smallCaps w:val="false"/>
          <w:sz w:val="20"/>
        </w:rPr>
        <w:t>.” An adjustment which has the effect of preventing dilution is generally not taxable. The Non-U.S. holders of Warrants would, 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w:t>
      </w:r>
      <w:r>
        <w:rPr>
          <w:rFonts w:ascii="Times New Roman;Times;Serif" w:hAnsi="Times New Roman;Times;Serif"/>
          <w:b w:val="false"/>
          <w:i w:val="false"/>
          <w:caps w:val="false"/>
          <w:smallCaps w:val="false"/>
          <w:sz w:val="20"/>
        </w:rPr>
        <w:t>Information returns will be filed with the IRS in connection with payments of dividends and the proceeds 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FATCA Withholding Taxes. </w:t>
      </w: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20"/>
      <w:bookmarkEnd w:id="21"/>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will pass upon the validity of the Common Stock and Warrants covered by this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1"/>
      <w:bookmarkEnd w:id="22"/>
      <w:r>
        <w:rPr>
          <w:rFonts w:ascii="Times New Roman;Times;Serif" w:hAnsi="Times New Roman;Times;Serif"/>
          <w:b/>
          <w:i w:val="false"/>
          <w:caps/>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2"/>
      <w:bookmarkEnd w:id="23"/>
      <w:r>
        <w:rPr>
          <w:rFonts w:ascii="Times New Roman;Times;Serif" w:hAnsi="Times New Roman;Times;Serif"/>
          <w:b/>
          <w:i w:val="false"/>
          <w:caps/>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Audit Committee of the Board approved Berkowitz Pollack Brant Advisors + CPAs (“BPB”) as its independent registered public accounting firm. BPB previously served as the independent registered public accounting firm of SEE ID prior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FINANCIAL STATEMENTS AND SUPPLEMENTARY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INDEX TO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6"/>
        <w:gridCol w:w="509"/>
      </w:tblGrid>
      <w:tr>
        <w:trPr/>
        <w:tc>
          <w:tcPr>
            <w:tcW w:w="9696"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center"/>
              <w:rPr/>
            </w:pPr>
            <w:r>
              <w:rPr/>
              <w:t> </w:t>
            </w:r>
          </w:p>
        </w:tc>
      </w:tr>
      <w:tr>
        <w:trPr/>
        <w:tc>
          <w:tcPr>
            <w:tcW w:w="9696" w:type="dxa"/>
            <w:tcBorders/>
            <w:shd w:fill="CCEEFF" w:val="clear"/>
            <w:vAlign w:val="center"/>
          </w:tcPr>
          <w:p>
            <w:pPr>
              <w:pStyle w:val="TableContents"/>
              <w:bidi w:val="0"/>
              <w:spacing w:before="0" w:after="283"/>
              <w:jc w:val="left"/>
              <w:rPr>
                <w:b/>
                <w:sz w:val="20"/>
              </w:rPr>
            </w:pPr>
            <w:r>
              <w:rPr>
                <w:b/>
                <w:sz w:val="20"/>
              </w:rPr>
              <w:t>CID HoldCo, Inc. (formerly known as SEE ID, Inc. dba Dot Ai)</w:t>
            </w:r>
          </w:p>
        </w:tc>
        <w:tc>
          <w:tcPr>
            <w:tcW w:w="509" w:type="dxa"/>
            <w:tcBorders/>
            <w:shd w:fill="CCEEFF" w:val="clear"/>
            <w:vAlign w:val="center"/>
          </w:tcPr>
          <w:p>
            <w:pPr>
              <w:pStyle w:val="TableContents"/>
              <w:bidi w:val="0"/>
              <w:spacing w:before="0" w:after="283"/>
              <w:jc w:val="center"/>
              <w:rPr/>
            </w:pPr>
            <w:r>
              <w:rPr/>
              <w:t> </w:t>
            </w:r>
          </w:p>
        </w:tc>
      </w:tr>
      <w:tr>
        <w:trPr/>
        <w:tc>
          <w:tcPr>
            <w:tcW w:w="969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center"/>
              <w:rPr/>
            </w:pPr>
            <w:r>
              <w:rPr/>
              <w:t> </w:t>
            </w:r>
          </w:p>
        </w:tc>
      </w:tr>
      <w:tr>
        <w:trPr/>
        <w:tc>
          <w:tcPr>
            <w:tcW w:w="9696" w:type="dxa"/>
            <w:tcBorders/>
            <w:shd w:fill="CCEEFF" w:val="clear"/>
            <w:vAlign w:val="center"/>
          </w:tcPr>
          <w:p>
            <w:pPr>
              <w:pStyle w:val="TableContents"/>
              <w:bidi w:val="0"/>
              <w:spacing w:before="0" w:after="283"/>
              <w:jc w:val="left"/>
              <w:rPr/>
            </w:pPr>
            <w:r>
              <w:rPr/>
              <w:t xml:space="preserve">Unaudited Financial Statements </w:t>
            </w:r>
          </w:p>
        </w:tc>
        <w:tc>
          <w:tcPr>
            <w:tcW w:w="509" w:type="dxa"/>
            <w:tcBorders/>
            <w:shd w:fill="CCEEFF" w:val="clear"/>
            <w:vAlign w:val="center"/>
          </w:tcPr>
          <w:p>
            <w:pPr>
              <w:pStyle w:val="TableContents"/>
              <w:bidi w:val="0"/>
              <w:spacing w:before="0" w:after="283"/>
              <w:jc w:val="center"/>
              <w:rPr/>
            </w:pPr>
            <w:r>
              <w:rPr/>
              <w:t> </w:t>
            </w:r>
          </w:p>
        </w:tc>
      </w:tr>
      <w:tr>
        <w:trPr/>
        <w:tc>
          <w:tcPr>
            <w:tcW w:w="9696" w:type="dxa"/>
            <w:tcBorders/>
            <w:shd w:fill="FFFFFF" w:val="clear"/>
            <w:vAlign w:val="center"/>
          </w:tcPr>
          <w:p>
            <w:pPr>
              <w:pStyle w:val="TableContents"/>
              <w:bidi w:val="0"/>
              <w:spacing w:before="0" w:after="283"/>
              <w:jc w:val="left"/>
              <w:rPr/>
            </w:pPr>
            <w:hyperlink w:anchor="a_024">
              <w:r>
                <w:rPr>
                  <w:rStyle w:val="InternetLink"/>
                  <w:sz w:val="20"/>
                </w:rPr>
                <w:t>Condensed Consolidated balance sheets at June 30, 2025 (unaudited) and December 31, 2024</w:t>
              </w:r>
            </w:hyperlink>
          </w:p>
        </w:tc>
        <w:tc>
          <w:tcPr>
            <w:tcW w:w="509" w:type="dxa"/>
            <w:tcBorders/>
            <w:shd w:fill="FFFFFF" w:val="clear"/>
            <w:vAlign w:val="center"/>
          </w:tcPr>
          <w:p>
            <w:pPr>
              <w:pStyle w:val="TableContents"/>
              <w:bidi w:val="0"/>
              <w:spacing w:before="0" w:after="283"/>
              <w:ind w:left="0" w:right="0" w:hanging="180"/>
              <w:jc w:val="center"/>
              <w:rPr/>
            </w:pPr>
            <w:r>
              <w:rPr/>
              <w:t>F-2</w:t>
            </w:r>
          </w:p>
        </w:tc>
      </w:tr>
      <w:tr>
        <w:trPr/>
        <w:tc>
          <w:tcPr>
            <w:tcW w:w="9696" w:type="dxa"/>
            <w:tcBorders/>
            <w:shd w:fill="CCEEFF" w:val="clear"/>
            <w:vAlign w:val="center"/>
          </w:tcPr>
          <w:p>
            <w:pPr>
              <w:pStyle w:val="TableContents"/>
              <w:bidi w:val="0"/>
              <w:spacing w:before="0" w:after="283"/>
              <w:jc w:val="left"/>
              <w:rPr/>
            </w:pPr>
            <w:hyperlink w:anchor="a_025">
              <w:r>
                <w:rPr>
                  <w:rStyle w:val="InternetLink"/>
                  <w:sz w:val="20"/>
                </w:rPr>
                <w:t>Condensed Consolidated statements of operations for the three and six-months ended June 30, 2025 and 2024 (unaudited)</w:t>
              </w:r>
            </w:hyperlink>
          </w:p>
        </w:tc>
        <w:tc>
          <w:tcPr>
            <w:tcW w:w="509" w:type="dxa"/>
            <w:tcBorders/>
            <w:shd w:fill="CCEEFF" w:val="clear"/>
            <w:vAlign w:val="center"/>
          </w:tcPr>
          <w:p>
            <w:pPr>
              <w:pStyle w:val="TableContents"/>
              <w:bidi w:val="0"/>
              <w:spacing w:before="0" w:after="283"/>
              <w:ind w:left="0" w:right="0" w:hanging="180"/>
              <w:jc w:val="center"/>
              <w:rPr/>
            </w:pPr>
            <w:r>
              <w:rPr/>
              <w:t>F-3</w:t>
            </w:r>
          </w:p>
        </w:tc>
      </w:tr>
      <w:tr>
        <w:trPr/>
        <w:tc>
          <w:tcPr>
            <w:tcW w:w="9696" w:type="dxa"/>
            <w:tcBorders/>
            <w:shd w:fill="FFFFFF" w:val="clear"/>
            <w:vAlign w:val="center"/>
          </w:tcPr>
          <w:p>
            <w:pPr>
              <w:pStyle w:val="TableContents"/>
              <w:bidi w:val="0"/>
              <w:spacing w:before="0" w:after="283"/>
              <w:jc w:val="left"/>
              <w:rPr/>
            </w:pPr>
            <w:hyperlink w:anchor="a_026">
              <w:r>
                <w:rPr>
                  <w:rStyle w:val="InternetLink"/>
                  <w:sz w:val="20"/>
                </w:rPr>
                <w:t>Condensed Consolidated statements of stockholders’ equity (deficit) for the three and six-months ended June 30, 2025 and 2024 (unaudited)</w:t>
              </w:r>
            </w:hyperlink>
          </w:p>
        </w:tc>
        <w:tc>
          <w:tcPr>
            <w:tcW w:w="509" w:type="dxa"/>
            <w:tcBorders/>
            <w:shd w:fill="FFFFFF" w:val="clear"/>
            <w:vAlign w:val="center"/>
          </w:tcPr>
          <w:p>
            <w:pPr>
              <w:pStyle w:val="TableContents"/>
              <w:bidi w:val="0"/>
              <w:spacing w:before="0" w:after="283"/>
              <w:jc w:val="center"/>
              <w:rPr/>
            </w:pPr>
            <w:r>
              <w:rPr/>
              <w:t>F-4</w:t>
            </w:r>
          </w:p>
        </w:tc>
      </w:tr>
      <w:tr>
        <w:trPr/>
        <w:tc>
          <w:tcPr>
            <w:tcW w:w="9696" w:type="dxa"/>
            <w:tcBorders/>
            <w:shd w:fill="CCEEFF" w:val="clear"/>
            <w:vAlign w:val="center"/>
          </w:tcPr>
          <w:p>
            <w:pPr>
              <w:pStyle w:val="TableContents"/>
              <w:bidi w:val="0"/>
              <w:spacing w:before="0" w:after="283"/>
              <w:jc w:val="left"/>
              <w:rPr/>
            </w:pPr>
            <w:hyperlink w:anchor="a_027">
              <w:r>
                <w:rPr>
                  <w:rStyle w:val="InternetLink"/>
                  <w:sz w:val="20"/>
                </w:rPr>
                <w:t>Condensed Consolidated statements of cash flows for the three and six-months ended June 30, 2025 and 2024 (unaudited)</w:t>
              </w:r>
            </w:hyperlink>
          </w:p>
        </w:tc>
        <w:tc>
          <w:tcPr>
            <w:tcW w:w="509" w:type="dxa"/>
            <w:tcBorders/>
            <w:shd w:fill="CCEEFF" w:val="clear"/>
            <w:vAlign w:val="center"/>
          </w:tcPr>
          <w:p>
            <w:pPr>
              <w:pStyle w:val="TableContents"/>
              <w:bidi w:val="0"/>
              <w:spacing w:before="0" w:after="283"/>
              <w:jc w:val="center"/>
              <w:rPr/>
            </w:pPr>
            <w:r>
              <w:rPr/>
              <w:t>F-5</w:t>
            </w:r>
          </w:p>
        </w:tc>
      </w:tr>
      <w:tr>
        <w:trPr/>
        <w:tc>
          <w:tcPr>
            <w:tcW w:w="9696" w:type="dxa"/>
            <w:tcBorders/>
            <w:shd w:fill="FFFFFF" w:val="clear"/>
            <w:vAlign w:val="center"/>
          </w:tcPr>
          <w:p>
            <w:pPr>
              <w:pStyle w:val="TableContents"/>
              <w:bidi w:val="0"/>
              <w:spacing w:before="0" w:after="283"/>
              <w:jc w:val="left"/>
              <w:rPr/>
            </w:pPr>
            <w:hyperlink w:anchor="a_028">
              <w:r>
                <w:rPr>
                  <w:rStyle w:val="InternetLink"/>
                  <w:sz w:val="20"/>
                </w:rPr>
                <w:t>Notes to condensed consolidated financial statements</w:t>
              </w:r>
            </w:hyperlink>
          </w:p>
        </w:tc>
        <w:tc>
          <w:tcPr>
            <w:tcW w:w="509" w:type="dxa"/>
            <w:tcBorders/>
            <w:shd w:fill="FFFFFF" w:val="clear"/>
            <w:vAlign w:val="center"/>
          </w:tcPr>
          <w:p>
            <w:pPr>
              <w:pStyle w:val="TableContents"/>
              <w:bidi w:val="0"/>
              <w:spacing w:before="0" w:after="283"/>
              <w:jc w:val="center"/>
              <w:rPr/>
            </w:pPr>
            <w:r>
              <w:rPr/>
              <w:t>F-6</w:t>
            </w:r>
          </w:p>
        </w:tc>
      </w:tr>
      <w:tr>
        <w:trPr/>
        <w:tc>
          <w:tcPr>
            <w:tcW w:w="9696"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center"/>
              <w:rPr/>
            </w:pPr>
            <w:r>
              <w:rPr/>
              <w:t> </w:t>
            </w:r>
          </w:p>
        </w:tc>
      </w:tr>
      <w:tr>
        <w:trPr/>
        <w:tc>
          <w:tcPr>
            <w:tcW w:w="9696" w:type="dxa"/>
            <w:tcBorders/>
            <w:shd w:fill="FFFFFF" w:val="clear"/>
            <w:vAlign w:val="center"/>
          </w:tcPr>
          <w:p>
            <w:pPr>
              <w:pStyle w:val="TableContents"/>
              <w:bidi w:val="0"/>
              <w:spacing w:before="0" w:after="283"/>
              <w:jc w:val="left"/>
              <w:rPr>
                <w:sz w:val="20"/>
              </w:rPr>
            </w:pPr>
            <w:r>
              <w:rPr>
                <w:sz w:val="20"/>
              </w:rPr>
              <w:t>Audited Financial Statements  </w:t>
            </w:r>
          </w:p>
        </w:tc>
        <w:tc>
          <w:tcPr>
            <w:tcW w:w="509" w:type="dxa"/>
            <w:tcBorders/>
            <w:shd w:fill="FFFFFF" w:val="clear"/>
            <w:vAlign w:val="center"/>
          </w:tcPr>
          <w:p>
            <w:pPr>
              <w:pStyle w:val="TableContents"/>
              <w:bidi w:val="0"/>
              <w:spacing w:before="0" w:after="283"/>
              <w:jc w:val="center"/>
              <w:rPr/>
            </w:pPr>
            <w:r>
              <w:rPr/>
              <w:t> </w:t>
            </w:r>
          </w:p>
        </w:tc>
      </w:tr>
      <w:tr>
        <w:trPr/>
        <w:tc>
          <w:tcPr>
            <w:tcW w:w="9696"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center"/>
              <w:rPr/>
            </w:pPr>
            <w:r>
              <w:rPr/>
              <w:t> </w:t>
            </w:r>
          </w:p>
        </w:tc>
      </w:tr>
      <w:tr>
        <w:trPr/>
        <w:tc>
          <w:tcPr>
            <w:tcW w:w="9696"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Accountant (PCAOB ID: 52)</w:t>
              </w:r>
            </w:hyperlink>
          </w:p>
        </w:tc>
        <w:tc>
          <w:tcPr>
            <w:tcW w:w="509" w:type="dxa"/>
            <w:tcBorders/>
            <w:shd w:fill="FFFFFF" w:val="clear"/>
            <w:vAlign w:val="center"/>
          </w:tcPr>
          <w:p>
            <w:pPr>
              <w:pStyle w:val="TableContents"/>
              <w:bidi w:val="0"/>
              <w:spacing w:before="0" w:after="283"/>
              <w:jc w:val="center"/>
              <w:rPr/>
            </w:pPr>
            <w:r>
              <w:rPr/>
              <w:t>F-26</w:t>
            </w:r>
          </w:p>
        </w:tc>
      </w:tr>
      <w:tr>
        <w:trPr/>
        <w:tc>
          <w:tcPr>
            <w:tcW w:w="9696" w:type="dxa"/>
            <w:tcBorders/>
            <w:shd w:fill="CCEEFF" w:val="clear"/>
            <w:vAlign w:val="center"/>
          </w:tcPr>
          <w:p>
            <w:pPr>
              <w:pStyle w:val="TableContents"/>
              <w:bidi w:val="0"/>
              <w:spacing w:before="0" w:after="283"/>
              <w:jc w:val="left"/>
              <w:rPr/>
            </w:pPr>
            <w:hyperlink w:anchor="f_002">
              <w:r>
                <w:rPr>
                  <w:rStyle w:val="InternetLink"/>
                  <w:sz w:val="20"/>
                </w:rPr>
                <w:t>Report of Independent Registered Public Accountant (PCAOB ID: 392)</w:t>
              </w:r>
            </w:hyperlink>
          </w:p>
        </w:tc>
        <w:tc>
          <w:tcPr>
            <w:tcW w:w="509" w:type="dxa"/>
            <w:tcBorders/>
            <w:shd w:fill="CCEEFF" w:val="clear"/>
            <w:vAlign w:val="center"/>
          </w:tcPr>
          <w:p>
            <w:pPr>
              <w:pStyle w:val="TableContents"/>
              <w:bidi w:val="0"/>
              <w:spacing w:before="0" w:after="283"/>
              <w:jc w:val="center"/>
              <w:rPr/>
            </w:pPr>
            <w:r>
              <w:rPr/>
              <w:t>F-27</w:t>
            </w:r>
          </w:p>
        </w:tc>
      </w:tr>
      <w:tr>
        <w:trPr/>
        <w:tc>
          <w:tcPr>
            <w:tcW w:w="9696" w:type="dxa"/>
            <w:tcBorders/>
            <w:shd w:fill="FFFFFF" w:val="clear"/>
            <w:vAlign w:val="center"/>
          </w:tcPr>
          <w:p>
            <w:pPr>
              <w:pStyle w:val="TableContents"/>
              <w:bidi w:val="0"/>
              <w:spacing w:before="0" w:after="283"/>
              <w:jc w:val="left"/>
              <w:rPr/>
            </w:pPr>
            <w:hyperlink w:anchor="f_003">
              <w:r>
                <w:rPr>
                  <w:rStyle w:val="InternetLink"/>
                  <w:sz w:val="20"/>
                </w:rPr>
                <w:t>Consolidated balance sheets</w:t>
              </w:r>
            </w:hyperlink>
          </w:p>
        </w:tc>
        <w:tc>
          <w:tcPr>
            <w:tcW w:w="509" w:type="dxa"/>
            <w:tcBorders/>
            <w:shd w:fill="FFFFFF" w:val="clear"/>
            <w:vAlign w:val="center"/>
          </w:tcPr>
          <w:p>
            <w:pPr>
              <w:pStyle w:val="TableContents"/>
              <w:bidi w:val="0"/>
              <w:spacing w:before="0" w:after="283"/>
              <w:jc w:val="center"/>
              <w:rPr/>
            </w:pPr>
            <w:r>
              <w:rPr/>
              <w:t>F-28</w:t>
            </w:r>
          </w:p>
        </w:tc>
      </w:tr>
      <w:tr>
        <w:trPr/>
        <w:tc>
          <w:tcPr>
            <w:tcW w:w="9696" w:type="dxa"/>
            <w:tcBorders/>
            <w:shd w:fill="CCEEFF" w:val="clear"/>
            <w:vAlign w:val="center"/>
          </w:tcPr>
          <w:p>
            <w:pPr>
              <w:pStyle w:val="TableContents"/>
              <w:bidi w:val="0"/>
              <w:spacing w:before="0" w:after="283"/>
              <w:jc w:val="left"/>
              <w:rPr/>
            </w:pPr>
            <w:hyperlink w:anchor="f_004">
              <w:r>
                <w:rPr>
                  <w:rStyle w:val="InternetLink"/>
                  <w:sz w:val="20"/>
                </w:rPr>
                <w:t>Consolidated statements of operations</w:t>
              </w:r>
            </w:hyperlink>
          </w:p>
        </w:tc>
        <w:tc>
          <w:tcPr>
            <w:tcW w:w="509" w:type="dxa"/>
            <w:tcBorders/>
            <w:shd w:fill="CCEEFF" w:val="clear"/>
            <w:vAlign w:val="center"/>
          </w:tcPr>
          <w:p>
            <w:pPr>
              <w:pStyle w:val="TableContents"/>
              <w:bidi w:val="0"/>
              <w:spacing w:before="0" w:after="283"/>
              <w:jc w:val="center"/>
              <w:rPr/>
            </w:pPr>
            <w:r>
              <w:rPr/>
              <w:t>F-30</w:t>
            </w:r>
          </w:p>
        </w:tc>
      </w:tr>
      <w:tr>
        <w:trPr/>
        <w:tc>
          <w:tcPr>
            <w:tcW w:w="9696" w:type="dxa"/>
            <w:tcBorders/>
            <w:shd w:fill="FFFFFF" w:val="clear"/>
            <w:vAlign w:val="center"/>
          </w:tcPr>
          <w:p>
            <w:pPr>
              <w:pStyle w:val="TableContents"/>
              <w:bidi w:val="0"/>
              <w:spacing w:before="0" w:after="283"/>
              <w:jc w:val="left"/>
              <w:rPr/>
            </w:pPr>
            <w:hyperlink w:anchor="f_005">
              <w:r>
                <w:rPr>
                  <w:rStyle w:val="InternetLink"/>
                  <w:sz w:val="20"/>
                </w:rPr>
                <w:t>Consolidated statements of stockholders’ deficit</w:t>
              </w:r>
            </w:hyperlink>
          </w:p>
        </w:tc>
        <w:tc>
          <w:tcPr>
            <w:tcW w:w="509" w:type="dxa"/>
            <w:tcBorders/>
            <w:shd w:fill="FFFFFF" w:val="clear"/>
            <w:vAlign w:val="center"/>
          </w:tcPr>
          <w:p>
            <w:pPr>
              <w:pStyle w:val="TableContents"/>
              <w:bidi w:val="0"/>
              <w:spacing w:before="0" w:after="283"/>
              <w:jc w:val="center"/>
              <w:rPr/>
            </w:pPr>
            <w:r>
              <w:rPr/>
              <w:t>F-31</w:t>
            </w:r>
          </w:p>
        </w:tc>
      </w:tr>
      <w:tr>
        <w:trPr/>
        <w:tc>
          <w:tcPr>
            <w:tcW w:w="9696" w:type="dxa"/>
            <w:tcBorders/>
            <w:shd w:fill="CCEEFF" w:val="clear"/>
            <w:vAlign w:val="center"/>
          </w:tcPr>
          <w:p>
            <w:pPr>
              <w:pStyle w:val="TableContents"/>
              <w:bidi w:val="0"/>
              <w:spacing w:before="0" w:after="283"/>
              <w:jc w:val="left"/>
              <w:rPr/>
            </w:pPr>
            <w:hyperlink w:anchor="f_006">
              <w:r>
                <w:rPr>
                  <w:rStyle w:val="InternetLink"/>
                  <w:sz w:val="20"/>
                </w:rPr>
                <w:t>Consolidated statements of cash flows</w:t>
              </w:r>
            </w:hyperlink>
          </w:p>
        </w:tc>
        <w:tc>
          <w:tcPr>
            <w:tcW w:w="509" w:type="dxa"/>
            <w:tcBorders/>
            <w:shd w:fill="CCEEFF" w:val="clear"/>
            <w:vAlign w:val="center"/>
          </w:tcPr>
          <w:p>
            <w:pPr>
              <w:pStyle w:val="TableContents"/>
              <w:bidi w:val="0"/>
              <w:spacing w:before="0" w:after="283"/>
              <w:jc w:val="center"/>
              <w:rPr/>
            </w:pPr>
            <w:r>
              <w:rPr/>
              <w:t>F-32</w:t>
            </w:r>
          </w:p>
        </w:tc>
      </w:tr>
      <w:tr>
        <w:trPr/>
        <w:tc>
          <w:tcPr>
            <w:tcW w:w="9696" w:type="dxa"/>
            <w:tcBorders/>
            <w:shd w:fill="FFFFFF" w:val="clear"/>
            <w:vAlign w:val="center"/>
          </w:tcPr>
          <w:p>
            <w:pPr>
              <w:pStyle w:val="TableContents"/>
              <w:bidi w:val="0"/>
              <w:spacing w:before="0" w:after="283"/>
              <w:jc w:val="left"/>
              <w:rPr/>
            </w:pPr>
            <w:hyperlink w:anchor="f_007">
              <w:r>
                <w:rPr>
                  <w:rStyle w:val="InternetLink"/>
                  <w:sz w:val="20"/>
                </w:rPr>
                <w:t>Notes to consolidated financial statements</w:t>
              </w:r>
            </w:hyperlink>
          </w:p>
        </w:tc>
        <w:tc>
          <w:tcPr>
            <w:tcW w:w="509" w:type="dxa"/>
            <w:tcBorders/>
            <w:shd w:fill="FFFFFF" w:val="clear"/>
            <w:vAlign w:val="center"/>
          </w:tcPr>
          <w:p>
            <w:pPr>
              <w:pStyle w:val="TableContents"/>
              <w:bidi w:val="0"/>
              <w:spacing w:before="0" w:after="283"/>
              <w:jc w:val="center"/>
              <w:rPr/>
            </w:pPr>
            <w:r>
              <w:rPr/>
              <w:t>F-33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8"/>
        <w:gridCol w:w="90"/>
        <w:gridCol w:w="170"/>
        <w:gridCol w:w="1205"/>
        <w:gridCol w:w="125"/>
        <w:gridCol w:w="90"/>
        <w:gridCol w:w="180"/>
        <w:gridCol w:w="1281"/>
        <w:gridCol w:w="536"/>
      </w:tblGrid>
      <w:tr>
        <w:trPr/>
        <w:tc>
          <w:tcPr>
            <w:tcW w:w="65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536" w:type="dxa"/>
            <w:tcBorders/>
            <w:vAlign w:val="center"/>
          </w:tcPr>
          <w:p>
            <w:pPr>
              <w:pStyle w:val="TableContents"/>
              <w:bidi w:val="0"/>
              <w:spacing w:before="0" w:after="283"/>
              <w:jc w:val="left"/>
              <w:rPr/>
            </w:pPr>
            <w:r>
              <w:rPr/>
              <w:t> </w:t>
            </w:r>
          </w:p>
        </w:tc>
      </w:tr>
      <w:tr>
        <w:trPr/>
        <w:tc>
          <w:tcPr>
            <w:tcW w:w="65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r>
      <w:tr>
        <w:trPr/>
        <w:tc>
          <w:tcPr>
            <w:tcW w:w="652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r>
      <w:tr>
        <w:trPr/>
        <w:tc>
          <w:tcPr>
            <w:tcW w:w="65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6,492,646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721,032</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50,264</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362,434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65,248</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573,385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167,551</w:t>
            </w:r>
          </w:p>
        </w:tc>
        <w:tc>
          <w:tcPr>
            <w:tcW w:w="536" w:type="dxa"/>
            <w:tcBorders/>
            <w:shd w:fill="FFFFFF" w:val="clear"/>
            <w:vAlign w:val="center"/>
          </w:tcPr>
          <w:p>
            <w:pPr>
              <w:pStyle w:val="TableContents"/>
              <w:bidi w:val="0"/>
              <w:spacing w:before="0" w:after="283"/>
              <w:ind w:left="0" w:right="0" w:firstLine="4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1,004,095</w:t>
            </w:r>
          </w:p>
        </w:tc>
        <w:tc>
          <w:tcPr>
            <w:tcW w:w="536" w:type="dxa"/>
            <w:tcBorders/>
            <w:shd w:fill="CCEEFF" w:val="clear"/>
            <w:vAlign w:val="center"/>
          </w:tcPr>
          <w:p>
            <w:pPr>
              <w:pStyle w:val="TableContents"/>
              <w:bidi w:val="0"/>
              <w:spacing w:before="0" w:after="283"/>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11,286</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 (ROU)</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769,087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307,892</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software development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2,397,994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1,761,396</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12,103</w:t>
            </w:r>
          </w:p>
        </w:tc>
        <w:tc>
          <w:tcPr>
            <w:tcW w:w="536" w:type="dxa"/>
            <w:tcBorders/>
            <w:shd w:fill="FFFFFF" w:val="clear"/>
            <w:vAlign w:val="center"/>
          </w:tcPr>
          <w:p>
            <w:pPr>
              <w:pStyle w:val="TableContents"/>
              <w:bidi w:val="0"/>
              <w:spacing w:before="0" w:after="283"/>
              <w:ind w:left="0" w:right="0" w:firstLine="4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3,309,179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2,092,677</w:t>
            </w:r>
          </w:p>
        </w:tc>
        <w:tc>
          <w:tcPr>
            <w:tcW w:w="536" w:type="dxa"/>
            <w:tcBorders/>
            <w:shd w:fill="CCEEFF" w:val="clear"/>
            <w:vAlign w:val="center"/>
          </w:tcPr>
          <w:p>
            <w:pPr>
              <w:pStyle w:val="TableContents"/>
              <w:bidi w:val="0"/>
              <w:spacing w:before="0" w:after="283"/>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10,753,579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3,096,772</w:t>
            </w:r>
          </w:p>
        </w:tc>
        <w:tc>
          <w:tcPr>
            <w:tcW w:w="536" w:type="dxa"/>
            <w:tcBorders/>
            <w:shd w:fill="FFFFFF" w:val="clear"/>
            <w:vAlign w:val="center"/>
          </w:tcPr>
          <w:p>
            <w:pPr>
              <w:pStyle w:val="TableContents"/>
              <w:bidi w:val="0"/>
              <w:spacing w:before="0" w:after="283"/>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536" w:type="dxa"/>
            <w:tcBorders/>
            <w:shd w:fill="CCEEFF" w:val="clear"/>
            <w:vAlign w:val="center"/>
          </w:tcPr>
          <w:p>
            <w:pPr>
              <w:pStyle w:val="TableContents"/>
              <w:bidi w:val="0"/>
              <w:spacing w:before="0" w:after="283"/>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770,276</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1,031,080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24,219</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246,720</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taxes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3,911,691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1,589,988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1,142,643</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36,225</w:t>
            </w:r>
          </w:p>
        </w:tc>
        <w:tc>
          <w:tcPr>
            <w:tcW w:w="536" w:type="dxa"/>
            <w:tcBorders/>
            <w:shd w:fill="FFFFFF" w:val="clear"/>
            <w:vAlign w:val="center"/>
          </w:tcPr>
          <w:p>
            <w:pPr>
              <w:pStyle w:val="TableContents"/>
              <w:bidi w:val="0"/>
              <w:spacing w:before="0" w:after="283"/>
              <w:ind w:left="0" w:right="0" w:firstLine="4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6,990,360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2,220,083</w:t>
            </w:r>
          </w:p>
        </w:tc>
        <w:tc>
          <w:tcPr>
            <w:tcW w:w="536" w:type="dxa"/>
            <w:tcBorders/>
            <w:shd w:fill="CCEEFF" w:val="clear"/>
            <w:vAlign w:val="center"/>
          </w:tcPr>
          <w:p>
            <w:pPr>
              <w:pStyle w:val="TableContents"/>
              <w:bidi w:val="0"/>
              <w:spacing w:before="0" w:after="283"/>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notes,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23,334,626</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net of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1,374,250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1,570,572</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649,718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265,413</w:t>
            </w:r>
          </w:p>
        </w:tc>
        <w:tc>
          <w:tcPr>
            <w:tcW w:w="536" w:type="dxa"/>
            <w:tcBorders/>
            <w:shd w:fill="CCEEFF" w:val="clear"/>
            <w:vAlign w:val="center"/>
          </w:tcPr>
          <w:p>
            <w:pPr>
              <w:pStyle w:val="TableContents"/>
              <w:bidi w:val="0"/>
              <w:spacing w:before="0" w:after="283"/>
              <w:ind w:left="0" w:right="0" w:firstLine="4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2,023,968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25,170,611</w:t>
            </w:r>
          </w:p>
        </w:tc>
        <w:tc>
          <w:tcPr>
            <w:tcW w:w="536" w:type="dxa"/>
            <w:tcBorders/>
            <w:shd w:fill="FFFFFF" w:val="clear"/>
            <w:vAlign w:val="center"/>
          </w:tcPr>
          <w:p>
            <w:pPr>
              <w:pStyle w:val="TableContents"/>
              <w:bidi w:val="0"/>
              <w:spacing w:before="0" w:after="283"/>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9,014,328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27,390,694</w:t>
            </w:r>
          </w:p>
        </w:tc>
        <w:tc>
          <w:tcPr>
            <w:tcW w:w="536" w:type="dxa"/>
            <w:tcBorders/>
            <w:shd w:fill="CCEEFF" w:val="clear"/>
            <w:vAlign w:val="center"/>
          </w:tcPr>
          <w:p>
            <w:pPr>
              <w:pStyle w:val="TableContents"/>
              <w:bidi w:val="0"/>
              <w:spacing w:before="0" w:after="283"/>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 (deficit)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536" w:type="dxa"/>
            <w:tcBorders/>
            <w:shd w:fill="FFFFFF" w:val="clear"/>
            <w:vAlign w:val="center"/>
          </w:tcPr>
          <w:p>
            <w:pPr>
              <w:pStyle w:val="TableContents"/>
              <w:bidi w:val="0"/>
              <w:spacing w:before="0" w:after="283"/>
              <w:ind w:left="0" w:right="0" w:hanging="36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300,000,000 shares authorized; 27,636,939 and 12,210,718 shares issued and outstanding as of June 30,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536" w:type="dxa"/>
            <w:tcBorders/>
            <w:shd w:fill="CCEEFF" w:val="clear"/>
            <w:vAlign w:val="center"/>
          </w:tcPr>
          <w:p>
            <w:pPr>
              <w:pStyle w:val="TableContents"/>
              <w:bidi w:val="0"/>
              <w:spacing w:before="0" w:after="283"/>
              <w:ind w:left="0" w:right="0" w:firstLine="200"/>
              <w:jc w:val="left"/>
              <w:rPr/>
            </w:pPr>
            <w:r>
              <w:rPr/>
              <w:t> </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56,613,511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438,120</w:t>
            </w:r>
          </w:p>
        </w:tc>
        <w:tc>
          <w:tcPr>
            <w:tcW w:w="536" w:type="dxa"/>
            <w:tcBorders/>
            <w:shd w:fill="FFFFFF" w:val="clear"/>
            <w:vAlign w:val="center"/>
          </w:tcPr>
          <w:p>
            <w:pPr>
              <w:pStyle w:val="TableContents"/>
              <w:bidi w:val="0"/>
              <w:spacing w:before="0" w:after="283"/>
              <w:ind w:left="0" w:right="0" w:firstLine="200"/>
              <w:jc w:val="left"/>
              <w:rPr/>
            </w:pPr>
            <w:r>
              <w:rPr/>
              <w:t> </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(54,877,024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(24,733,263</w:t>
            </w:r>
          </w:p>
        </w:tc>
        <w:tc>
          <w:tcPr>
            <w:tcW w:w="5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 (deficit)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1,739,251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(24,293,922</w:t>
            </w:r>
          </w:p>
        </w:tc>
        <w:tc>
          <w:tcPr>
            <w:tcW w:w="5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10,753,579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3,096,772</w:t>
            </w:r>
          </w:p>
        </w:tc>
        <w:tc>
          <w:tcPr>
            <w:tcW w:w="536"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6"/>
        <w:gridCol w:w="90"/>
        <w:gridCol w:w="170"/>
        <w:gridCol w:w="1205"/>
        <w:gridCol w:w="125"/>
        <w:gridCol w:w="90"/>
        <w:gridCol w:w="233"/>
        <w:gridCol w:w="1553"/>
        <w:gridCol w:w="125"/>
        <w:gridCol w:w="90"/>
        <w:gridCol w:w="170"/>
        <w:gridCol w:w="1205"/>
        <w:gridCol w:w="125"/>
        <w:gridCol w:w="90"/>
        <w:gridCol w:w="222"/>
        <w:gridCol w:w="1583"/>
        <w:gridCol w:w="173"/>
      </w:tblGrid>
      <w:tr>
        <w:trPr/>
        <w:tc>
          <w:tcPr>
            <w:tcW w:w="29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73" w:type="dxa"/>
            <w:tcBorders/>
            <w:vAlign w:val="center"/>
          </w:tcPr>
          <w:p>
            <w:pPr>
              <w:pStyle w:val="TableContents"/>
              <w:bidi w:val="0"/>
              <w:spacing w:before="0" w:after="283"/>
              <w:jc w:val="left"/>
              <w:rPr/>
            </w:pPr>
            <w:r>
              <w:rPr/>
              <w:t> </w:t>
            </w:r>
          </w:p>
        </w:tc>
      </w:tr>
      <w:tr>
        <w:trPr/>
        <w:tc>
          <w:tcPr>
            <w:tcW w:w="29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 (As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 (As Restated)</w:t>
            </w:r>
          </w:p>
        </w:tc>
        <w:tc>
          <w:tcPr>
            <w:tcW w:w="173" w:type="dxa"/>
            <w:tcBorders/>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126,833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553" w:type="dxa"/>
            <w:tcBorders/>
            <w:shd w:fill="CCEEFF" w:val="clear"/>
            <w:vAlign w:val="center"/>
          </w:tcPr>
          <w:p>
            <w:pPr>
              <w:pStyle w:val="TableContents"/>
              <w:bidi w:val="0"/>
              <w:spacing w:before="0" w:after="283"/>
              <w:jc w:val="right"/>
              <w:rPr/>
            </w:pPr>
            <w:r>
              <w:rPr/>
              <w:t>23,442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479,331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583" w:type="dxa"/>
            <w:tcBorders/>
            <w:shd w:fill="CCEEFF" w:val="clear"/>
            <w:vAlign w:val="center"/>
          </w:tcPr>
          <w:p>
            <w:pPr>
              <w:pStyle w:val="TableContents"/>
              <w:bidi w:val="0"/>
              <w:spacing w:before="0" w:after="283"/>
              <w:jc w:val="right"/>
              <w:rPr/>
            </w:pPr>
            <w:r>
              <w:rPr/>
              <w:t>101,995</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Cost of goods sold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67,194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FFFFFF" w:val="clear"/>
            <w:tcMar>
              <w:bottom w:w="28" w:type="dxa"/>
            </w:tcMar>
            <w:vAlign w:val="center"/>
          </w:tcPr>
          <w:p>
            <w:pPr>
              <w:pStyle w:val="TableContents"/>
              <w:bidi w:val="0"/>
              <w:spacing w:before="0" w:after="283"/>
              <w:jc w:val="right"/>
              <w:rPr/>
            </w:pPr>
            <w:r>
              <w:rPr/>
              <w:t>6,442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84,272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FFFFFF" w:val="clear"/>
            <w:tcMar>
              <w:bottom w:w="28" w:type="dxa"/>
            </w:tcMar>
            <w:vAlign w:val="center"/>
          </w:tcPr>
          <w:p>
            <w:pPr>
              <w:pStyle w:val="TableContents"/>
              <w:bidi w:val="0"/>
              <w:spacing w:before="0" w:after="283"/>
              <w:jc w:val="right"/>
              <w:rPr/>
            </w:pPr>
            <w:r>
              <w:rPr/>
              <w:t>10,009</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59,639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CCEEFF" w:val="clear"/>
            <w:tcMar>
              <w:bottom w:w="28" w:type="dxa"/>
            </w:tcMar>
            <w:vAlign w:val="center"/>
          </w:tcPr>
          <w:p>
            <w:pPr>
              <w:pStyle w:val="TableContents"/>
              <w:bidi w:val="0"/>
              <w:spacing w:before="0" w:after="283"/>
              <w:jc w:val="right"/>
              <w:rPr/>
            </w:pPr>
            <w:r>
              <w:rPr/>
              <w:t>17,000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395,059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CCEEFF" w:val="clear"/>
            <w:tcMar>
              <w:bottom w:w="28" w:type="dxa"/>
            </w:tcMar>
            <w:vAlign w:val="center"/>
          </w:tcPr>
          <w:p>
            <w:pPr>
              <w:pStyle w:val="TableContents"/>
              <w:bidi w:val="0"/>
              <w:spacing w:before="0" w:after="283"/>
              <w:jc w:val="right"/>
              <w:rPr/>
            </w:pPr>
            <w:r>
              <w:rPr/>
              <w:t>91,986</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824,204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246,216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1,441,935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t>557,575</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Research and development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181,641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152,467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575,505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273,313</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770,247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730,620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1,452,996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t>1,124,586</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Acquisition and integration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534,290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323,562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911,627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865,802</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Total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2,315,483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FFFFFF" w:val="clear"/>
            <w:tcMar>
              <w:bottom w:w="28" w:type="dxa"/>
            </w:tcMar>
            <w:vAlign w:val="center"/>
          </w:tcPr>
          <w:p>
            <w:pPr>
              <w:pStyle w:val="TableContents"/>
              <w:bidi w:val="0"/>
              <w:spacing w:before="0" w:after="283"/>
              <w:jc w:val="right"/>
              <w:rPr/>
            </w:pPr>
            <w:r>
              <w:rPr/>
              <w:t>1,452,865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4,387,164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FFFFFF" w:val="clear"/>
            <w:tcMar>
              <w:bottom w:w="28" w:type="dxa"/>
            </w:tcMar>
            <w:vAlign w:val="center"/>
          </w:tcPr>
          <w:p>
            <w:pPr>
              <w:pStyle w:val="TableContents"/>
              <w:bidi w:val="0"/>
              <w:spacing w:before="0" w:after="283"/>
              <w:jc w:val="right"/>
              <w:rPr/>
            </w:pPr>
            <w:r>
              <w:rPr/>
              <w:t>2,821,276</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(2,255,844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CCEEFF" w:val="clear"/>
            <w:tcMar>
              <w:bottom w:w="28" w:type="dxa"/>
            </w:tcMar>
            <w:vAlign w:val="center"/>
          </w:tcPr>
          <w:p>
            <w:pPr>
              <w:pStyle w:val="TableContents"/>
              <w:bidi w:val="0"/>
              <w:spacing w:before="0" w:after="283"/>
              <w:jc w:val="right"/>
              <w:rPr/>
            </w:pPr>
            <w:r>
              <w:rPr/>
              <w:t>(1,435,865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(3,992,105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CCEEFF" w:val="clear"/>
            <w:tcMar>
              <w:bottom w:w="28" w:type="dxa"/>
            </w:tcMar>
            <w:vAlign w:val="center"/>
          </w:tcPr>
          <w:p>
            <w:pPr>
              <w:pStyle w:val="TableContents"/>
              <w:bidi w:val="0"/>
              <w:spacing w:before="0" w:after="283"/>
              <w:jc w:val="right"/>
              <w:rPr/>
            </w:pPr>
            <w:r>
              <w:rPr/>
              <w:t>(2,729,290</w:t>
            </w:r>
          </w:p>
        </w:tc>
        <w:tc>
          <w:tcPr>
            <w:tcW w:w="173" w:type="dxa"/>
            <w:tcBorders/>
            <w:shd w:fill="CCEEFF" w:val="clear"/>
            <w:vAlign w:val="center"/>
          </w:tcPr>
          <w:p>
            <w:pPr>
              <w:pStyle w:val="TableContents"/>
              <w:bidi w:val="0"/>
              <w:spacing w:before="0" w:after="283"/>
              <w:jc w:val="left"/>
              <w:rPr/>
            </w:pPr>
            <w:r>
              <w:rPr/>
              <w:t>)</w:t>
            </w:r>
          </w:p>
        </w:tc>
      </w:tr>
      <w:tr>
        <w:trPr/>
        <w:tc>
          <w:tcPr>
            <w:tcW w:w="2956" w:type="dxa"/>
            <w:tcBorders/>
            <w:shd w:fill="FFFFFF" w:val="clear"/>
            <w:vAlign w:val="center"/>
          </w:tcPr>
          <w:p>
            <w:pPr>
              <w:pStyle w:val="TableContents"/>
              <w:bidi w:val="0"/>
              <w:spacing w:before="0" w:after="283"/>
              <w:jc w:val="left"/>
              <w:rPr/>
            </w:pPr>
            <w:r>
              <w:rPr/>
              <w:t>Other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(168,763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(328,763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Change in fair value of SAFE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(17,980,118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(660,755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(17,368,415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(13,462,710</w:t>
            </w:r>
          </w:p>
        </w:tc>
        <w:tc>
          <w:tcPr>
            <w:tcW w:w="173" w:type="dxa"/>
            <w:tcBorders/>
            <w:shd w:fill="FFFFFF" w:val="clear"/>
            <w:vAlign w:val="center"/>
          </w:tcPr>
          <w:p>
            <w:pPr>
              <w:pStyle w:val="TableContents"/>
              <w:bidi w:val="0"/>
              <w:spacing w:before="0" w:after="283"/>
              <w:jc w:val="left"/>
              <w:rPr/>
            </w:pPr>
            <w:r>
              <w:rPr/>
              <w:t>)</w:t>
            </w:r>
          </w:p>
        </w:tc>
      </w:tr>
      <w:tr>
        <w:trPr/>
        <w:tc>
          <w:tcPr>
            <w:tcW w:w="2956" w:type="dxa"/>
            <w:tcBorders/>
            <w:shd w:fill="CCEEFF" w:val="clear"/>
            <w:vAlign w:val="center"/>
          </w:tcPr>
          <w:p>
            <w:pPr>
              <w:pStyle w:val="TableContents"/>
              <w:bidi w:val="0"/>
              <w:spacing w:before="0" w:after="283"/>
              <w:jc w:val="left"/>
              <w:rPr/>
            </w:pPr>
            <w:r>
              <w:rPr/>
              <w:t>Transaction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(2,726,183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(2,726,183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Loss from extinguishment of debt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(5,728,295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(5,728,295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Total other expenses,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(26,603,359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CCEEFF" w:val="clear"/>
            <w:tcMar>
              <w:bottom w:w="28" w:type="dxa"/>
            </w:tcMar>
            <w:vAlign w:val="center"/>
          </w:tcPr>
          <w:p>
            <w:pPr>
              <w:pStyle w:val="TableContents"/>
              <w:bidi w:val="0"/>
              <w:spacing w:before="0" w:after="283"/>
              <w:jc w:val="right"/>
              <w:rPr/>
            </w:pPr>
            <w:r>
              <w:rPr/>
              <w:t>(660,755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(26,151,656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CCEEFF" w:val="clear"/>
            <w:tcMar>
              <w:bottom w:w="28" w:type="dxa"/>
            </w:tcMar>
            <w:vAlign w:val="center"/>
          </w:tcPr>
          <w:p>
            <w:pPr>
              <w:pStyle w:val="TableContents"/>
              <w:bidi w:val="0"/>
              <w:spacing w:before="0" w:after="283"/>
              <w:jc w:val="right"/>
              <w:rPr/>
            </w:pPr>
            <w:r>
              <w:rPr/>
              <w:t>(13,462,710</w:t>
            </w:r>
          </w:p>
        </w:tc>
        <w:tc>
          <w:tcPr>
            <w:tcW w:w="173" w:type="dxa"/>
            <w:tcBorders/>
            <w:shd w:fill="CCEEFF" w:val="clear"/>
            <w:vAlign w:val="center"/>
          </w:tcPr>
          <w:p>
            <w:pPr>
              <w:pStyle w:val="TableContents"/>
              <w:bidi w:val="0"/>
              <w:spacing w:before="0" w:after="283"/>
              <w:jc w:val="left"/>
              <w:rPr/>
            </w:pPr>
            <w:r>
              <w:rPr/>
              <w:t>)</w:t>
            </w:r>
          </w:p>
        </w:tc>
      </w:tr>
      <w:tr>
        <w:trPr/>
        <w:tc>
          <w:tcPr>
            <w:tcW w:w="2956" w:type="dxa"/>
            <w:tcBorders/>
            <w:shd w:fill="FFFFFF" w:val="clear"/>
            <w:vAlign w:val="center"/>
          </w:tcPr>
          <w:p>
            <w:pPr>
              <w:pStyle w:val="TableContents"/>
              <w:bidi w:val="0"/>
              <w:spacing w:before="0" w:after="283"/>
              <w:jc w:val="left"/>
              <w:rPr/>
            </w:pPr>
            <w:r>
              <w:rPr/>
              <w:t>Loss before income taxes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(28,859,203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FFFFFF" w:val="clear"/>
            <w:tcMar>
              <w:bottom w:w="28" w:type="dxa"/>
            </w:tcMar>
            <w:vAlign w:val="center"/>
          </w:tcPr>
          <w:p>
            <w:pPr>
              <w:pStyle w:val="TableContents"/>
              <w:bidi w:val="0"/>
              <w:spacing w:before="0" w:after="283"/>
              <w:jc w:val="right"/>
              <w:rPr/>
            </w:pPr>
            <w:r>
              <w:rPr/>
              <w:t>(2,096,620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(30,143,761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FFFFFF" w:val="clear"/>
            <w:tcMar>
              <w:bottom w:w="28" w:type="dxa"/>
            </w:tcMar>
            <w:vAlign w:val="center"/>
          </w:tcPr>
          <w:p>
            <w:pPr>
              <w:pStyle w:val="TableContents"/>
              <w:bidi w:val="0"/>
              <w:spacing w:before="0" w:after="283"/>
              <w:jc w:val="right"/>
              <w:rPr/>
            </w:pPr>
            <w:r>
              <w:rPr/>
              <w:t>(16,192,000</w:t>
            </w:r>
          </w:p>
        </w:tc>
        <w:tc>
          <w:tcPr>
            <w:tcW w:w="173" w:type="dxa"/>
            <w:tcBorders/>
            <w:shd w:fill="FFFFFF" w:val="clear"/>
            <w:vAlign w:val="center"/>
          </w:tcPr>
          <w:p>
            <w:pPr>
              <w:pStyle w:val="TableContents"/>
              <w:bidi w:val="0"/>
              <w:spacing w:before="0" w:after="283"/>
              <w:jc w:val="left"/>
              <w:rPr/>
            </w:pPr>
            <w:r>
              <w:rPr/>
              <w:t>)</w:t>
            </w:r>
          </w:p>
        </w:tc>
      </w:tr>
      <w:tr>
        <w:trPr/>
        <w:tc>
          <w:tcPr>
            <w:tcW w:w="2956"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(28,859,203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double" w:sz="10" w:space="0" w:color="000000"/>
            </w:tcBorders>
            <w:shd w:fill="FFFFFF" w:val="clear"/>
            <w:tcMar>
              <w:bottom w:w="28" w:type="dxa"/>
            </w:tcMar>
            <w:vAlign w:val="center"/>
          </w:tcPr>
          <w:p>
            <w:pPr>
              <w:pStyle w:val="TableContents"/>
              <w:bidi w:val="0"/>
              <w:spacing w:before="0" w:after="283"/>
              <w:jc w:val="right"/>
              <w:rPr/>
            </w:pPr>
            <w:r>
              <w:rPr/>
              <w:t>(2,096,620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(30,143,761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83" w:type="dxa"/>
            <w:tcBorders>
              <w:bottom w:val="double" w:sz="10" w:space="0" w:color="000000"/>
            </w:tcBorders>
            <w:shd w:fill="FFFFFF" w:val="clear"/>
            <w:tcMar>
              <w:bottom w:w="28" w:type="dxa"/>
            </w:tcMar>
            <w:vAlign w:val="center"/>
          </w:tcPr>
          <w:p>
            <w:pPr>
              <w:pStyle w:val="TableContents"/>
              <w:bidi w:val="0"/>
              <w:spacing w:before="0" w:after="283"/>
              <w:jc w:val="right"/>
              <w:rPr/>
            </w:pPr>
            <w:r>
              <w:rPr/>
              <w:t>(16,192,000</w:t>
            </w:r>
          </w:p>
        </w:tc>
        <w:tc>
          <w:tcPr>
            <w:tcW w:w="173" w:type="dxa"/>
            <w:tcBorders/>
            <w:shd w:fill="FFFFFF" w:val="clear"/>
            <w:vAlign w:val="center"/>
          </w:tcPr>
          <w:p>
            <w:pPr>
              <w:pStyle w:val="TableContents"/>
              <w:bidi w:val="0"/>
              <w:spacing w:before="0" w:after="283"/>
              <w:jc w:val="left"/>
              <w:rPr/>
            </w:pPr>
            <w:r>
              <w:rPr/>
              <w:t>)</w:t>
            </w:r>
          </w:p>
        </w:tc>
      </w:tr>
      <w:tr>
        <w:trPr/>
        <w:tc>
          <w:tcPr>
            <w:tcW w:w="29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pPr>
            <w:r>
              <w:rPr/>
              <w:t>Net loss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553" w:type="dxa"/>
            <w:tcBorders/>
            <w:shd w:fill="CCEEFF" w:val="clear"/>
            <w:vAlign w:val="center"/>
          </w:tcPr>
          <w:p>
            <w:pPr>
              <w:pStyle w:val="TableContents"/>
              <w:bidi w:val="0"/>
              <w:spacing w:before="0" w:after="283"/>
              <w:jc w:val="right"/>
              <w:rPr/>
            </w:pPr>
            <w:r>
              <w:rPr/>
              <w:t>(0.17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583" w:type="dxa"/>
            <w:tcBorders/>
            <w:shd w:fill="CCEEFF" w:val="clear"/>
            <w:vAlign w:val="center"/>
          </w:tcPr>
          <w:p>
            <w:pPr>
              <w:pStyle w:val="TableContents"/>
              <w:bidi w:val="0"/>
              <w:spacing w:before="0" w:after="283"/>
              <w:jc w:val="right"/>
              <w:rPr/>
            </w:pPr>
            <w:r>
              <w:rPr/>
              <w:t>(1.35</w:t>
            </w:r>
          </w:p>
        </w:tc>
        <w:tc>
          <w:tcPr>
            <w:tcW w:w="173" w:type="dxa"/>
            <w:tcBorders/>
            <w:shd w:fill="CCEEFF" w:val="clear"/>
            <w:vAlign w:val="center"/>
          </w:tcPr>
          <w:p>
            <w:pPr>
              <w:pStyle w:val="TableContents"/>
              <w:bidi w:val="0"/>
              <w:spacing w:before="0" w:after="283"/>
              <w:jc w:val="left"/>
              <w:rPr/>
            </w:pPr>
            <w:r>
              <w:rPr/>
              <w:t>)</w:t>
            </w:r>
          </w:p>
        </w:tc>
      </w:tr>
      <w:tr>
        <w:trPr/>
        <w:tc>
          <w:tcPr>
            <w:tcW w:w="2956" w:type="dxa"/>
            <w:tcBorders/>
            <w:shd w:fill="FFFFFF" w:val="clear"/>
            <w:vAlign w:val="center"/>
          </w:tcPr>
          <w:p>
            <w:pPr>
              <w:pStyle w:val="TableContents"/>
              <w:bidi w:val="0"/>
              <w:spacing w:before="0" w:after="283"/>
              <w:jc w:val="left"/>
              <w:rPr/>
            </w:pPr>
            <w:r>
              <w:rPr/>
              <w:t>Weighted average number of shares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2956"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14,414,464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553" w:type="dxa"/>
            <w:tcBorders/>
            <w:shd w:fill="CCEEFF" w:val="clear"/>
            <w:vAlign w:val="center"/>
          </w:tcPr>
          <w:p>
            <w:pPr>
              <w:pStyle w:val="TableContents"/>
              <w:bidi w:val="0"/>
              <w:spacing w:before="0" w:after="283"/>
              <w:jc w:val="right"/>
              <w:rPr/>
            </w:pPr>
            <w:r>
              <w:rPr/>
              <w:t>12,111,507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13,318,679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t>12,036,939</w:t>
            </w:r>
          </w:p>
        </w:tc>
        <w:tc>
          <w:tcPr>
            <w:tcW w:w="173"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SHAREHOLDERS’ EQUITY (DEFICIT)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jc w:val="center"/>
        <w:rPr>
          <w:caps w:val="false"/>
          <w:smallCaps w:val="false"/>
        </w:rPr>
      </w:pPr>
      <w:r>
        <w:rPr>
          <w:caps w:val="false"/>
          <w:smallCaps w:val="false"/>
        </w:rPr>
        <w:t> </w:t>
      </w:r>
    </w:p>
    <w:tbl>
      <w:tblPr>
        <w:tblW w:w="11710" w:type="dxa"/>
        <w:jc w:val="left"/>
        <w:tblInd w:w="0" w:type="dxa"/>
        <w:tblLayout w:type="fixed"/>
        <w:tblCellMar>
          <w:top w:w="0" w:type="dxa"/>
          <w:left w:w="0" w:type="dxa"/>
          <w:bottom w:w="0" w:type="dxa"/>
          <w:right w:w="0" w:type="dxa"/>
        </w:tblCellMar>
      </w:tblPr>
      <w:tblGrid>
        <w:gridCol w:w="1490"/>
        <w:gridCol w:w="90"/>
        <w:gridCol w:w="90"/>
        <w:gridCol w:w="1325"/>
        <w:gridCol w:w="125"/>
        <w:gridCol w:w="90"/>
        <w:gridCol w:w="170"/>
        <w:gridCol w:w="905"/>
        <w:gridCol w:w="125"/>
        <w:gridCol w:w="90"/>
        <w:gridCol w:w="90"/>
        <w:gridCol w:w="1130"/>
        <w:gridCol w:w="90"/>
        <w:gridCol w:w="90"/>
        <w:gridCol w:w="199"/>
        <w:gridCol w:w="691"/>
        <w:gridCol w:w="90"/>
        <w:gridCol w:w="90"/>
        <w:gridCol w:w="170"/>
        <w:gridCol w:w="1130"/>
        <w:gridCol w:w="90"/>
        <w:gridCol w:w="90"/>
        <w:gridCol w:w="173"/>
        <w:gridCol w:w="1227"/>
        <w:gridCol w:w="125"/>
        <w:gridCol w:w="90"/>
        <w:gridCol w:w="182"/>
        <w:gridCol w:w="1293"/>
        <w:gridCol w:w="170"/>
      </w:tblGrid>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Legacy 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Shareholders’</w:t>
              <w:br/>
              <w:t>Equity</w:t>
            </w:r>
          </w:p>
        </w:tc>
        <w:tc>
          <w:tcPr>
            <w:tcW w:w="170" w:type="dxa"/>
            <w:tcBorders/>
            <w:vAlign w:val="center"/>
          </w:tcPr>
          <w:p>
            <w:pPr>
              <w:pStyle w:val="TableContents"/>
              <w:bidi w:val="0"/>
              <w:spacing w:before="0" w:after="283"/>
              <w:jc w:val="left"/>
              <w:rPr/>
            </w:pPr>
            <w:r>
              <w:rPr/>
              <w:t> </w:t>
            </w:r>
          </w:p>
        </w:tc>
      </w:tr>
      <w:tr>
        <w:trPr/>
        <w:tc>
          <w:tcPr>
            <w:tcW w:w="14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Three months ended June 30, 2025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(26,017,821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(25,568,475</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March 31, 2025, adjusted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(26,017,821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(25,568,475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transactions,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15,426,221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56,155,649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56,157,192</w:t>
            </w:r>
          </w:p>
        </w:tc>
        <w:tc>
          <w:tcPr>
            <w:tcW w:w="17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(28,859,203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(28,859,203</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27,636,939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56,613,511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(54,877,024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1,739,251</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1540" w:type="dxa"/>
        <w:jc w:val="left"/>
        <w:tblInd w:w="0" w:type="dxa"/>
        <w:tblLayout w:type="fixed"/>
        <w:tblCellMar>
          <w:top w:w="0" w:type="dxa"/>
          <w:left w:w="0" w:type="dxa"/>
          <w:bottom w:w="0" w:type="dxa"/>
          <w:right w:w="0" w:type="dxa"/>
        </w:tblCellMar>
      </w:tblPr>
      <w:tblGrid>
        <w:gridCol w:w="1490"/>
        <w:gridCol w:w="90"/>
        <w:gridCol w:w="90"/>
        <w:gridCol w:w="1325"/>
        <w:gridCol w:w="125"/>
        <w:gridCol w:w="90"/>
        <w:gridCol w:w="170"/>
        <w:gridCol w:w="905"/>
        <w:gridCol w:w="125"/>
        <w:gridCol w:w="90"/>
        <w:gridCol w:w="90"/>
        <w:gridCol w:w="1130"/>
        <w:gridCol w:w="90"/>
        <w:gridCol w:w="90"/>
        <w:gridCol w:w="199"/>
        <w:gridCol w:w="691"/>
        <w:gridCol w:w="90"/>
        <w:gridCol w:w="90"/>
        <w:gridCol w:w="192"/>
        <w:gridCol w:w="938"/>
        <w:gridCol w:w="90"/>
        <w:gridCol w:w="90"/>
        <w:gridCol w:w="173"/>
        <w:gridCol w:w="1227"/>
        <w:gridCol w:w="125"/>
        <w:gridCol w:w="90"/>
        <w:gridCol w:w="182"/>
        <w:gridCol w:w="1293"/>
        <w:gridCol w:w="170"/>
      </w:tblGrid>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Legacy 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Additional </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Shareholders’</w:t>
              <w:br/>
              <w:t>Equity</w:t>
            </w:r>
          </w:p>
        </w:tc>
        <w:tc>
          <w:tcPr>
            <w:tcW w:w="170" w:type="dxa"/>
            <w:tcBorders/>
            <w:vAlign w:val="center"/>
          </w:tcPr>
          <w:p>
            <w:pPr>
              <w:pStyle w:val="TableContents"/>
              <w:bidi w:val="0"/>
              <w:spacing w:before="0" w:after="283"/>
              <w:jc w:val="left"/>
              <w:rPr/>
            </w:pPr>
            <w:r>
              <w:rPr/>
              <w:t> </w:t>
            </w:r>
          </w:p>
        </w:tc>
      </w:tr>
      <w:tr>
        <w:trPr/>
        <w:tc>
          <w:tcPr>
            <w:tcW w:w="14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Three months ended June 30, 2024 (As Restated)</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(17,291,213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(16,897,130</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March 31, 2024, adjusted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(17,291,213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(16,897,130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20,720</w:t>
            </w:r>
          </w:p>
        </w:tc>
        <w:tc>
          <w:tcPr>
            <w:tcW w:w="17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(2,096,620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(2,096,620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June 30, 2024</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(19,387,833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(18,973,030</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center"/>
        <w:rPr>
          <w:caps w:val="false"/>
          <w:smallCaps w:val="false"/>
        </w:rPr>
      </w:pPr>
      <w:r>
        <w:rPr>
          <w:caps w:val="false"/>
          <w:smallCaps w:val="false"/>
        </w:rPr>
        <w:t> </w:t>
      </w:r>
    </w:p>
    <w:tbl>
      <w:tblPr>
        <w:tblW w:w="11610" w:type="dxa"/>
        <w:jc w:val="left"/>
        <w:tblInd w:w="0" w:type="dxa"/>
        <w:tblLayout w:type="fixed"/>
        <w:tblCellMar>
          <w:top w:w="0" w:type="dxa"/>
          <w:left w:w="0" w:type="dxa"/>
          <w:bottom w:w="0" w:type="dxa"/>
          <w:right w:w="0" w:type="dxa"/>
        </w:tblCellMar>
      </w:tblPr>
      <w:tblGrid>
        <w:gridCol w:w="1490"/>
        <w:gridCol w:w="90"/>
        <w:gridCol w:w="90"/>
        <w:gridCol w:w="1325"/>
        <w:gridCol w:w="125"/>
        <w:gridCol w:w="90"/>
        <w:gridCol w:w="170"/>
        <w:gridCol w:w="905"/>
        <w:gridCol w:w="125"/>
        <w:gridCol w:w="90"/>
        <w:gridCol w:w="90"/>
        <w:gridCol w:w="1130"/>
        <w:gridCol w:w="90"/>
        <w:gridCol w:w="90"/>
        <w:gridCol w:w="199"/>
        <w:gridCol w:w="691"/>
        <w:gridCol w:w="90"/>
        <w:gridCol w:w="90"/>
        <w:gridCol w:w="170"/>
        <w:gridCol w:w="1130"/>
        <w:gridCol w:w="90"/>
        <w:gridCol w:w="90"/>
        <w:gridCol w:w="173"/>
        <w:gridCol w:w="1227"/>
        <w:gridCol w:w="125"/>
        <w:gridCol w:w="90"/>
        <w:gridCol w:w="170"/>
        <w:gridCol w:w="1205"/>
        <w:gridCol w:w="170"/>
      </w:tblGrid>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Legacy Common Stock</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Additional </w:t>
              <w:br/>
              <w:t>Paid-In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r>
            <w:r>
              <w:rPr>
                <w:rFonts w:ascii="Times New Roman;Times;Serif" w:hAnsi="Times New Roman;Times;Serif"/>
                <w:b/>
                <w:sz w:val="20"/>
              </w:rPr>
              <w:t>Shareholders’</w:t>
              <w:br/>
              <w:t>Equity</w:t>
            </w:r>
          </w:p>
        </w:tc>
        <w:tc>
          <w:tcPr>
            <w:tcW w:w="170" w:type="dxa"/>
            <w:tcBorders/>
            <w:vAlign w:val="center"/>
          </w:tcPr>
          <w:p>
            <w:pPr>
              <w:pStyle w:val="TableContents"/>
              <w:bidi w:val="0"/>
              <w:spacing w:before="0" w:after="283"/>
              <w:jc w:val="center"/>
              <w:rPr/>
            </w:pPr>
            <w:r>
              <w:rPr/>
              <w:t> </w:t>
            </w:r>
          </w:p>
        </w:tc>
      </w:tr>
      <w:tr>
        <w:trPr/>
        <w:tc>
          <w:tcPr>
            <w:tcW w:w="14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Six months ended June 30, 2025</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(24,733,263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(24,293,922</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December 31, 2024, adjusted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(24,733,263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(24,293,922</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19,742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19,742</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transactions,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15,426,221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56,155,649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56,157,192</w:t>
            </w:r>
          </w:p>
        </w:tc>
        <w:tc>
          <w:tcPr>
            <w:tcW w:w="17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(30,143,761</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(30,143,761</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27,636,939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56,613,511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(54,877,024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1,739,251</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1540" w:type="dxa"/>
        <w:jc w:val="left"/>
        <w:tblInd w:w="0" w:type="dxa"/>
        <w:tblLayout w:type="fixed"/>
        <w:tblCellMar>
          <w:top w:w="0" w:type="dxa"/>
          <w:left w:w="0" w:type="dxa"/>
          <w:bottom w:w="0" w:type="dxa"/>
          <w:right w:w="0" w:type="dxa"/>
        </w:tblCellMar>
      </w:tblPr>
      <w:tblGrid>
        <w:gridCol w:w="1490"/>
        <w:gridCol w:w="90"/>
        <w:gridCol w:w="90"/>
        <w:gridCol w:w="1325"/>
        <w:gridCol w:w="125"/>
        <w:gridCol w:w="90"/>
        <w:gridCol w:w="170"/>
        <w:gridCol w:w="905"/>
        <w:gridCol w:w="125"/>
        <w:gridCol w:w="90"/>
        <w:gridCol w:w="90"/>
        <w:gridCol w:w="1130"/>
        <w:gridCol w:w="90"/>
        <w:gridCol w:w="90"/>
        <w:gridCol w:w="199"/>
        <w:gridCol w:w="691"/>
        <w:gridCol w:w="90"/>
        <w:gridCol w:w="90"/>
        <w:gridCol w:w="192"/>
        <w:gridCol w:w="938"/>
        <w:gridCol w:w="90"/>
        <w:gridCol w:w="90"/>
        <w:gridCol w:w="173"/>
        <w:gridCol w:w="1227"/>
        <w:gridCol w:w="125"/>
        <w:gridCol w:w="90"/>
        <w:gridCol w:w="182"/>
        <w:gridCol w:w="1293"/>
        <w:gridCol w:w="170"/>
      </w:tblGrid>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Legacy 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Additional </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Shareholders’</w:t>
              <w:br/>
              <w:t>Equity</w:t>
            </w:r>
          </w:p>
        </w:tc>
        <w:tc>
          <w:tcPr>
            <w:tcW w:w="170" w:type="dxa"/>
            <w:tcBorders/>
            <w:vAlign w:val="center"/>
          </w:tcPr>
          <w:p>
            <w:pPr>
              <w:pStyle w:val="TableContents"/>
              <w:bidi w:val="0"/>
              <w:spacing w:before="0" w:after="283"/>
              <w:jc w:val="left"/>
              <w:rPr/>
            </w:pPr>
            <w:r>
              <w:rPr/>
              <w:t> </w:t>
            </w:r>
          </w:p>
        </w:tc>
      </w:tr>
      <w:tr>
        <w:trPr/>
        <w:tc>
          <w:tcPr>
            <w:tcW w:w="14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Six months ended June 30, 2024 (As Restated)</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(3,195,833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(2,953,498</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Retroactive application of recapitalization</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(108,975,000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(108,975</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12,208,851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December 31, 2023, adjusted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12,208,851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(3,195,833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(2,953,498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172,468</w:t>
            </w:r>
          </w:p>
        </w:tc>
        <w:tc>
          <w:tcPr>
            <w:tcW w:w="170"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as of June 30, 2024</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(19,387,833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(18,973,030</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41"/>
        <w:gridCol w:w="90"/>
        <w:gridCol w:w="170"/>
        <w:gridCol w:w="1205"/>
        <w:gridCol w:w="125"/>
        <w:gridCol w:w="90"/>
        <w:gridCol w:w="173"/>
        <w:gridCol w:w="1239"/>
        <w:gridCol w:w="172"/>
      </w:tblGrid>
      <w:tr>
        <w:trPr/>
        <w:tc>
          <w:tcPr>
            <w:tcW w:w="694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00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six months ended </w:t>
              <w:br/>
              <w:t>June 30,</w:t>
            </w:r>
          </w:p>
        </w:tc>
        <w:tc>
          <w:tcPr>
            <w:tcW w:w="172" w:type="dxa"/>
            <w:tcBorders/>
            <w:vAlign w:val="center"/>
          </w:tcPr>
          <w:p>
            <w:pPr>
              <w:pStyle w:val="TableContents"/>
              <w:bidi w:val="0"/>
              <w:spacing w:before="0" w:after="283"/>
              <w:ind w:left="0" w:right="0" w:hanging="180"/>
              <w:jc w:val="left"/>
              <w:rPr/>
            </w:pPr>
            <w:r>
              <w:rPr/>
              <w:t> </w:t>
            </w:r>
          </w:p>
        </w:tc>
      </w:tr>
      <w:tr>
        <w:trPr/>
        <w:tc>
          <w:tcPr>
            <w:tcW w:w="69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2024</w:t>
            </w:r>
          </w:p>
          <w:p>
            <w:pPr>
              <w:pStyle w:val="TableContents"/>
              <w:bidi w:val="0"/>
              <w:spacing w:before="0" w:after="283"/>
              <w:jc w:val="center"/>
              <w:rPr>
                <w:rFonts w:ascii="Times New Roman;Times;Serif" w:hAnsi="Times New Roman;Times;Serif"/>
                <w:b/>
              </w:rPr>
            </w:pPr>
            <w:r>
              <w:rPr>
                <w:rFonts w:ascii="Times New Roman;Times;Serif" w:hAnsi="Times New Roman;Times;Serif"/>
                <w:b/>
              </w:rPr>
              <w:t>(As Restated)</w:t>
            </w:r>
          </w:p>
        </w:tc>
        <w:tc>
          <w:tcPr>
            <w:tcW w:w="172" w:type="dxa"/>
            <w:tcBorders/>
            <w:vAlign w:val="center"/>
          </w:tcPr>
          <w:p>
            <w:pPr>
              <w:pStyle w:val="TableContents"/>
              <w:bidi w:val="0"/>
              <w:spacing w:before="0" w:after="283"/>
              <w:ind w:left="0" w:right="0" w:hanging="180"/>
              <w:jc w:val="left"/>
              <w:rPr/>
            </w:pPr>
            <w:r>
              <w:rPr/>
              <w:t> </w:t>
            </w:r>
          </w:p>
        </w:tc>
      </w:tr>
      <w:tr>
        <w:trPr/>
        <w:tc>
          <w:tcPr>
            <w:tcW w:w="694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(30,143,761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7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SAFE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17,368,415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13,462,710</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costs paid in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172,468</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ROU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extinguishment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5,728,295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payment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transaction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(4,739,169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operating assets and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(13,305</w:t>
            </w:r>
          </w:p>
        </w:tc>
        <w:tc>
          <w:tcPr>
            <w:tcW w:w="17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and other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(404,842</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144,895</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(297,186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(540,863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74,088</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1,006,861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(5,192</w:t>
            </w:r>
          </w:p>
        </w:tc>
        <w:tc>
          <w:tcPr>
            <w:tcW w:w="17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(150,623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28,704</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taxes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3,911,691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debt,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251,021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(3,762,742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(2,327,632</w:t>
            </w:r>
          </w:p>
        </w:tc>
        <w:tc>
          <w:tcPr>
            <w:tcW w:w="17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(107,200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software development costs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(636,598</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(361,862</w:t>
            </w:r>
          </w:p>
        </w:tc>
        <w:tc>
          <w:tcPr>
            <w:tcW w:w="172"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(743,798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(361,862</w:t>
            </w:r>
          </w:p>
        </w:tc>
        <w:tc>
          <w:tcPr>
            <w:tcW w:w="17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bridge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3,134,500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SAFE notes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bridge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(1,660,545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PIPE investments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10,837,643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Trust account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5,577,304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10,278,154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3,134,500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during period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5,771,614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445,006</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605,760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end of period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6,492,646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1,050,766</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NON-CASH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ROU asset obtained in exchange for lease liability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482,227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SAFE notes to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40,726,793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short-term debt to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2,456,500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Company Information</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Organization and nature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be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stocks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Liquidity and Going Concern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Financial Accounting Standards Board (“FASB”) Accounting Standards Codification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June 30, 2025, the Company had $6,492,646 in cash, a working capital of $454,040 and accumulated deficit of $54,877,024.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have obtained additional near-term financing in order to continue its research and development activities.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line of credit agreement under which the Company can access up to $50,000,000 in aggregate proceeds to fund its R&amp;D activities and its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pStyle w:val="TextBody"/>
        <w:bidi w:val="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both"/>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Emerging Growth Company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Recently Issued Accounting Pronouncements</w:t>
      </w:r>
    </w:p>
    <w:p>
      <w:pPr>
        <w:pStyle w:val="TextBody"/>
        <w:bidi w:val="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Segment Reporting, in these notes to the condensed consolidated financial statements for further detail.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 09,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2026 annual reporting period. The Company is currently evaluating the impact of this guidance, but does not anticipate a material impact on its consolidated financial statements or related disclosures.</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In November 2024, the FASB issued ASU No. 2024-03, </w:t>
      </w:r>
      <w:r>
        <w:rPr>
          <w:rFonts w:ascii="Times New Roman;Times;Serif" w:hAnsi="Times New Roman;Times;Serif"/>
          <w:b w:val="false"/>
          <w:i/>
          <w:caps w:val="false"/>
          <w:smallCaps w:val="false"/>
          <w:strike w:val="false"/>
          <w:dstrike w:val="false"/>
          <w:sz w:val="20"/>
          <w:u w:val="none"/>
          <w:effect w:val="none"/>
        </w:rPr>
        <w:t>Disaggregation of Income Statement Expenses</w:t>
      </w:r>
      <w:r>
        <w:rPr>
          <w:rFonts w:ascii="Times New Roman;Times;Serif" w:hAnsi="Times New Roman;Times;Serif"/>
          <w:b w:val="false"/>
          <w:i w:val="false"/>
          <w:caps w:val="false"/>
          <w:smallCaps w:val="false"/>
          <w:strike w:val="false"/>
          <w:dstrike w:val="false"/>
          <w:sz w:val="20"/>
          <w:u w:val="none"/>
          <w:effect w:val="none"/>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Risks and Uncertainties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Use of Estimates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stock-based compensation, obsolete inventory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deposits with major financial institutions, that at times, are greater than the FDIC limit.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pStyle w:val="TextBody"/>
        <w:bidi w:val="0"/>
        <w:ind w:left="0" w:right="0" w:firstLine="720"/>
        <w:jc w:val="both"/>
        <w:rPr>
          <w:caps w:val="false"/>
          <w:smallCaps w:val="false"/>
        </w:rPr>
      </w:pPr>
      <w:r>
        <w:rPr>
          <w:caps w:val="false"/>
          <w:smallCaps w:val="false"/>
        </w:rPr>
        <w:t> </w:t>
      </w:r>
    </w:p>
    <w:tbl>
      <w:tblPr>
        <w:tblW w:w="9413" w:type="dxa"/>
        <w:jc w:val="left"/>
        <w:tblInd w:w="0" w:type="dxa"/>
        <w:tblLayout w:type="fixed"/>
        <w:tblCellMar>
          <w:top w:w="0" w:type="dxa"/>
          <w:left w:w="0" w:type="dxa"/>
          <w:bottom w:w="0" w:type="dxa"/>
          <w:right w:w="0" w:type="dxa"/>
        </w:tblCellMar>
      </w:tblPr>
      <w:tblGrid>
        <w:gridCol w:w="68"/>
        <w:gridCol w:w="770"/>
        <w:gridCol w:w="125"/>
        <w:gridCol w:w="8450"/>
      </w:tblGrid>
      <w:tr>
        <w:trPr/>
        <w:tc>
          <w:tcPr>
            <w:tcW w:w="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Quoted prices in active markets for identical assets or liabilities that the entity can access.</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41"/>
        <w:gridCol w:w="125"/>
        <w:gridCol w:w="9371"/>
      </w:tblGrid>
      <w:tr>
        <w:trPr/>
        <w:tc>
          <w:tcPr>
            <w:tcW w:w="6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tc>
      </w:tr>
    </w:tbl>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714"/>
        <w:gridCol w:w="125"/>
        <w:gridCol w:w="9298"/>
      </w:tblGrid>
      <w:tr>
        <w:trPr/>
        <w:tc>
          <w:tcPr>
            <w:tcW w:w="6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Unobservable inputs that are supported by little or no market activity and that are significant to the fair value of the assets and liabilities.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recorded at cost upon payment to vendors and recognized as inventories receipts of goods. The Company periodically reviews the carrying value of prepaid expenses and other current assets to determine if any amounts are no longer recoverable, and records an expense in the period such determination is made.</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Accounts Receivable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June 30, 2025 and December 31, 2024, there was no accounts receivable allowance for credit losses. There were no credit losses for the three and six months ended June 30, 2025 and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June 30, 2025 and December 31, 2024.</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Property and Equipment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Software Development Costs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June 30, 2025 and 2024, and for the three and six-months then ended, no projects have been substantially completed and ready for their intended use, and no amortization was recorded in the accompanying condensed consolidated statements of operations.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Impairment of Long-Lived Assets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June 30, 2025 and December 31, 2024, and for the three and six months ended June 30, 2024, no such indicators of impairment were identified, and accordingly, no impairment losses were recognized.</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Leases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have two operating leases for the facilities located in Bethesda, Maryland and Barceloneta, Puerto Rico.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delivery of subscription services and related professional services through a hosted cloud (SaaS) environment. Arrangements for services generally have terms of one year or less.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provide professional services including onboarding (implementation) services, marketing services, and product consulting. These services will be evaluated to be distinct and be treated as separate performance obligations from the subscription services. Revenue related to these services will be recognized over time as services are performed.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stock-based compensation. The fair value of each stock option award is estimated on the date of grant using the Black-Scholes option valuation model. The assumptions used in the Black-Scholes valuation model are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11.</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Research and Development Costs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Income Taxes</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pStyle w:val="TextBody"/>
        <w:bidi w:val="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Basic and Diluted Net Loss Per Common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Company assumed 15,675,000 public and private warrants from ShoulderUp, each exercisable at $11.50 per share. These warrants were considered antidilutive and excluded from the diluted net loss per share calculation for the three and six months ended June 30, 2025. During the three and six months ended June 30, 2025 and 2024, 20,017 of these warrants were forfeited, resulting in a net total of 15,654,983 warrants outstanding as of June 30, 2025.</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and integration costs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acquisition and integration costs of $534,290 and $911,672 for the three and six months ended June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transaction costs incurred in connection with de-SPAC transactions in accordance with ASC 805, Business Combinations.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connection with this reclassification, amounts previously reported as general and administrative expenses have been allocated to acquisition and integration expenses. Amounts previously reported as advances to supplier have been reclassified to prepaid expenses and other current assets. In addition, certain amounts previously reported as other assets have been reclassified as property and equipment, net. These reclassifications had no impact on total operating expenses, net loss, or shareholders’ equity for any period presented.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Business Combination and Reverse Recapitalization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with ShoulderUp, ShoulderUp Merger Sub, Inc., and SEI Merger Sub, Inc. and the Legacy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consummated its Business Combination pursuant to the terms of the Business Combination Agreement. The Business Combination was structured as follows:</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total of 506,589 shares of Common Stock were issued to the public shareholders of ShoulderUp. An additional 6,698,333 shares were issued to ShoulderUp’s officers and directors, ShoulderUp Technology Sponsor LLC (the “Sponsor”), and each transferee of founder shares.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1,345,001 shares of Common Stock were issued to certain original public shareholders who had previously agreed not to redeem their shares.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of SEE ID’s 108,975,000 common stock issued and outstanding immediately prior to the Closing was canceled and converted into 12,210,718 shares of the Company’s Common Stock after giving effect to the exchange ratio of 0.11205.</w:t>
            </w:r>
          </w:p>
        </w:tc>
      </w:tr>
    </w:tbl>
    <w:p>
      <w:pPr>
        <w:pStyle w:val="TextBody"/>
        <w:bidi w:val="0"/>
        <w:ind w:left="720" w:right="0" w:hanging="36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68"/>
        <w:gridCol w:w="200"/>
        <w:gridCol w:w="8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2,909,057 shares of Common Stock were issued to the SEE ID SAFE note holders.</w:t>
            </w:r>
          </w:p>
        </w:tc>
      </w:tr>
    </w:tbl>
    <w:p>
      <w:pPr>
        <w:pStyle w:val="TextBody"/>
        <w:bidi w:val="0"/>
        <w:ind w:left="720" w:right="0" w:hanging="36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11,205 shares of Common Stock were issued in exchange for financial advisory services at Closing.</w:t>
            </w:r>
          </w:p>
        </w:tc>
      </w:tr>
    </w:tbl>
    <w:p>
      <w:pPr>
        <w:pStyle w:val="TextBody"/>
        <w:bidi w:val="0"/>
        <w:ind w:left="720" w:right="0" w:hanging="36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68"/>
        <w:gridCol w:w="200"/>
        <w:gridCol w:w="75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3,323,536 shares of Common Stock were issued to three major PIPE investors.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assumed 15,654,983 public and private warrants of ShoulderUp, net of 20,017 forfeitures, as of June 30, 2025.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Upon Closing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issued in connection with the Business Combination and subsequent equity conversion was as follows:</w:t>
      </w:r>
    </w:p>
    <w:tbl>
      <w:tblPr>
        <w:tblW w:w="10205" w:type="dxa"/>
        <w:jc w:val="left"/>
        <w:tblInd w:w="0" w:type="dxa"/>
        <w:tblLayout w:type="fixed"/>
        <w:tblCellMar>
          <w:top w:w="0" w:type="dxa"/>
          <w:left w:w="0" w:type="dxa"/>
          <w:bottom w:w="0" w:type="dxa"/>
          <w:right w:w="0" w:type="dxa"/>
        </w:tblCellMar>
      </w:tblPr>
      <w:tblGrid>
        <w:gridCol w:w="8732"/>
        <w:gridCol w:w="90"/>
        <w:gridCol w:w="90"/>
        <w:gridCol w:w="1130"/>
        <w:gridCol w:w="163"/>
      </w:tblGrid>
      <w:tr>
        <w:trPr/>
        <w:tc>
          <w:tcPr>
            <w:tcW w:w="87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w:t>
              <w:br/>
              <w:t> Stock</w:t>
            </w:r>
          </w:p>
        </w:tc>
        <w:tc>
          <w:tcPr>
            <w:tcW w:w="163" w:type="dxa"/>
            <w:tcBorders/>
            <w:vAlign w:val="center"/>
          </w:tcPr>
          <w:p>
            <w:pPr>
              <w:pStyle w:val="TableContents"/>
              <w:bidi w:val="0"/>
              <w:spacing w:before="0" w:after="283"/>
              <w:jc w:val="left"/>
              <w:rPr/>
            </w:pPr>
            <w:r>
              <w:rPr/>
              <w:t> </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outstanding prior to the Business Combination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508,589</w:t>
            </w:r>
          </w:p>
        </w:tc>
        <w:tc>
          <w:tcPr>
            <w:tcW w:w="163" w:type="dxa"/>
            <w:tcBorders/>
            <w:shd w:fill="CCEEFF" w:val="clear"/>
            <w:vAlign w:val="center"/>
          </w:tcPr>
          <w:p>
            <w:pPr>
              <w:pStyle w:val="TableContents"/>
              <w:bidi w:val="0"/>
              <w:spacing w:before="0" w:after="283"/>
              <w:jc w:val="left"/>
              <w:rPr/>
            </w:pPr>
            <w:r>
              <w:rPr/>
              <w:t> </w:t>
            </w:r>
          </w:p>
        </w:tc>
      </w:tr>
      <w:tr>
        <w:trPr/>
        <w:tc>
          <w:tcPr>
            <w:tcW w:w="87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ordinary shares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63"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held by ShoulderUp’s officers and directors, the Sponsor and each transferee of founder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6,698,333</w:t>
            </w:r>
          </w:p>
        </w:tc>
        <w:tc>
          <w:tcPr>
            <w:tcW w:w="163" w:type="dxa"/>
            <w:tcBorders/>
            <w:shd w:fill="CCEEFF" w:val="clear"/>
            <w:vAlign w:val="center"/>
          </w:tcPr>
          <w:p>
            <w:pPr>
              <w:pStyle w:val="TableContents"/>
              <w:bidi w:val="0"/>
              <w:spacing w:before="0" w:after="283"/>
              <w:jc w:val="left"/>
              <w:rPr/>
            </w:pPr>
            <w:r>
              <w:rPr/>
              <w:t> </w:t>
            </w:r>
          </w:p>
        </w:tc>
      </w:tr>
      <w:tr>
        <w:trPr/>
        <w:tc>
          <w:tcPr>
            <w:tcW w:w="87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held by non-redemption share holders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1,345,001</w:t>
            </w:r>
          </w:p>
        </w:tc>
        <w:tc>
          <w:tcPr>
            <w:tcW w:w="163" w:type="dxa"/>
            <w:tcBorders/>
            <w:shd w:fill="FFFFFF" w:val="clear"/>
            <w:vAlign w:val="center"/>
          </w:tcPr>
          <w:p>
            <w:pPr>
              <w:pStyle w:val="TableContents"/>
              <w:bidi w:val="0"/>
              <w:spacing w:before="0" w:after="283"/>
              <w:jc w:val="left"/>
              <w:rPr/>
            </w:pPr>
            <w:r>
              <w:rPr/>
              <w:t> </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held by ShoulderUp bridge loan holder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482,500</w:t>
            </w:r>
          </w:p>
        </w:tc>
        <w:tc>
          <w:tcPr>
            <w:tcW w:w="163" w:type="dxa"/>
            <w:tcBorders/>
            <w:shd w:fill="CCEEFF" w:val="clear"/>
            <w:vAlign w:val="center"/>
          </w:tcPr>
          <w:p>
            <w:pPr>
              <w:pStyle w:val="TableContents"/>
              <w:bidi w:val="0"/>
              <w:spacing w:before="0" w:after="283"/>
              <w:jc w:val="left"/>
              <w:rPr/>
            </w:pPr>
            <w:r>
              <w:rPr/>
              <w:t> </w:t>
            </w:r>
          </w:p>
        </w:tc>
      </w:tr>
      <w:tr>
        <w:trPr/>
        <w:tc>
          <w:tcPr>
            <w:tcW w:w="87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held by DLA Piper, LLP</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63" w:type="dxa"/>
            <w:tcBorders/>
            <w:shd w:fill="FFFFFF" w:val="clear"/>
            <w:vAlign w:val="center"/>
          </w:tcPr>
          <w:p>
            <w:pPr>
              <w:pStyle w:val="TableContents"/>
              <w:bidi w:val="0"/>
              <w:spacing w:before="0" w:after="283"/>
              <w:jc w:val="left"/>
              <w:rPr/>
            </w:pPr>
            <w:r>
              <w:rPr/>
              <w:t> </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holders of SEE ID Inc.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12,210,718</w:t>
            </w:r>
          </w:p>
        </w:tc>
        <w:tc>
          <w:tcPr>
            <w:tcW w:w="163" w:type="dxa"/>
            <w:tcBorders/>
            <w:shd w:fill="CCEEFF" w:val="clear"/>
            <w:vAlign w:val="center"/>
          </w:tcPr>
          <w:p>
            <w:pPr>
              <w:pStyle w:val="TableContents"/>
              <w:bidi w:val="0"/>
              <w:spacing w:before="0" w:after="283"/>
              <w:jc w:val="left"/>
              <w:rPr/>
            </w:pPr>
            <w:r>
              <w:rPr/>
              <w:t> </w:t>
            </w:r>
          </w:p>
        </w:tc>
      </w:tr>
      <w:tr>
        <w:trPr/>
        <w:tc>
          <w:tcPr>
            <w:tcW w:w="87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SEE ID SAFE note holders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2,909,057</w:t>
            </w:r>
          </w:p>
        </w:tc>
        <w:tc>
          <w:tcPr>
            <w:tcW w:w="163" w:type="dxa"/>
            <w:tcBorders/>
            <w:shd w:fill="FFFFFF" w:val="clear"/>
            <w:vAlign w:val="center"/>
          </w:tcPr>
          <w:p>
            <w:pPr>
              <w:pStyle w:val="TableContents"/>
              <w:bidi w:val="0"/>
              <w:spacing w:before="0" w:after="283"/>
              <w:jc w:val="left"/>
              <w:rPr/>
            </w:pPr>
            <w:r>
              <w:rPr/>
              <w:t> </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StarUpNV</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11,205</w:t>
            </w:r>
          </w:p>
        </w:tc>
        <w:tc>
          <w:tcPr>
            <w:tcW w:w="163" w:type="dxa"/>
            <w:tcBorders/>
            <w:shd w:fill="CCEEFF" w:val="clear"/>
            <w:vAlign w:val="center"/>
          </w:tcPr>
          <w:p>
            <w:pPr>
              <w:pStyle w:val="TableContents"/>
              <w:bidi w:val="0"/>
              <w:spacing w:before="0" w:after="283"/>
              <w:jc w:val="left"/>
              <w:rPr/>
            </w:pPr>
            <w:r>
              <w:rPr/>
              <w:t> </w:t>
            </w:r>
          </w:p>
        </w:tc>
      </w:tr>
      <w:tr>
        <w:trPr/>
        <w:tc>
          <w:tcPr>
            <w:tcW w:w="87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PIPE investors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3,323,536</w:t>
            </w:r>
          </w:p>
        </w:tc>
        <w:tc>
          <w:tcPr>
            <w:tcW w:w="163" w:type="dxa"/>
            <w:tcBorders/>
            <w:shd w:fill="FFFFFF" w:val="clear"/>
            <w:vAlign w:val="center"/>
          </w:tcPr>
          <w:p>
            <w:pPr>
              <w:pStyle w:val="TableContents"/>
              <w:bidi w:val="0"/>
              <w:spacing w:before="0" w:after="283"/>
              <w:jc w:val="left"/>
              <w:rPr/>
            </w:pPr>
            <w:r>
              <w:rPr/>
              <w:t> </w:t>
            </w:r>
          </w:p>
        </w:tc>
      </w:tr>
      <w:tr>
        <w:trPr/>
        <w:tc>
          <w:tcPr>
            <w:tcW w:w="873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Common Stock Upon the Business Combination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27,636,939</w:t>
            </w:r>
          </w:p>
        </w:tc>
        <w:tc>
          <w:tcPr>
            <w:tcW w:w="163"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Company incurred $2,726,183 in transaction costs in connection with the Business Combination, which was determined not to be a capital-raising transaction for the Legacy Company. The $2,726,183 consists of the following:</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$1,003,500 in assumed expenses from ShoulderUp for financial advisory services provided by Cohen Capital Markets;</w:t>
            </w:r>
          </w:p>
        </w:tc>
      </w:tr>
    </w:tbl>
    <w:p>
      <w:pPr>
        <w:pStyle w:val="TextBody"/>
        <w:bidi w:val="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$156,870 for financial advisory services provided by a financial advisor;</w:t>
            </w:r>
          </w:p>
        </w:tc>
      </w:tr>
    </w:tbl>
    <w:p>
      <w:pPr>
        <w:pStyle w:val="TextBody"/>
        <w:bidi w:val="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68"/>
        <w:gridCol w:w="200"/>
        <w:gridCol w:w="68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$295,000 in registration fees paid to Nasdaq Corporate Solutions, LLC;</w:t>
            </w:r>
          </w:p>
        </w:tc>
      </w:tr>
    </w:tbl>
    <w:p>
      <w:pPr>
        <w:pStyle w:val="TextBody"/>
        <w:bidi w:val="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68"/>
        <w:gridCol w:w="20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$271,079 paid to Continental Stock Transfer &amp; Trust Co.;</w:t>
            </w:r>
          </w:p>
        </w:tc>
      </w:tr>
    </w:tbl>
    <w:p>
      <w:pPr>
        <w:pStyle w:val="TextBody"/>
        <w:bidi w:val="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68"/>
        <w:gridCol w:w="200"/>
        <w:gridCol w:w="4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$126,812 paid to Edgar Agents, LLC; and</w:t>
            </w:r>
          </w:p>
        </w:tc>
      </w:tr>
    </w:tbl>
    <w:p>
      <w:pPr>
        <w:pStyle w:val="TextBody"/>
        <w:bidi w:val="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$872,922 in bonus expenses related to the successful closing of the Business Combination.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Business Combination to the Company’s condensed consolidated financial statements, and should be read in conjunction with the footnotes referenced above:</w:t>
      </w:r>
    </w:p>
    <w:p>
      <w:pPr>
        <w:pStyle w:val="TextBody"/>
        <w:bidi w:val="0"/>
        <w:jc w:val="both"/>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6875"/>
        <w:gridCol w:w="90"/>
        <w:gridCol w:w="220"/>
        <w:gridCol w:w="1465"/>
        <w:gridCol w:w="170"/>
      </w:tblGrid>
      <w:tr>
        <w:trPr/>
        <w:tc>
          <w:tcPr>
            <w:tcW w:w="6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Recapitalization</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Closing proceeds</w:t>
            </w:r>
          </w:p>
        </w:tc>
        <w:tc>
          <w:tcPr>
            <w:tcW w:w="9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Trust account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5,577,304</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PIPE investors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10,837,643</w:t>
            </w:r>
          </w:p>
        </w:tc>
        <w:tc>
          <w:tcPr>
            <w:tcW w:w="17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legacy ShoulderUp bank accounts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74,499</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Closing disbursements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Payment to purchase founder shares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proceeds from the Business Combination</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11,489,446</w:t>
            </w:r>
          </w:p>
        </w:tc>
        <w:tc>
          <w:tcPr>
            <w:tcW w:w="17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activities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SAFE notes to equity</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40,726,793</w:t>
            </w:r>
          </w:p>
        </w:tc>
        <w:tc>
          <w:tcPr>
            <w:tcW w:w="17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short-term debt to equity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8,597,750</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costs paid in shares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156,870</w:t>
            </w:r>
          </w:p>
        </w:tc>
        <w:tc>
          <w:tcPr>
            <w:tcW w:w="17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Accrued taxes assumed from ShoulderUp</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(3,913,668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Short-term debt assumed from ShoulderUp</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(900,000</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equity impact of the Business Combination</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56,157,191</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 value of common stock issued</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Impact of Business Combination on additional paid-in capital</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56,155,649</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Loan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June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June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transaction:</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3"/>
        <w:gridCol w:w="90"/>
        <w:gridCol w:w="1444"/>
        <w:gridCol w:w="90"/>
        <w:gridCol w:w="170"/>
        <w:gridCol w:w="1010"/>
        <w:gridCol w:w="90"/>
        <w:gridCol w:w="90"/>
        <w:gridCol w:w="302"/>
        <w:gridCol w:w="1483"/>
        <w:gridCol w:w="90"/>
        <w:gridCol w:w="90"/>
        <w:gridCol w:w="186"/>
        <w:gridCol w:w="995"/>
        <w:gridCol w:w="125"/>
        <w:gridCol w:w="90"/>
        <w:gridCol w:w="170"/>
        <w:gridCol w:w="1017"/>
        <w:gridCol w:w="90"/>
        <w:gridCol w:w="90"/>
        <w:gridCol w:w="90"/>
        <w:gridCol w:w="830"/>
        <w:gridCol w:w="140"/>
      </w:tblGrid>
      <w:tr>
        <w:trPr/>
        <w:tc>
          <w:tcPr>
            <w:tcW w:w="1433"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Bridge Loans</w:t>
            </w:r>
          </w:p>
        </w:tc>
        <w:tc>
          <w:tcPr>
            <w:tcW w:w="90" w:type="dxa"/>
            <w:tcBorders/>
            <w:tcMar>
              <w:bottom w:w="0" w:type="dxa"/>
            </w:tcMar>
            <w:vAlign w:val="center"/>
          </w:tcPr>
          <w:p>
            <w:pPr>
              <w:pStyle w:val="TableContents"/>
              <w:bidi w:val="0"/>
              <w:spacing w:before="0" w:after="283"/>
              <w:jc w:val="center"/>
              <w:rPr/>
            </w:pPr>
            <w:r>
              <w:rPr/>
              <w:t> </w:t>
            </w:r>
          </w:p>
        </w:tc>
        <w:tc>
          <w:tcPr>
            <w:tcW w:w="1444"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Effective Date</w:t>
            </w:r>
          </w:p>
        </w:tc>
        <w:tc>
          <w:tcPr>
            <w:tcW w:w="90" w:type="dxa"/>
            <w:tcBorders/>
            <w:tcMar>
              <w:bottom w:w="0" w:type="dxa"/>
            </w:tcMar>
            <w:vAlign w:val="center"/>
          </w:tcPr>
          <w:p>
            <w:pPr>
              <w:pStyle w:val="TableContents"/>
              <w:bidi w:val="0"/>
              <w:spacing w:before="0" w:after="283"/>
              <w:jc w:val="center"/>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Interest at closing</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8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Payback in</w:t>
              <w:br/>
              <w:t>Cash</w:t>
            </w:r>
          </w:p>
        </w:tc>
        <w:tc>
          <w:tcPr>
            <w:tcW w:w="1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8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Payback in</w:t>
              <w:br/>
              <w:t>shares at</w:t>
              <w:br/>
              <w:t>$4/share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40" w:type="dxa"/>
            <w:tcBorders/>
            <w:tcMar>
              <w:bottom w:w="0" w:type="dxa"/>
            </w:tcMar>
            <w:vAlign w:val="center"/>
          </w:tcPr>
          <w:p>
            <w:pPr>
              <w:pStyle w:val="TableContents"/>
              <w:bidi w:val="0"/>
              <w:spacing w:before="0" w:after="283"/>
              <w:jc w:val="center"/>
              <w:rPr/>
            </w:pPr>
            <w:r>
              <w:rPr/>
              <w:t> </w:t>
            </w:r>
          </w:p>
        </w:tc>
      </w:tr>
      <w:tr>
        <w:trPr/>
        <w:tc>
          <w:tcPr>
            <w:tcW w:w="143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Bridge loan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1/29/2025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364,125</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43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Bridge loan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4/9/2025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43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Bridge loan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43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Bridge loan 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3/29/2025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2"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43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Bridge loan 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4"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 w:type="dxa"/>
            <w:tcBorders>
              <w:bottom w:val="single" w:sz="12" w:space="0" w:color="000000"/>
            </w:tcBorders>
            <w:shd w:fill="CCEEFF" w:val="clear"/>
            <w:vAlign w:val="center"/>
          </w:tcPr>
          <w:p>
            <w:pPr>
              <w:pStyle w:val="TableContents"/>
              <w:bidi w:val="0"/>
              <w:spacing w:before="0" w:after="283"/>
              <w:jc w:val="left"/>
              <w:rPr/>
            </w:pPr>
            <w:r>
              <w:rPr/>
              <w:t> </w:t>
            </w:r>
          </w:p>
        </w:tc>
        <w:tc>
          <w:tcPr>
            <w:tcW w:w="148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single" w:sz="12" w:space="0" w:color="000000"/>
            </w:tcBorders>
            <w:shd w:fill="CCEEFF" w:val="clear"/>
            <w:vAlign w:val="center"/>
          </w:tcPr>
          <w:p>
            <w:pPr>
              <w:pStyle w:val="TableContents"/>
              <w:bidi w:val="0"/>
              <w:spacing w:before="0" w:after="283"/>
              <w:jc w:val="left"/>
              <w:rPr/>
            </w:pPr>
            <w:r>
              <w:rPr/>
              <w:t> </w:t>
            </w:r>
          </w:p>
        </w:tc>
        <w:tc>
          <w:tcPr>
            <w:tcW w:w="99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433"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2"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83"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6"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95"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(673,500</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7"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2,456,500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50"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614,125</w:t>
            </w:r>
          </w:p>
        </w:tc>
        <w:tc>
          <w:tcPr>
            <w:tcW w:w="14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8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pStyle w:val="TextBody"/>
        <w:bidi w:val="0"/>
        <w:ind w:left="0" w:right="0" w:firstLine="72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1220"/>
        <w:gridCol w:w="90"/>
        <w:gridCol w:w="1475"/>
        <w:gridCol w:w="90"/>
        <w:gridCol w:w="170"/>
        <w:gridCol w:w="1130"/>
        <w:gridCol w:w="90"/>
        <w:gridCol w:w="90"/>
        <w:gridCol w:w="90"/>
        <w:gridCol w:w="1010"/>
        <w:gridCol w:w="135"/>
      </w:tblGrid>
      <w:tr>
        <w:trPr/>
        <w:tc>
          <w:tcPr>
            <w:tcW w:w="12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PIPE</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Effective 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PIPE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6/16/2025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703,625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PIPE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6/10/2025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PIPE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7,023,143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1,755,786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PIPE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10,837,643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FFFFFF" w:val="clear"/>
            <w:vAlign w:val="center"/>
          </w:tcPr>
          <w:p>
            <w:pPr>
              <w:pStyle w:val="TableContents"/>
              <w:bidi w:val="0"/>
              <w:spacing w:before="0" w:after="283"/>
              <w:jc w:val="left"/>
              <w:rPr/>
            </w:pPr>
            <w:r>
              <w:rPr/>
              <w:t> </w:t>
            </w:r>
          </w:p>
        </w:tc>
        <w:tc>
          <w:tcPr>
            <w:tcW w:w="101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2,709,411</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Restatement of Prior Period Financial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Company determined it had not appropriately reflected the fair value of the SAFE agreements as of June 30, 2024. This resulted in an understatement of liabilities and accumulated deficit as of June 30, 2024, and an understatement of change in fair value of SAFE agreements for the six months ended June 30,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FASB ASC, ASC 250-</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Staff Accounting Bulletin 99, </w:t>
      </w:r>
      <w:r>
        <w:rPr>
          <w:rFonts w:ascii="Times New Roman;Times;Serif" w:hAnsi="Times New Roman;Times;Serif"/>
          <w:b w:val="false"/>
          <w:i/>
          <w:caps w:val="false"/>
          <w:smallCaps w:val="false"/>
          <w:sz w:val="20"/>
        </w:rPr>
        <w:t>Materiality, and Staff Accounting Bulletin 108, 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determined these errors were material to the previously issued interim financial statements and as such a restatement was necessary.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operations for the six months ended June 30, 2024 is as follows:</w:t>
      </w:r>
    </w:p>
    <w:p>
      <w:pPr>
        <w:pStyle w:val="TextBody"/>
        <w:bidi w:val="0"/>
        <w:ind w:left="0" w:right="0" w:firstLine="720"/>
        <w:jc w:val="both"/>
        <w:rPr>
          <w:caps w:val="false"/>
          <w:smallCaps w:val="false"/>
        </w:rPr>
      </w:pPr>
      <w:r>
        <w:rPr>
          <w:caps w:val="false"/>
          <w:smallCaps w:val="false"/>
        </w:rPr>
        <w:t> </w:t>
      </w:r>
    </w:p>
    <w:tbl>
      <w:tblPr>
        <w:tblW w:w="8639" w:type="dxa"/>
        <w:jc w:val="left"/>
        <w:tblInd w:w="0" w:type="dxa"/>
        <w:tblLayout w:type="fixed"/>
        <w:tblCellMar>
          <w:top w:w="0" w:type="dxa"/>
          <w:left w:w="0" w:type="dxa"/>
          <w:bottom w:w="0" w:type="dxa"/>
          <w:right w:w="0" w:type="dxa"/>
        </w:tblCellMar>
      </w:tblPr>
      <w:tblGrid>
        <w:gridCol w:w="4025"/>
        <w:gridCol w:w="90"/>
        <w:gridCol w:w="206"/>
        <w:gridCol w:w="1223"/>
        <w:gridCol w:w="90"/>
        <w:gridCol w:w="90"/>
        <w:gridCol w:w="170"/>
        <w:gridCol w:w="1130"/>
        <w:gridCol w:w="90"/>
        <w:gridCol w:w="90"/>
        <w:gridCol w:w="170"/>
        <w:gridCol w:w="1130"/>
        <w:gridCol w:w="135"/>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 2024</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previously</w:t>
              <w:br/>
              <w:t>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restated</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13,462,710</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3,154,011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3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basic and diluted</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3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shareholders’ deficit for the six months ended June 30, 2024 is as follows:</w:t>
      </w:r>
    </w:p>
    <w:p>
      <w:pPr>
        <w:pStyle w:val="TextBody"/>
        <w:bidi w:val="0"/>
        <w:ind w:left="0" w:right="0" w:firstLine="720"/>
        <w:jc w:val="both"/>
        <w:rPr>
          <w:caps w:val="false"/>
          <w:smallCaps w:val="false"/>
        </w:rPr>
      </w:pPr>
      <w:r>
        <w:rPr>
          <w:caps w:val="false"/>
          <w:smallCaps w:val="false"/>
        </w:rPr>
        <w:t> </w:t>
      </w:r>
    </w:p>
    <w:tbl>
      <w:tblPr>
        <w:tblW w:w="7139" w:type="dxa"/>
        <w:jc w:val="left"/>
        <w:tblInd w:w="0" w:type="dxa"/>
        <w:tblLayout w:type="fixed"/>
        <w:tblCellMar>
          <w:top w:w="0" w:type="dxa"/>
          <w:left w:w="0" w:type="dxa"/>
          <w:bottom w:w="0" w:type="dxa"/>
          <w:right w:w="0" w:type="dxa"/>
        </w:tblCellMar>
      </w:tblPr>
      <w:tblGrid>
        <w:gridCol w:w="2525"/>
        <w:gridCol w:w="90"/>
        <w:gridCol w:w="206"/>
        <w:gridCol w:w="1223"/>
        <w:gridCol w:w="90"/>
        <w:gridCol w:w="90"/>
        <w:gridCol w:w="170"/>
        <w:gridCol w:w="1130"/>
        <w:gridCol w:w="90"/>
        <w:gridCol w:w="90"/>
        <w:gridCol w:w="170"/>
        <w:gridCol w:w="1130"/>
        <w:gridCol w:w="135"/>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June 30, 2024</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previously</w:t>
              <w:br/>
              <w:t>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restated</w:t>
            </w:r>
          </w:p>
        </w:tc>
        <w:tc>
          <w:tcPr>
            <w:tcW w:w="13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6,349,844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19,387,833</w:t>
            </w:r>
          </w:p>
        </w:tc>
        <w:tc>
          <w:tcPr>
            <w:tcW w:w="13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deficit</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5,935,041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18,973,030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adjustment within the Company’s statement of cash flow for the six months ended June 30, 2024 is as follows:</w:t>
      </w:r>
    </w:p>
    <w:p>
      <w:pPr>
        <w:pStyle w:val="TextBody"/>
        <w:bidi w:val="0"/>
        <w:ind w:left="0" w:right="0" w:firstLine="720"/>
        <w:jc w:val="both"/>
        <w:rPr>
          <w:caps w:val="false"/>
          <w:smallCaps w:val="false"/>
        </w:rPr>
      </w:pPr>
      <w:r>
        <w:rPr>
          <w:caps w:val="false"/>
          <w:smallCaps w:val="false"/>
        </w:rPr>
        <w:t> </w:t>
      </w:r>
    </w:p>
    <w:tbl>
      <w:tblPr>
        <w:tblW w:w="8639" w:type="dxa"/>
        <w:jc w:val="left"/>
        <w:tblInd w:w="0" w:type="dxa"/>
        <w:tblLayout w:type="fixed"/>
        <w:tblCellMar>
          <w:top w:w="0" w:type="dxa"/>
          <w:left w:w="0" w:type="dxa"/>
          <w:bottom w:w="0" w:type="dxa"/>
          <w:right w:w="0" w:type="dxa"/>
        </w:tblCellMar>
      </w:tblPr>
      <w:tblGrid>
        <w:gridCol w:w="4025"/>
        <w:gridCol w:w="90"/>
        <w:gridCol w:w="206"/>
        <w:gridCol w:w="1223"/>
        <w:gridCol w:w="90"/>
        <w:gridCol w:w="90"/>
        <w:gridCol w:w="170"/>
        <w:gridCol w:w="1130"/>
        <w:gridCol w:w="90"/>
        <w:gridCol w:w="90"/>
        <w:gridCol w:w="170"/>
        <w:gridCol w:w="1130"/>
        <w:gridCol w:w="135"/>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Six-months ended June 30, 2024</w:t>
            </w:r>
          </w:p>
        </w:tc>
        <w:tc>
          <w:tcPr>
            <w:tcW w:w="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previously</w:t>
              <w:br/>
              <w:t>reported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restated</w:t>
            </w:r>
          </w:p>
        </w:tc>
        <w:tc>
          <w:tcPr>
            <w:tcW w:w="13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3,154,011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16,192,000</w:t>
            </w:r>
          </w:p>
        </w:tc>
        <w:tc>
          <w:tcPr>
            <w:tcW w:w="13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SAFE agreements</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13,037,989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13,462,710</w:t>
            </w:r>
          </w:p>
        </w:tc>
        <w:tc>
          <w:tcPr>
            <w:tcW w:w="135" w:type="dxa"/>
            <w:tcBorders/>
            <w:shd w:fill="FFFF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restated cost of goods sold for the three months ended March 31, 2025 to general and administrative expenses, research and development expenses, and sales and marketing expenses based on the nature of the underlying costs. These restatement had no impact on total operating expenses, net loss, or shareholders’ equity (deficit) for any period presented. The effect of the adjustment within the Company’s statement of operations for the three months ended March 31, 2025 is as follows:</w:t>
      </w:r>
    </w:p>
    <w:p>
      <w:pPr>
        <w:pStyle w:val="TextBody"/>
        <w:bidi w:val="0"/>
        <w:ind w:left="0" w:right="0" w:firstLine="720"/>
        <w:jc w:val="both"/>
        <w:rPr>
          <w:caps w:val="false"/>
          <w:smallCaps w:val="false"/>
        </w:rPr>
      </w:pPr>
      <w:r>
        <w:rPr>
          <w:caps w:val="false"/>
          <w:smallCaps w:val="false"/>
        </w:rPr>
        <w:t> </w:t>
      </w:r>
    </w:p>
    <w:tbl>
      <w:tblPr>
        <w:tblW w:w="8154" w:type="dxa"/>
        <w:jc w:val="left"/>
        <w:tblInd w:w="0" w:type="dxa"/>
        <w:tblLayout w:type="fixed"/>
        <w:tblCellMar>
          <w:top w:w="0" w:type="dxa"/>
          <w:left w:w="0" w:type="dxa"/>
          <w:bottom w:w="0" w:type="dxa"/>
          <w:right w:w="0" w:type="dxa"/>
        </w:tblCellMar>
      </w:tblPr>
      <w:tblGrid>
        <w:gridCol w:w="3530"/>
        <w:gridCol w:w="90"/>
        <w:gridCol w:w="193"/>
        <w:gridCol w:w="1236"/>
        <w:gridCol w:w="125"/>
        <w:gridCol w:w="90"/>
        <w:gridCol w:w="113"/>
        <w:gridCol w:w="1137"/>
        <w:gridCol w:w="125"/>
        <w:gridCol w:w="90"/>
        <w:gridCol w:w="170"/>
        <w:gridCol w:w="1085"/>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64"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Three-months ended March 31, 2025</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previously</w:t>
              <w:br/>
              <w:t>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Adjustment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restated</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352,498</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 sold</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327,238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(310,160</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17,078</w:t>
            </w:r>
          </w:p>
        </w:tc>
        <w:tc>
          <w:tcPr>
            <w:tcW w:w="17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310,160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335,420</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748,513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(130,782</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617,731</w:t>
            </w:r>
          </w:p>
        </w:tc>
        <w:tc>
          <w:tcPr>
            <w:tcW w:w="17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484,482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393,864</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528,526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682,749</w:t>
            </w:r>
          </w:p>
        </w:tc>
        <w:tc>
          <w:tcPr>
            <w:tcW w:w="17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and integration</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377,337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377,337</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1,761,521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310,160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2,071,681</w:t>
            </w:r>
          </w:p>
        </w:tc>
        <w:tc>
          <w:tcPr>
            <w:tcW w:w="17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(1,736,261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(1,736,261</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Concentrations</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Concentration of Credit Risk Arising From Cash Deposits in Excess of Insured Limits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As of June 30, 2025 and December 31, 2024, the Company’s cash balance held at the financial institution exceeded the FDIC limit. The Company has not experienced losses on this account and management believes the Company is not exposed to significant risks on such account.</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rFonts w:ascii="Times New Roman;Times;Serif" w:hAnsi="Times New Roman;Times;Serif"/>
          <w:b/>
          <w:i/>
          <w:caps w:val="false"/>
          <w:smallCaps w:val="false"/>
          <w:strike w:val="false"/>
          <w:dstrike w:val="false"/>
          <w:sz w:val="20"/>
          <w:u w:val="none"/>
          <w:effect w:val="none"/>
        </w:rPr>
      </w:pPr>
      <w:r>
        <w:rPr>
          <w:rFonts w:ascii="Times New Roman;Times;Serif" w:hAnsi="Times New Roman;Times;Serif"/>
          <w:b/>
          <w:i/>
          <w:caps w:val="false"/>
          <w:smallCaps w:val="false"/>
          <w:strike w:val="false"/>
          <w:dstrike w:val="false"/>
          <w:sz w:val="20"/>
          <w:u w:val="none"/>
          <w:effect w:val="none"/>
        </w:rPr>
        <w:t>Significant Customers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that accounts for at least 10% of the Company’s revenue. For the three months ended June 30, 2025 and 2024, the Company had sales to two customers and three customers, respectively, which accounted for approximately 96% and 100% of total revenues for those periods. For the six months ended June 30, 2025 and 2024, sales to one customer comprised approximately 94% and 92% of total revenues, respectively.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as of June 30, 2025 and December 31, 2024, consisted of the following:</w:t>
      </w:r>
    </w:p>
    <w:p>
      <w:pPr>
        <w:pStyle w:val="TextBody"/>
        <w:bidi w:val="0"/>
        <w:ind w:left="0" w:right="0" w:firstLine="720"/>
        <w:jc w:val="both"/>
        <w:rPr>
          <w:caps w:val="false"/>
          <w:smallCaps w:val="false"/>
        </w:rPr>
      </w:pPr>
      <w:r>
        <w:rPr>
          <w:caps w:val="false"/>
          <w:smallCaps w:val="false"/>
        </w:rPr>
        <w:t> </w:t>
      </w:r>
    </w:p>
    <w:tbl>
      <w:tblPr>
        <w:tblW w:w="8798" w:type="dxa"/>
        <w:jc w:val="left"/>
        <w:tblInd w:w="0" w:type="dxa"/>
        <w:tblLayout w:type="fixed"/>
        <w:tblCellMar>
          <w:top w:w="0" w:type="dxa"/>
          <w:left w:w="0" w:type="dxa"/>
          <w:bottom w:w="0" w:type="dxa"/>
          <w:right w:w="0" w:type="dxa"/>
        </w:tblCellMar>
      </w:tblPr>
      <w:tblGrid>
        <w:gridCol w:w="4730"/>
        <w:gridCol w:w="90"/>
        <w:gridCol w:w="1070"/>
        <w:gridCol w:w="90"/>
        <w:gridCol w:w="94"/>
        <w:gridCol w:w="870"/>
        <w:gridCol w:w="125"/>
        <w:gridCol w:w="90"/>
        <w:gridCol w:w="169"/>
        <w:gridCol w:w="1335"/>
        <w:gridCol w:w="135"/>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Equipment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 years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11,286</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9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(5,101</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11,286</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109" w:type="dxa"/>
        <w:jc w:val="left"/>
        <w:tblInd w:w="0" w:type="dxa"/>
        <w:tblLayout w:type="fixed"/>
        <w:tblCellMar>
          <w:top w:w="0" w:type="dxa"/>
          <w:left w:w="0" w:type="dxa"/>
          <w:bottom w:w="0" w:type="dxa"/>
          <w:right w:w="0" w:type="dxa"/>
        </w:tblCellMar>
      </w:tblPr>
      <w:tblGrid>
        <w:gridCol w:w="2105"/>
        <w:gridCol w:w="90"/>
        <w:gridCol w:w="337"/>
        <w:gridCol w:w="1172"/>
        <w:gridCol w:w="178"/>
        <w:gridCol w:w="178"/>
        <w:gridCol w:w="337"/>
        <w:gridCol w:w="725"/>
        <w:gridCol w:w="90"/>
        <w:gridCol w:w="90"/>
        <w:gridCol w:w="296"/>
        <w:gridCol w:w="1028"/>
        <w:gridCol w:w="156"/>
        <w:gridCol w:w="156"/>
        <w:gridCol w:w="296"/>
        <w:gridCol w:w="740"/>
        <w:gridCol w:w="135"/>
      </w:tblGrid>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three months ended </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six months ended </w:t>
              <w:br/>
              <w:t>June 30,</w:t>
            </w:r>
          </w:p>
        </w:tc>
        <w:tc>
          <w:tcPr>
            <w:tcW w:w="13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3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9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5,101</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5,101</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0" w:type="dxa"/>
            <w:tcBorders/>
            <w:shd w:fill="CCEEFF" w:val="clear"/>
            <w:vAlign w:val="center"/>
          </w:tcPr>
          <w:p>
            <w:pPr>
              <w:pStyle w:val="TableContents"/>
              <w:bidi w:val="0"/>
              <w:spacing w:before="0" w:after="283"/>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Capitalized Software Development Costs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eligible costs incurred in the development of internal-use software during the application development stage, in accordance with ASC 350-40, </w:t>
      </w:r>
      <w:r>
        <w:rPr>
          <w:rFonts w:ascii="Times New Roman;Times;Serif" w:hAnsi="Times New Roman;Times;Serif"/>
          <w:b w:val="false"/>
          <w:i/>
          <w:caps w:val="false"/>
          <w:smallCaps w:val="false"/>
          <w:sz w:val="20"/>
        </w:rPr>
        <w:t>Internal-Use Software</w:t>
      </w:r>
      <w:r>
        <w:rPr>
          <w:rFonts w:ascii="Times New Roman;Times;Serif" w:hAnsi="Times New Roman;Times;Serif"/>
          <w:b w:val="false"/>
          <w:i w:val="false"/>
          <w:caps w:val="false"/>
          <w:smallCaps w:val="false"/>
          <w:sz w:val="20"/>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capitalized software development costs of $2,397,994 and $1,761,396 as of June 30, 2025 and December 31, 2024,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and 2024, there was no amortization expense recorded on capitalized software development costs as the software was not substantially complete and ready for its intended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SAFE Agreements and Fair Value Measurements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2"/>
        <w:gridCol w:w="9955"/>
      </w:tblGrid>
      <w:tr>
        <w:trPr/>
        <w:tc>
          <w:tcPr>
            <w:tcW w:w="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Equity Financing</w:t>
            </w:r>
            <w:r>
              <w:rPr>
                <w:rFonts w:ascii="Times New Roman;Times;Serif" w:hAnsi="Times New Roman;Times;Serif"/>
              </w:rPr>
              <w:t xml:space="preserve"> - the SAFE agreements will automatically convert into the number of shares of Safe Preferred Stock equal to the Purchase Amount divided by the Discount Price with certain SAFE agreements subject to a post-money valuation cap of $30,000,000.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6"/>
        <w:gridCol w:w="9951"/>
      </w:tblGrid>
      <w:tr>
        <w:trPr/>
        <w:tc>
          <w:tcPr>
            <w:tcW w:w="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Liquidity Event</w:t>
            </w:r>
            <w:r>
              <w:rPr>
                <w:rFonts w:ascii="Times New Roman;Times;Serif" w:hAnsi="Times New Roman;Times;Serif"/>
              </w:rPr>
              <w:t xml:space="preserve"> - the SAFE agreements will automatically be entitled to receive a portion of Proceeds, 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7"/>
        <w:gridCol w:w="9950"/>
      </w:tblGrid>
      <w:tr>
        <w:trPr/>
        <w:tc>
          <w:tcPr>
            <w:tcW w:w="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Dissolution Event</w:t>
            </w:r>
            <w:r>
              <w:rPr>
                <w:rFonts w:ascii="Times New Roman;Times;Serif" w:hAnsi="Times New Roman;Times;Serif"/>
              </w:rPr>
              <w:t xml:space="preserve"> - the Investor will automatically be entitled to receive a portion of Proceeds equal to the Cash-Out Amount, due and payable to the Investor immediately prior to the consummation of the Dissolution Event.</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815-40, Contracts in Entity’s Own Equity,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June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six-months ended June 30, 2025 and 2024, the SAFE note activity was as follows:</w:t>
      </w:r>
    </w:p>
    <w:p>
      <w:pPr>
        <w:pStyle w:val="TextBody"/>
        <w:bidi w:val="0"/>
        <w:ind w:left="0" w:right="0" w:firstLine="72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275"/>
        <w:gridCol w:w="90"/>
        <w:gridCol w:w="172"/>
        <w:gridCol w:w="1221"/>
        <w:gridCol w:w="126"/>
        <w:gridCol w:w="91"/>
        <w:gridCol w:w="175"/>
        <w:gridCol w:w="1164"/>
        <w:gridCol w:w="90"/>
        <w:gridCol w:w="90"/>
        <w:gridCol w:w="170"/>
        <w:gridCol w:w="1205"/>
        <w:gridCol w:w="125"/>
        <w:gridCol w:w="90"/>
        <w:gridCol w:w="175"/>
        <w:gridCol w:w="1164"/>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three months ended </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six months ended </w:t>
              <w:br/>
              <w:t>June 30,</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2024 </w:t>
              <w:b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2024 </w:t>
              <w:br/>
              <w:t>(As restated)</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 beginning of period</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22,746,675</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18,904,905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4,602,950</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3,134,500</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17,980,118</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660,755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17,368,415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13,462,710</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notes converted into shares</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(40,726,793</w:t>
            </w:r>
          </w:p>
        </w:tc>
        <w:tc>
          <w:tcPr>
            <w:tcW w:w="1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(40,726,793</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 end of period</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June 30, 2025 and December 31, 2024, and indicates the fair value hierarchy of the valuation inputs the Company utilized to determine such fair value:</w:t>
      </w:r>
    </w:p>
    <w:p>
      <w:pPr>
        <w:pStyle w:val="TextBody"/>
        <w:bidi w:val="0"/>
        <w:ind w:left="0" w:right="0" w:firstLine="720"/>
        <w:jc w:val="both"/>
        <w:rPr>
          <w:caps w:val="false"/>
          <w:smallCaps w:val="false"/>
        </w:rPr>
      </w:pPr>
      <w:r>
        <w:rPr>
          <w:caps w:val="false"/>
          <w:smallCaps w:val="false"/>
        </w:rPr>
        <w:t> </w:t>
      </w:r>
    </w:p>
    <w:tbl>
      <w:tblPr>
        <w:tblW w:w="5553" w:type="dxa"/>
        <w:jc w:val="left"/>
        <w:tblInd w:w="0" w:type="dxa"/>
        <w:tblLayout w:type="fixed"/>
        <w:tblCellMar>
          <w:top w:w="0" w:type="dxa"/>
          <w:left w:w="0" w:type="dxa"/>
          <w:bottom w:w="28" w:type="dxa"/>
          <w:right w:w="0" w:type="dxa"/>
        </w:tblCellMar>
      </w:tblPr>
      <w:tblGrid>
        <w:gridCol w:w="1955"/>
        <w:gridCol w:w="90"/>
        <w:gridCol w:w="209"/>
        <w:gridCol w:w="396"/>
        <w:gridCol w:w="90"/>
        <w:gridCol w:w="90"/>
        <w:gridCol w:w="521"/>
        <w:gridCol w:w="383"/>
        <w:gridCol w:w="90"/>
        <w:gridCol w:w="90"/>
        <w:gridCol w:w="196"/>
        <w:gridCol w:w="1308"/>
        <w:gridCol w:w="135"/>
      </w:tblGrid>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9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3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38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23,334,626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Equity Line of Credit: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option to issue a variable number of shares of Common Stock or cash in satisfaction of the $350,000 commitment fee agreed upon in SEPA. The Company has not paid the commitment fee as of the date the unaudited condensed consolidated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Shareholders’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had authorized 300,000,000 shares of common stock, par value $0.0001 per share. As of June 30, 2025, 27,636,939 shares of common stock were issued and outstanding, and 272,363,061 shares of common stock were reserved for future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Equity Incentive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 ’s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six-months ended June 30, 2025 is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87"/>
        <w:gridCol w:w="90"/>
        <w:gridCol w:w="90"/>
        <w:gridCol w:w="1010"/>
        <w:gridCol w:w="125"/>
        <w:gridCol w:w="90"/>
        <w:gridCol w:w="437"/>
        <w:gridCol w:w="1518"/>
        <w:gridCol w:w="90"/>
        <w:gridCol w:w="90"/>
        <w:gridCol w:w="391"/>
        <w:gridCol w:w="2050"/>
        <w:gridCol w:w="137"/>
      </w:tblGrid>
      <w:tr>
        <w:trPr/>
        <w:tc>
          <w:tcPr>
            <w:tcW w:w="408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Weighted-Average</w:t>
              <w:br/>
              <w:t>Exercise Price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4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Weighted-Average</w:t>
              <w:br/>
              <w:t>Remaining Contractual</w:t>
              <w:br/>
              <w:t>Life (in years)</w:t>
            </w:r>
          </w:p>
        </w:tc>
        <w:tc>
          <w:tcPr>
            <w:tcW w:w="137" w:type="dxa"/>
            <w:tcBorders/>
            <w:vAlign w:val="center"/>
          </w:tcPr>
          <w:p>
            <w:pPr>
              <w:pStyle w:val="TableContents"/>
              <w:bidi w:val="0"/>
              <w:spacing w:before="0" w:after="283"/>
              <w:jc w:val="center"/>
              <w:rPr/>
            </w:pPr>
            <w:r>
              <w:rPr/>
              <w:t> </w:t>
            </w:r>
          </w:p>
        </w:tc>
      </w:tr>
      <w:tr>
        <w:trPr/>
        <w:tc>
          <w:tcPr>
            <w:tcW w:w="40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outstanding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2,032,521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w:t>
            </w:r>
          </w:p>
        </w:tc>
        <w:tc>
          <w:tcPr>
            <w:tcW w:w="137" w:type="dxa"/>
            <w:tcBorders/>
            <w:shd w:fill="CCEEFF" w:val="clear"/>
            <w:vAlign w:val="center"/>
          </w:tcPr>
          <w:p>
            <w:pPr>
              <w:pStyle w:val="TableContents"/>
              <w:bidi w:val="0"/>
              <w:spacing w:before="0" w:after="283"/>
              <w:jc w:val="left"/>
              <w:rPr/>
            </w:pPr>
            <w:r>
              <w:rPr/>
              <w:t> </w:t>
            </w:r>
          </w:p>
        </w:tc>
      </w:tr>
      <w:tr>
        <w:trPr/>
        <w:tc>
          <w:tcPr>
            <w:tcW w:w="40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n/a</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n/a</w:t>
            </w:r>
          </w:p>
        </w:tc>
        <w:tc>
          <w:tcPr>
            <w:tcW w:w="137" w:type="dxa"/>
            <w:tcBorders/>
            <w:shd w:fill="FFFFFF" w:val="clear"/>
            <w:vAlign w:val="center"/>
          </w:tcPr>
          <w:p>
            <w:pPr>
              <w:pStyle w:val="TableContents"/>
              <w:bidi w:val="0"/>
              <w:spacing w:before="0" w:after="283"/>
              <w:jc w:val="left"/>
              <w:rPr/>
            </w:pPr>
            <w:r>
              <w:rPr/>
              <w:t> </w:t>
            </w:r>
          </w:p>
        </w:tc>
      </w:tr>
      <w:tr>
        <w:trPr/>
        <w:tc>
          <w:tcPr>
            <w:tcW w:w="40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xml:space="preserve">n/a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050" w:type="dxa"/>
            <w:tcBorders/>
            <w:shd w:fill="CCEEFF" w:val="clear"/>
            <w:vAlign w:val="center"/>
          </w:tcPr>
          <w:p>
            <w:pPr>
              <w:pStyle w:val="TableContents"/>
              <w:bidi w:val="0"/>
              <w:spacing w:before="0" w:after="283"/>
              <w:jc w:val="right"/>
              <w:rPr/>
            </w:pPr>
            <w:r>
              <w:rPr/>
              <w:t>n/a</w:t>
            </w:r>
          </w:p>
        </w:tc>
        <w:tc>
          <w:tcPr>
            <w:tcW w:w="137" w:type="dxa"/>
            <w:tcBorders/>
            <w:shd w:fill="CCEEFF" w:val="clear"/>
            <w:vAlign w:val="center"/>
          </w:tcPr>
          <w:p>
            <w:pPr>
              <w:pStyle w:val="TableContents"/>
              <w:bidi w:val="0"/>
              <w:spacing w:before="0" w:after="283"/>
              <w:jc w:val="left"/>
              <w:rPr/>
            </w:pPr>
            <w:r>
              <w:rPr/>
              <w:t> </w:t>
            </w:r>
          </w:p>
        </w:tc>
      </w:tr>
      <w:tr>
        <w:trPr/>
        <w:tc>
          <w:tcPr>
            <w:tcW w:w="40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cancelled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(170,715</w:t>
            </w:r>
          </w:p>
        </w:tc>
        <w:tc>
          <w:tcPr>
            <w:tcW w:w="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050" w:type="dxa"/>
            <w:tcBorders/>
            <w:shd w:fill="FFFFFF" w:val="clear"/>
            <w:vAlign w:val="center"/>
          </w:tcPr>
          <w:p>
            <w:pPr>
              <w:pStyle w:val="TableContents"/>
              <w:bidi w:val="0"/>
              <w:spacing w:before="0" w:after="283"/>
              <w:jc w:val="right"/>
              <w:rPr/>
            </w:pPr>
            <w:r>
              <w:rPr/>
              <w:t>n/a</w:t>
            </w:r>
          </w:p>
        </w:tc>
        <w:tc>
          <w:tcPr>
            <w:tcW w:w="137" w:type="dxa"/>
            <w:tcBorders/>
            <w:shd w:fill="FFFFFF" w:val="clear"/>
            <w:vAlign w:val="center"/>
          </w:tcPr>
          <w:p>
            <w:pPr>
              <w:pStyle w:val="TableContents"/>
              <w:bidi w:val="0"/>
              <w:spacing w:before="0" w:after="283"/>
              <w:jc w:val="left"/>
              <w:rPr/>
            </w:pPr>
            <w:r>
              <w:rPr/>
              <w:t> </w:t>
            </w:r>
          </w:p>
        </w:tc>
      </w:tr>
      <w:tr>
        <w:trPr/>
        <w:tc>
          <w:tcPr>
            <w:tcW w:w="40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outstanding as of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1,861,806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137" w:type="dxa"/>
            <w:tcBorders/>
            <w:shd w:fill="CCEEFF" w:val="clear"/>
            <w:vAlign w:val="center"/>
          </w:tcPr>
          <w:p>
            <w:pPr>
              <w:pStyle w:val="TableContents"/>
              <w:bidi w:val="0"/>
              <w:spacing w:before="0" w:after="283"/>
              <w:jc w:val="left"/>
              <w:rPr/>
            </w:pPr>
            <w:r>
              <w:rPr/>
              <w:t> </w:t>
            </w:r>
          </w:p>
        </w:tc>
      </w:tr>
      <w:tr>
        <w:trPr/>
        <w:tc>
          <w:tcPr>
            <w:tcW w:w="40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vested as of June 30,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1,773,963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3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w:t>
            </w:r>
          </w:p>
        </w:tc>
        <w:tc>
          <w:tcPr>
            <w:tcW w:w="137" w:type="dxa"/>
            <w:tcBorders/>
            <w:shd w:fill="FFFF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six-months ended June 30, 2025, the Company recognized stock-based compensation expense relating to stock options totaling $9,737 and $19,742, respectively. For the three and six-months ended June 30, 2024, the Company recognized stock-based compensation relating to stock options totaling $3,454 and $71,594, respectively. Stock-based compensation expense relating to stock options is included in “General and administrative” in the accompanying consolidated statements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a total of approximately $23,614 of unrecognized stock-based compensation cost relating to outstanding stock options, which is expected to be recognized over a weighted-average period of 0.74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six-months ended June 30, 2025 and 2024, the Company did not grant any restricted stock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there were no unvested restricted stock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six-months ended June 30, 2025, the Company did not recognize any stock-based compensation relating to restricted stock awards. For the three and six months ended June 30, 2024, the Company recognized stock-based compensation relating to restricted stock awards totaling $17,266 and $100,874, respectively. Stock-based compensation relating to restricted stock awards is included in “General and administrative” in the accompanying consolidated statements of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there was no unrecognized stock-based compensation costs relating to restricted stock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Net Loss Per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2024, shares of Common Stock underlying stock options totaling 1,861,806 and 2,025,473, respectively, and unvested restricted stock awards totaling zero and 35,989, respectively, were excluded from the calculation of diluted net loss per share because they were antidilutive. In addition, 15,654,983 warrants outstanding as of June 30, 2025 were out of the money and also excluded from the calculation of diluted net loss per share for being antidilutive.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 noncancelable operating lease agreement with an unrelated third-party for a 16,000 square feet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three and six-months ended June 30, 2025 and 2024:</w:t>
      </w:r>
    </w:p>
    <w:p>
      <w:pPr>
        <w:pStyle w:val="TextBody"/>
        <w:bidi w:val="0"/>
        <w:ind w:left="0" w:right="0" w:firstLine="720"/>
        <w:jc w:val="both"/>
        <w:rPr>
          <w:caps w:val="false"/>
          <w:smallCaps w:val="false"/>
        </w:rPr>
      </w:pPr>
      <w:r>
        <w:rPr>
          <w:caps w:val="false"/>
          <w:smallCaps w:val="false"/>
        </w:rPr>
        <w:t> </w:t>
      </w:r>
    </w:p>
    <w:tbl>
      <w:tblPr>
        <w:tblW w:w="7258" w:type="dxa"/>
        <w:jc w:val="left"/>
        <w:tblInd w:w="0" w:type="dxa"/>
        <w:tblLayout w:type="fixed"/>
        <w:tblCellMar>
          <w:top w:w="0" w:type="dxa"/>
          <w:left w:w="0" w:type="dxa"/>
          <w:bottom w:w="0" w:type="dxa"/>
          <w:right w:w="0" w:type="dxa"/>
        </w:tblCellMar>
      </w:tblPr>
      <w:tblGrid>
        <w:gridCol w:w="2585"/>
        <w:gridCol w:w="90"/>
        <w:gridCol w:w="206"/>
        <w:gridCol w:w="862"/>
        <w:gridCol w:w="109"/>
        <w:gridCol w:w="109"/>
        <w:gridCol w:w="206"/>
        <w:gridCol w:w="716"/>
        <w:gridCol w:w="90"/>
        <w:gridCol w:w="90"/>
        <w:gridCol w:w="170"/>
        <w:gridCol w:w="830"/>
        <w:gridCol w:w="90"/>
        <w:gridCol w:w="90"/>
        <w:gridCol w:w="170"/>
        <w:gridCol w:w="710"/>
        <w:gridCol w:w="135"/>
      </w:tblGrid>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br/>
              <w:t>June 30,</w:t>
            </w:r>
          </w:p>
        </w:tc>
        <w:tc>
          <w:tcPr>
            <w:tcW w:w="13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2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31,468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short-term lease cost</w:t>
            </w:r>
          </w:p>
        </w:tc>
        <w:tc>
          <w:tcPr>
            <w:tcW w:w="9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30,667</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10,651</w:t>
            </w:r>
          </w:p>
        </w:tc>
        <w:tc>
          <w:tcPr>
            <w:tcW w:w="13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62,135</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10,651</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as of June 30, 2025 and December 31, 2024:</w:t>
      </w:r>
    </w:p>
    <w:p>
      <w:pPr>
        <w:pStyle w:val="TextBody"/>
        <w:bidi w:val="0"/>
        <w:jc w:val="both"/>
        <w:rPr>
          <w:caps w:val="false"/>
          <w:smallCaps w:val="false"/>
        </w:rPr>
      </w:pPr>
      <w:r>
        <w:rPr>
          <w:caps w:val="false"/>
          <w:smallCaps w:val="false"/>
        </w:rPr>
        <w:t> </w:t>
      </w:r>
    </w:p>
    <w:tbl>
      <w:tblPr>
        <w:tblW w:w="7769" w:type="dxa"/>
        <w:jc w:val="left"/>
        <w:tblInd w:w="0" w:type="dxa"/>
        <w:tblLayout w:type="fixed"/>
        <w:tblCellMar>
          <w:top w:w="0" w:type="dxa"/>
          <w:left w:w="0" w:type="dxa"/>
          <w:bottom w:w="0" w:type="dxa"/>
          <w:right w:w="0" w:type="dxa"/>
        </w:tblCellMar>
      </w:tblPr>
      <w:tblGrid>
        <w:gridCol w:w="4505"/>
        <w:gridCol w:w="90"/>
        <w:gridCol w:w="170"/>
        <w:gridCol w:w="875"/>
        <w:gridCol w:w="245"/>
        <w:gridCol w:w="90"/>
        <w:gridCol w:w="255"/>
        <w:gridCol w:w="1249"/>
        <w:gridCol w:w="290"/>
      </w:tblGrid>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 gross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824,314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331,478</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amortization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(55,227</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(23,586</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769,087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307,892</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132,091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36,225</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649,718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265,413</w:t>
            </w:r>
          </w:p>
        </w:tc>
        <w:tc>
          <w:tcPr>
            <w:tcW w:w="29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781,809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301,638</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operating lease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 years</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operating lease discount rate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w:t>
            </w:r>
          </w:p>
        </w:tc>
        <w:tc>
          <w:tcPr>
            <w:tcW w:w="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as of June 30, 2025:</w:t>
      </w:r>
    </w:p>
    <w:p>
      <w:pPr>
        <w:pStyle w:val="TextBody"/>
        <w:bidi w:val="0"/>
        <w:jc w:val="both"/>
        <w:rPr>
          <w:caps w:val="false"/>
          <w:smallCaps w:val="false"/>
        </w:rPr>
      </w:pPr>
      <w:r>
        <w:rPr>
          <w:caps w:val="false"/>
          <w:smallCaps w:val="false"/>
        </w:rPr>
        <w:t> </w:t>
      </w:r>
    </w:p>
    <w:tbl>
      <w:tblPr>
        <w:tblW w:w="5084" w:type="dxa"/>
        <w:jc w:val="left"/>
        <w:tblInd w:w="0" w:type="dxa"/>
        <w:tblLayout w:type="fixed"/>
        <w:tblCellMar>
          <w:top w:w="0" w:type="dxa"/>
          <w:left w:w="0" w:type="dxa"/>
          <w:bottom w:w="28" w:type="dxa"/>
          <w:right w:w="0" w:type="dxa"/>
        </w:tblCellMar>
      </w:tblPr>
      <w:tblGrid>
        <w:gridCol w:w="3005"/>
        <w:gridCol w:w="90"/>
        <w:gridCol w:w="286"/>
        <w:gridCol w:w="1533"/>
        <w:gridCol w:w="170"/>
      </w:tblGrid>
      <w:tr>
        <w:trPr/>
        <w:tc>
          <w:tcPr>
            <w:tcW w:w="30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 (remaining 6 months)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99,577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200,462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207,783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53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215,950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197,905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12" w:space="0" w:color="000000"/>
            </w:tcBorders>
            <w:shd w:fill="FFFFFF" w:val="clear"/>
            <w:vAlign w:val="center"/>
          </w:tcPr>
          <w:p>
            <w:pPr>
              <w:pStyle w:val="TableContents"/>
              <w:bidi w:val="0"/>
              <w:spacing w:before="0" w:after="283"/>
              <w:jc w:val="left"/>
              <w:rPr/>
            </w:pPr>
            <w:r>
              <w:rPr/>
              <w:t> </w:t>
            </w:r>
          </w:p>
        </w:tc>
        <w:tc>
          <w:tcPr>
            <w:tcW w:w="153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42,436</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964,113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86" w:type="dxa"/>
            <w:tcBorders>
              <w:bottom w:val="single" w:sz="12" w:space="0" w:color="000000"/>
            </w:tcBorders>
            <w:shd w:fill="FFFFFF" w:val="clear"/>
            <w:vAlign w:val="center"/>
          </w:tcPr>
          <w:p>
            <w:pPr>
              <w:pStyle w:val="TableContents"/>
              <w:bidi w:val="0"/>
              <w:spacing w:before="0" w:after="283"/>
              <w:jc w:val="left"/>
              <w:rPr/>
            </w:pPr>
            <w:r>
              <w:rPr/>
              <w:t> </w:t>
            </w:r>
          </w:p>
        </w:tc>
        <w:tc>
          <w:tcPr>
            <w:tcW w:w="1533"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(182,304</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781,809</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Related Party Transactions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$3,840 and $7,680 for the three and six months ended June 30, 2025,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2025, the Company began subleasing an office space in Campo Alegre Manati, Puerto Rico from Enzymatic Holdings Corp. The term of this sublease was month-to-month lease, and the rent was $12,333 per month. This lease ended on May 31, 2025. The Company renewed the lease on June 1, 2025 for a term of five years. The rent expense for the short term lease expense was $24,666 and $36,999 for the three and six months ended June 30, 2025,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Commitment and Contingencies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of line of credit agreement (the “ELOC”) with New Circle Principle Investments LLC (“New Circle”), under which the Company can access up to $50,000,000 in aggregate proceeds. The Company shall pay a commitment fee to New Circle in the form of shares of common stock of Holdings with an aggregate market value equal to $350,000, the market value of which shall be determined based on the closing price of such common stock on the date a Form S-1 is declared effective by the SEC. The Company is expected to pay the commitment fee in the third quarter of 2025.</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the Company terminated the employment of one of its founders, who also served as the Customer Experience Officer. The former employee holds 5,000,260 shares of the Company’s Common Stock. In connection with the termination, the employee is expected to forfeit 170,715 stock options that were exercisable at $0.176 per share after converting the $0.0143 per share by 8.1% stock option conversion ratio. The employee has not signed the termination agreement, and there is a potential for litigation arising from this matter.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Segment Reporting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reportable segment that derives revenues from the delivery of feasibility study reports to customers seeking to gain insight into how data driven tracking could improve their business.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 measures of profitability are shown in the condensed consolidated statements of operations. The measure of segment assets is reported on the condensed consolidated balance sheets as total assets.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Income Taxes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and 2024, the Company recorded no income tax expense or benefit due to pre-tax book losses. The Company’s effective tax rate for the three and six-month periods ended June 30, 2025 and 2024 was 0%. This rate differs from the statutory federal rate primarily due to the Company’s pre-tax losses, which generate deferred tax assets (DTAs) related to net operating loss (NOL) carryforwards. Based on the weight of available evidence, including the Company’s cumulative history of operating losses, management has determined that it is more likely than not that the deferred tax assets will not be realized. Accordingly, the Company has recorded a full valuation allowance against these assets.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maintain a full valuation allowance on its U.S. deferred tax assets as of June 30, 2025, and believes a full valuation allowance will be required for the entire fiscal year. Therefore, the estimated annual effective tax rate for 2025 is 0%. The Company’s deferred tax assets, net of the valuation allowance, were $0 as of June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Consolidated Statement of Income (Loss).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an excise tax liability of $3,905,240 and a franchise tax liability of $8,428, both incurred prior to the Closing and recorded as assumed obligations from the reverse recapitalization transaction. The Company also had a $1,977 sales tax receivable as of June 30, 2025, and reported a total accrued tax liability of $3,911,691 as of that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six months ended June 30, 2025 and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effective tax rate of 0% and the U.S. federal statutory rate of 21% for each of the three and nine months ended June 30, 2025 and 2024 was primarily due to changes in deferred tax balances, fully offset by valuation allowances.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Subsequent Events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 financial statements were issued and has determined that there are no subsequent events requiring adjustment to or disclosure in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6905"/>
        <w:gridCol w:w="1190"/>
      </w:tblGrid>
      <w:tr>
        <w:trPr/>
        <w:tc>
          <w:tcPr>
            <w:tcW w:w="6905" w:type="dxa"/>
            <w:tcBorders/>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9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r>
              <w:rPr/>
              <w:t>Consolidated financial statements:</w:t>
            </w:r>
          </w:p>
        </w:tc>
        <w:tc>
          <w:tcPr>
            <w:tcW w:w="1190" w:type="dxa"/>
            <w:tcBorders/>
            <w:shd w:fill="CCEEFF" w:val="clear"/>
            <w:vAlign w:val="center"/>
          </w:tcPr>
          <w:p>
            <w:pPr>
              <w:pStyle w:val="TableContents"/>
              <w:bidi w:val="0"/>
              <w:spacing w:before="0" w:after="283"/>
              <w:jc w:val="center"/>
              <w:rPr/>
            </w:pPr>
            <w:r>
              <w:rPr/>
              <w:t> </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1">
              <w:r>
                <w:rPr>
                  <w:rStyle w:val="InternetLink"/>
                </w:rPr>
                <w:t>Report of Independent Registered Public Accountant (PCAOB ID: 52)</w:t>
              </w:r>
            </w:hyperlink>
          </w:p>
        </w:tc>
        <w:tc>
          <w:tcPr>
            <w:tcW w:w="1190" w:type="dxa"/>
            <w:tcBorders/>
            <w:shd w:fill="CCEEFF" w:val="clear"/>
            <w:vAlign w:val="center"/>
          </w:tcPr>
          <w:p>
            <w:pPr>
              <w:pStyle w:val="TableContents"/>
              <w:bidi w:val="0"/>
              <w:spacing w:before="0" w:after="283"/>
              <w:jc w:val="center"/>
              <w:rPr/>
            </w:pPr>
            <w:r>
              <w:rPr/>
              <w:t>F-26</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2">
              <w:r>
                <w:rPr>
                  <w:rStyle w:val="InternetLink"/>
                </w:rPr>
                <w:t>Report of Independent Registered Public Accountant (PCAOB ID: 392)</w:t>
              </w:r>
            </w:hyperlink>
          </w:p>
        </w:tc>
        <w:tc>
          <w:tcPr>
            <w:tcW w:w="1190" w:type="dxa"/>
            <w:tcBorders/>
            <w:shd w:fill="CCEEFF" w:val="clear"/>
            <w:vAlign w:val="center"/>
          </w:tcPr>
          <w:p>
            <w:pPr>
              <w:pStyle w:val="TableContents"/>
              <w:bidi w:val="0"/>
              <w:spacing w:before="0" w:after="283"/>
              <w:jc w:val="center"/>
              <w:rPr/>
            </w:pPr>
            <w:r>
              <w:rPr/>
              <w:t>F-27</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3">
              <w:r>
                <w:rPr>
                  <w:rStyle w:val="InternetLink"/>
                </w:rPr>
                <w:t>Consolidated balance sheets</w:t>
              </w:r>
            </w:hyperlink>
          </w:p>
        </w:tc>
        <w:tc>
          <w:tcPr>
            <w:tcW w:w="1190" w:type="dxa"/>
            <w:tcBorders/>
            <w:shd w:fill="CCEEFF" w:val="clear"/>
            <w:vAlign w:val="center"/>
          </w:tcPr>
          <w:p>
            <w:pPr>
              <w:pStyle w:val="TableContents"/>
              <w:bidi w:val="0"/>
              <w:spacing w:before="0" w:after="283"/>
              <w:jc w:val="center"/>
              <w:rPr/>
            </w:pPr>
            <w:r>
              <w:rPr/>
              <w:t>F-28 - F-29</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4">
              <w:r>
                <w:rPr>
                  <w:rStyle w:val="InternetLink"/>
                </w:rPr>
                <w:t>Consolidated statements of operations</w:t>
              </w:r>
            </w:hyperlink>
          </w:p>
        </w:tc>
        <w:tc>
          <w:tcPr>
            <w:tcW w:w="1190" w:type="dxa"/>
            <w:tcBorders/>
            <w:shd w:fill="CCEEFF" w:val="clear"/>
            <w:vAlign w:val="center"/>
          </w:tcPr>
          <w:p>
            <w:pPr>
              <w:pStyle w:val="TableContents"/>
              <w:bidi w:val="0"/>
              <w:spacing w:before="0" w:after="283"/>
              <w:jc w:val="center"/>
              <w:rPr/>
            </w:pPr>
            <w:r>
              <w:rPr/>
              <w:t>F-30</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5">
              <w:r>
                <w:rPr>
                  <w:rStyle w:val="InternetLink"/>
                </w:rPr>
                <w:t>Consolidated statements of stockholders’ deficit</w:t>
              </w:r>
            </w:hyperlink>
          </w:p>
        </w:tc>
        <w:tc>
          <w:tcPr>
            <w:tcW w:w="1190" w:type="dxa"/>
            <w:tcBorders/>
            <w:shd w:fill="CCEEFF" w:val="clear"/>
            <w:vAlign w:val="center"/>
          </w:tcPr>
          <w:p>
            <w:pPr>
              <w:pStyle w:val="TableContents"/>
              <w:bidi w:val="0"/>
              <w:spacing w:before="0" w:after="283"/>
              <w:jc w:val="center"/>
              <w:rPr/>
            </w:pPr>
            <w:r>
              <w:rPr/>
              <w:t>F-31</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6">
              <w:r>
                <w:rPr>
                  <w:rStyle w:val="InternetLink"/>
                </w:rPr>
                <w:t>Consolidated statements of cash flows</w:t>
              </w:r>
            </w:hyperlink>
          </w:p>
        </w:tc>
        <w:tc>
          <w:tcPr>
            <w:tcW w:w="1190" w:type="dxa"/>
            <w:tcBorders/>
            <w:shd w:fill="CCEEFF" w:val="clear"/>
            <w:vAlign w:val="center"/>
          </w:tcPr>
          <w:p>
            <w:pPr>
              <w:pStyle w:val="TableContents"/>
              <w:bidi w:val="0"/>
              <w:spacing w:before="0" w:after="283"/>
              <w:jc w:val="center"/>
              <w:rPr/>
            </w:pPr>
            <w:r>
              <w:rPr/>
              <w:t>F-32</w:t>
            </w:r>
          </w:p>
        </w:tc>
      </w:tr>
      <w:tr>
        <w:trPr/>
        <w:tc>
          <w:tcPr>
            <w:tcW w:w="690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r>
      <w:tr>
        <w:trPr/>
        <w:tc>
          <w:tcPr>
            <w:tcW w:w="6905" w:type="dxa"/>
            <w:tcBorders/>
            <w:shd w:fill="CCEEFF" w:val="clear"/>
            <w:vAlign w:val="center"/>
          </w:tcPr>
          <w:p>
            <w:pPr>
              <w:pStyle w:val="TableContents"/>
              <w:bidi w:val="0"/>
              <w:spacing w:before="0" w:after="283"/>
              <w:jc w:val="left"/>
              <w:rPr/>
            </w:pPr>
            <w:hyperlink w:anchor="f_007">
              <w:r>
                <w:rPr>
                  <w:rStyle w:val="InternetLink"/>
                </w:rPr>
                <w:t>Notes to consolidated financial statements</w:t>
              </w:r>
            </w:hyperlink>
          </w:p>
        </w:tc>
        <w:tc>
          <w:tcPr>
            <w:tcW w:w="1190" w:type="dxa"/>
            <w:tcBorders/>
            <w:shd w:fill="CCEEFF" w:val="clear"/>
            <w:vAlign w:val="center"/>
          </w:tcPr>
          <w:p>
            <w:pPr>
              <w:pStyle w:val="TableContents"/>
              <w:bidi w:val="0"/>
              <w:spacing w:before="0" w:after="283"/>
              <w:jc w:val="center"/>
              <w:rPr/>
            </w:pPr>
            <w:r>
              <w:rPr/>
              <w:t>F-33 - F-53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0" w:name="f_001"/>
      <w:bookmarkEnd w:id="30"/>
      <w:r>
        <w:rPr>
          <w:rFonts w:ascii="Times New Roman;Times;Serif" w:hAnsi="Times New Roman;Times;Serif"/>
          <w:b w:val="false"/>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SEE ID, Inc. dba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tbl>
      <w:tblPr>
        <w:tblW w:w="4474" w:type="dxa"/>
        <w:jc w:val="left"/>
        <w:tblInd w:w="0" w:type="dxa"/>
        <w:tblLayout w:type="fixed"/>
        <w:tblCellMar>
          <w:top w:w="0" w:type="dxa"/>
          <w:left w:w="0" w:type="dxa"/>
          <w:bottom w:w="0" w:type="dxa"/>
          <w:right w:w="0" w:type="dxa"/>
        </w:tblCellMar>
      </w:tblPr>
      <w:tblGrid>
        <w:gridCol w:w="4317"/>
        <w:gridCol w:w="157"/>
      </w:tblGrid>
      <w:tr>
        <w:trPr/>
        <w:tc>
          <w:tcPr>
            <w:tcW w:w="4474" w:type="dxa"/>
            <w:gridSpan w:val="2"/>
            <w:tcBorders/>
            <w:vAlign w:val="center"/>
          </w:tcPr>
          <w:p>
            <w:pPr>
              <w:pStyle w:val="TableContents"/>
              <w:bidi w:val="0"/>
              <w:spacing w:before="0" w:after="283"/>
              <w:jc w:val="left"/>
              <w:rPr/>
            </w:pPr>
            <w:r>
              <w:rPr/>
              <w:t> </w:t>
            </w:r>
          </w:p>
        </w:tc>
      </w:tr>
      <w:tr>
        <w:trPr/>
        <w:tc>
          <w:tcPr>
            <w:tcW w:w="43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tc>
        <w:tc>
          <w:tcPr>
            <w:tcW w:w="157" w:type="dxa"/>
            <w:tcBorders/>
            <w:vAlign w:val="center"/>
          </w:tcPr>
          <w:p>
            <w:pPr>
              <w:pStyle w:val="TableContents"/>
              <w:bidi w:val="0"/>
              <w:spacing w:before="0" w:after="283"/>
              <w:jc w:val="left"/>
              <w:rPr/>
            </w:pPr>
            <w:r>
              <w:rPr/>
              <w:t> </w:t>
            </w:r>
          </w:p>
        </w:tc>
      </w:tr>
      <w:tr>
        <w:trPr/>
        <w:tc>
          <w:tcPr>
            <w:tcW w:w="431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r>
      <w:tr>
        <w:trPr/>
        <w:tc>
          <w:tcPr>
            <w:tcW w:w="4474" w:type="dxa"/>
            <w:gridSpan w:val="2"/>
            <w:tcBorders/>
            <w:vAlign w:val="center"/>
          </w:tcPr>
          <w:p>
            <w:pPr>
              <w:pStyle w:val="TableContents"/>
              <w:bidi w:val="0"/>
              <w:spacing w:before="0" w:after="283"/>
              <w:jc w:val="left"/>
              <w:rPr>
                <w:sz w:val="20"/>
              </w:rPr>
            </w:pPr>
            <w:r>
              <w:rPr>
                <w:sz w:val="20"/>
              </w:rPr>
              <w:t>We have served as the Company’s auditor since 2024.</w:t>
            </w:r>
          </w:p>
        </w:tc>
      </w:tr>
      <w:tr>
        <w:trPr/>
        <w:tc>
          <w:tcPr>
            <w:tcW w:w="431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r>
      <w:tr>
        <w:trPr/>
        <w:tc>
          <w:tcPr>
            <w:tcW w:w="4474" w:type="dxa"/>
            <w:gridSpan w:val="2"/>
            <w:tcBorders/>
            <w:vAlign w:val="center"/>
          </w:tcPr>
          <w:p>
            <w:pPr>
              <w:pStyle w:val="TableContents"/>
              <w:bidi w:val="0"/>
              <w:spacing w:before="0" w:after="283"/>
              <w:jc w:val="left"/>
              <w:rPr>
                <w:sz w:val="20"/>
              </w:rPr>
            </w:pPr>
            <w:r>
              <w:rPr>
                <w:sz w:val="20"/>
              </w:rPr>
              <w:t>New York, New York</w:t>
            </w:r>
          </w:p>
        </w:tc>
      </w:tr>
      <w:tr>
        <w:trPr/>
        <w:tc>
          <w:tcPr>
            <w:tcW w:w="4317" w:type="dxa"/>
            <w:tcBorders/>
            <w:vAlign w:val="center"/>
          </w:tcPr>
          <w:p>
            <w:pPr>
              <w:pStyle w:val="TableContents"/>
              <w:bidi w:val="0"/>
              <w:spacing w:before="0" w:after="283"/>
              <w:jc w:val="left"/>
              <w:rPr>
                <w:sz w:val="20"/>
              </w:rPr>
            </w:pPr>
            <w:r>
              <w:rPr>
                <w:sz w:val="20"/>
              </w:rPr>
              <w:t>June 25, 2025</w:t>
            </w:r>
          </w:p>
        </w:tc>
        <w:tc>
          <w:tcPr>
            <w:tcW w:w="15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2"/>
      <w:bookmarkEnd w:id="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of SEE 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Emphasis of a Matter Regarding Going Concern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Wolf &amp; Company,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2024, except for Note 10, as to which the date is July 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2" w:name="f_003"/>
      <w:bookmarkEnd w:id="32"/>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3800"/>
        <w:gridCol w:w="90"/>
        <w:gridCol w:w="170"/>
        <w:gridCol w:w="1010"/>
        <w:gridCol w:w="90"/>
        <w:gridCol w:w="90"/>
        <w:gridCol w:w="170"/>
        <w:gridCol w:w="1010"/>
        <w:gridCol w:w="135"/>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35" w:type="dxa"/>
            <w:tcBorders/>
            <w:vAlign w:val="center"/>
          </w:tcPr>
          <w:p>
            <w:pPr>
              <w:pStyle w:val="TableContents"/>
              <w:bidi w:val="0"/>
              <w:spacing w:before="0" w:after="283"/>
              <w:jc w:val="left"/>
              <w:rPr/>
            </w:pPr>
            <w:r>
              <w:rPr/>
              <w:t> </w:t>
            </w:r>
          </w:p>
        </w:tc>
      </w:tr>
      <w:tr>
        <w:trPr/>
        <w:tc>
          <w:tcPr>
            <w:tcW w:w="6565" w:type="dxa"/>
            <w:gridSpan w:val="9"/>
            <w:tcBorders/>
            <w:vAlign w:val="center"/>
          </w:tcPr>
          <w:p>
            <w:pPr>
              <w:pStyle w:val="TableContents"/>
              <w:bidi w:val="0"/>
              <w:spacing w:before="0" w:after="283"/>
              <w:jc w:val="center"/>
              <w:rPr>
                <w:u w:val="single"/>
              </w:rPr>
            </w:pPr>
            <w:r>
              <w:rPr>
                <w:u w:val="single"/>
              </w:rPr>
              <w:t>ASSETS</w:t>
            </w:r>
          </w:p>
        </w:tc>
      </w:tr>
      <w:tr>
        <w:trPr/>
        <w:tc>
          <w:tcPr>
            <w:tcW w:w="3800" w:type="dxa"/>
            <w:tcBorders/>
            <w:vAlign w:val="center"/>
          </w:tcPr>
          <w:p>
            <w:pPr>
              <w:pStyle w:val="TableContents"/>
              <w:bidi w:val="0"/>
              <w:spacing w:before="0" w:after="283"/>
              <w:jc w:val="left"/>
              <w:rPr/>
            </w:pPr>
            <w:r>
              <w:rPr>
                <w:u w:val="single"/>
              </w:rPr>
              <w:t>Current assets</w:t>
            </w:r>
            <w:r>
              <w:rPr/>
              <w:t>:</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721,032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605,760</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Accounts receivable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50,264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4,778</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65,248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Advances to supplier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33,576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133,975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155,845</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1,004,095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766,383</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u w:val="single"/>
              </w:rPr>
            </w:pPr>
            <w:r>
              <w:rPr>
                <w:u w:val="single"/>
              </w:rPr>
              <w:t>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Right-of-use asset - operating lease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307,892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Capitalized software development costs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1,761,396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927,176</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23,389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other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2,092,677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927,176</w:t>
            </w:r>
          </w:p>
        </w:tc>
        <w:tc>
          <w:tcPr>
            <w:tcW w:w="13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8"/>
        <w:gridCol w:w="90"/>
        <w:gridCol w:w="170"/>
        <w:gridCol w:w="1205"/>
        <w:gridCol w:w="125"/>
        <w:gridCol w:w="90"/>
        <w:gridCol w:w="170"/>
        <w:gridCol w:w="1085"/>
        <w:gridCol w:w="152"/>
      </w:tblGrid>
      <w:tr>
        <w:trPr/>
        <w:tc>
          <w:tcPr>
            <w:tcW w:w="7118"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52" w:type="dxa"/>
            <w:tcBorders/>
            <w:vAlign w:val="center"/>
          </w:tcPr>
          <w:p>
            <w:pPr>
              <w:pStyle w:val="TableContents"/>
              <w:bidi w:val="0"/>
              <w:spacing w:before="0" w:after="283"/>
              <w:ind w:left="0" w:right="0" w:hanging="180"/>
              <w:jc w:val="left"/>
              <w:rPr/>
            </w:pPr>
            <w:r>
              <w:rPr/>
              <w:t> </w:t>
            </w:r>
          </w:p>
        </w:tc>
      </w:tr>
      <w:tr>
        <w:trPr/>
        <w:tc>
          <w:tcPr>
            <w:tcW w:w="711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52"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ind w:left="0" w:right="0" w:hanging="180"/>
              <w:jc w:val="center"/>
              <w:rPr>
                <w:u w:val="single"/>
              </w:rPr>
            </w:pPr>
            <w:r>
              <w:rPr>
                <w:u w:val="single"/>
              </w:rPr>
              <w:t>LIABILITIES AND STOCKHOLDERS’ DEFICIT</w:t>
            </w:r>
          </w:p>
        </w:tc>
      </w:tr>
      <w:tr>
        <w:trPr/>
        <w:tc>
          <w:tcPr>
            <w:tcW w:w="7118" w:type="dxa"/>
            <w:tcBorders/>
            <w:vAlign w:val="center"/>
          </w:tcPr>
          <w:p>
            <w:pPr>
              <w:pStyle w:val="TableContents"/>
              <w:bidi w:val="0"/>
              <w:spacing w:before="0" w:after="283"/>
              <w:jc w:val="both"/>
              <w:rPr/>
            </w:pPr>
            <w:r>
              <w:rPr>
                <w:u w:val="single"/>
              </w:rPr>
              <w:t>Current liabilities</w:t>
            </w:r>
            <w:r>
              <w:rPr/>
              <w:t>:</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both"/>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770,276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1,734</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Accrued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24,219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23,505</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Payroll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246,720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18,868</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Deferred revenue,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1,142,643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Lease liability,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36,225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Total 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2,220,083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44,107</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u w:val="single"/>
              </w:rPr>
              <w:t>Long-term liabilities</w:t>
            </w: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SAFE agreements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23,334,626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4,602,950</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Deferred revenue, net of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1,570,572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Lease liability, net of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Total long-term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25,170,611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4,602,950</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4,647,057</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Commitments and contingencies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 </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u w:val="single"/>
              </w:rPr>
            </w:pPr>
            <w:r>
              <w:rPr>
                <w:u w:val="single"/>
              </w:rPr>
              <w:t>Stockholders’ deficit: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Common stock, $0.001 par value, 200,000,000 shares authorized; 108,975,000 shares issued and outstanding at December 31, 2024 and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108,975</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both"/>
              <w:rPr/>
            </w:pPr>
            <w:r>
              <w:rPr/>
              <w:t>Additional paid-in capital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330,366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133,360</w:t>
            </w:r>
          </w:p>
        </w:tc>
        <w:tc>
          <w:tcPr>
            <w:tcW w:w="152"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both"/>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(24,733,263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152" w:type="dxa"/>
            <w:tcBorders/>
            <w:shd w:fill="CCEEFF" w:val="clear"/>
            <w:vAlign w:val="center"/>
          </w:tcPr>
          <w:p>
            <w:pPr>
              <w:pStyle w:val="TableContents"/>
              <w:bidi w:val="0"/>
              <w:spacing w:before="0" w:after="283"/>
              <w:ind w:left="0" w:right="0" w:hanging="180"/>
              <w:jc w:val="left"/>
              <w:rPr/>
            </w:pPr>
            <w:r>
              <w:rPr/>
              <w:t>)</w:t>
            </w:r>
          </w:p>
        </w:tc>
      </w:tr>
      <w:tr>
        <w:trPr/>
        <w:tc>
          <w:tcPr>
            <w:tcW w:w="7118" w:type="dxa"/>
            <w:tcBorders/>
            <w:shd w:fill="FFFFFF" w:val="clear"/>
            <w:vAlign w:val="center"/>
          </w:tcPr>
          <w:p>
            <w:pPr>
              <w:pStyle w:val="TableContents"/>
              <w:bidi w:val="0"/>
              <w:spacing w:before="0" w:after="283"/>
              <w:jc w:val="both"/>
              <w:rPr/>
            </w:pPr>
            <w:r>
              <w:rPr/>
              <w:t>Total stockholders’ deficit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(24,293,922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(2,953,498</w:t>
            </w:r>
          </w:p>
        </w:tc>
        <w:tc>
          <w:tcPr>
            <w:tcW w:w="152" w:type="dxa"/>
            <w:tcBorders/>
            <w:shd w:fill="FFFFFF" w:val="clear"/>
            <w:vAlign w:val="center"/>
          </w:tcPr>
          <w:p>
            <w:pPr>
              <w:pStyle w:val="TableContents"/>
              <w:bidi w:val="0"/>
              <w:spacing w:before="0" w:after="283"/>
              <w:ind w:left="0" w:right="0" w:hanging="180"/>
              <w:jc w:val="left"/>
              <w:rPr/>
            </w:pPr>
            <w:r>
              <w:rPr/>
              <w:t>)</w:t>
            </w:r>
          </w:p>
        </w:tc>
      </w:tr>
      <w:tr>
        <w:trPr/>
        <w:tc>
          <w:tcPr>
            <w:tcW w:w="7118" w:type="dxa"/>
            <w:tcBorders/>
            <w:shd w:fill="CCEEFF" w:val="clear"/>
            <w:vAlign w:val="center"/>
          </w:tcPr>
          <w:p>
            <w:pPr>
              <w:pStyle w:val="TableContents"/>
              <w:bidi w:val="0"/>
              <w:spacing w:before="0" w:after="283"/>
              <w:jc w:val="both"/>
              <w:rPr/>
            </w:pPr>
            <w:r>
              <w:rPr/>
              <w:t>Total liabilities and stockholders’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3,096,772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1,693,559</w:t>
            </w:r>
          </w:p>
        </w:tc>
        <w:tc>
          <w:tcPr>
            <w:tcW w:w="15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3" w:name="f_004"/>
      <w:bookmarkEnd w:id="33"/>
      <w:r>
        <w:rPr>
          <w:rFonts w:ascii="Times New Roman;Times;Serif" w:hAnsi="Times New Roman;Times;Serif"/>
          <w:b w:val="false"/>
          <w:i w:val="false"/>
          <w:caps w:val="false"/>
          <w:smallCaps w:val="false"/>
          <w:sz w:val="20"/>
        </w:rPr>
        <w:t>SEE ID, INC. AND SUBSIDIARY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w:t>
      </w:r>
    </w:p>
    <w:p>
      <w:pPr>
        <w:pStyle w:val="TextBody"/>
        <w:bidi w:val="0"/>
        <w:spacing w:before="0" w:after="0"/>
        <w:jc w:val="center"/>
        <w:rPr>
          <w:caps w:val="false"/>
          <w:smallCaps w:val="false"/>
        </w:rPr>
      </w:pPr>
      <w:r>
        <w:rPr>
          <w:caps w:val="false"/>
          <w:smallCaps w:val="false"/>
        </w:rPr>
        <w:t> </w:t>
      </w:r>
    </w:p>
    <w:tbl>
      <w:tblPr>
        <w:tblW w:w="7527" w:type="dxa"/>
        <w:jc w:val="left"/>
        <w:tblInd w:w="0" w:type="dxa"/>
        <w:tblLayout w:type="fixed"/>
        <w:tblCellMar>
          <w:top w:w="0" w:type="dxa"/>
          <w:left w:w="0" w:type="dxa"/>
          <w:bottom w:w="0" w:type="dxa"/>
          <w:right w:w="0" w:type="dxa"/>
        </w:tblCellMar>
      </w:tblPr>
      <w:tblGrid>
        <w:gridCol w:w="4055"/>
        <w:gridCol w:w="90"/>
        <w:gridCol w:w="186"/>
        <w:gridCol w:w="1369"/>
        <w:gridCol w:w="136"/>
        <w:gridCol w:w="98"/>
        <w:gridCol w:w="186"/>
        <w:gridCol w:w="1237"/>
        <w:gridCol w:w="170"/>
      </w:tblGrid>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2"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Sales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69" w:type="dxa"/>
            <w:tcBorders/>
            <w:shd w:fill="CCEEFF" w:val="clear"/>
            <w:vAlign w:val="center"/>
          </w:tcPr>
          <w:p>
            <w:pPr>
              <w:pStyle w:val="TableContents"/>
              <w:bidi w:val="0"/>
              <w:spacing w:before="0" w:after="283"/>
              <w:jc w:val="right"/>
              <w:rPr/>
            </w:pPr>
            <w:r>
              <w:rPr/>
              <w:t>172,661</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439,640</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Cost of sales</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343,889</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86,888</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Gross profit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CCEEFF" w:val="clear"/>
            <w:tcMar>
              <w:bottom w:w="28" w:type="dxa"/>
            </w:tcMar>
            <w:vAlign w:val="center"/>
          </w:tcPr>
          <w:p>
            <w:pPr>
              <w:pStyle w:val="TableContents"/>
              <w:bidi w:val="0"/>
              <w:spacing w:before="0" w:after="283"/>
              <w:jc w:val="right"/>
              <w:rPr/>
            </w:pPr>
            <w:r>
              <w:rPr/>
              <w:t>(171,228</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352,752</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u w:val="single"/>
              </w:rPr>
              <w:t>Operating expenses</w:t>
            </w: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General and administrative</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3,588,548</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742,041</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2,524,930</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449,936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Research and development</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759,967</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837,453</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CCEEFF" w:val="clear"/>
            <w:tcMar>
              <w:bottom w:w="28" w:type="dxa"/>
            </w:tcMar>
            <w:vAlign w:val="center"/>
          </w:tcPr>
          <w:p>
            <w:pPr>
              <w:pStyle w:val="TableContents"/>
              <w:bidi w:val="0"/>
              <w:spacing w:before="0" w:after="283"/>
              <w:jc w:val="right"/>
              <w:rPr/>
            </w:pPr>
            <w:r>
              <w:rPr/>
              <w:t>6,873,445</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2,029,430</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Loss from operations</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(7,044,673</w:t>
            </w:r>
          </w:p>
        </w:tc>
        <w:tc>
          <w:tcPr>
            <w:tcW w:w="13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(1,676,678</w:t>
            </w:r>
          </w:p>
        </w:tc>
        <w:tc>
          <w:tcPr>
            <w:tcW w:w="170"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u w:val="single"/>
              </w:rPr>
              <w:t>Other expense</w:t>
            </w:r>
            <w:r>
              <w:rPr/>
              <w:t>:</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Net loss before provision for income taxes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(21,536,849</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(1,939,917</w:t>
            </w:r>
          </w:p>
        </w:tc>
        <w:tc>
          <w:tcPr>
            <w:tcW w:w="17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Provision for income taxes</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9"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3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(1,939,917</w:t>
            </w:r>
          </w:p>
        </w:tc>
        <w:tc>
          <w:tcPr>
            <w:tcW w:w="170"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u w:val="single"/>
              </w:rPr>
              <w:t>Net loss per share</w:t>
            </w: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Basic and diluted</w:t>
            </w:r>
          </w:p>
        </w:tc>
        <w:tc>
          <w:tcPr>
            <w:tcW w:w="9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(0.20</w:t>
            </w:r>
          </w:p>
        </w:tc>
        <w:tc>
          <w:tcPr>
            <w:tcW w:w="13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170"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u w:val="single"/>
              </w:rPr>
              <w:t>Weighted-average number of shares</w:t>
            </w:r>
            <w:r>
              <w:rPr/>
              <w:t>:</w:t>
            </w:r>
          </w:p>
        </w:tc>
        <w:tc>
          <w:tcPr>
            <w:tcW w:w="9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CCEEFF" w:val="clear"/>
            <w:tcMar>
              <w:bottom w:w="28" w:type="dxa"/>
            </w:tcMar>
            <w:vAlign w:val="center"/>
          </w:tcPr>
          <w:p>
            <w:pPr>
              <w:pStyle w:val="TableContents"/>
              <w:bidi w:val="0"/>
              <w:spacing w:before="0" w:after="283"/>
              <w:jc w:val="right"/>
              <w:rPr/>
            </w:pPr>
            <w:r>
              <w:rPr/>
              <w:t>108,203,788</w:t>
            </w:r>
          </w:p>
        </w:tc>
        <w:tc>
          <w:tcPr>
            <w:tcW w:w="13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95,983,188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4" w:name="f_005"/>
      <w:bookmarkEnd w:id="34"/>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5"/>
        <w:gridCol w:w="90"/>
        <w:gridCol w:w="90"/>
        <w:gridCol w:w="1250"/>
        <w:gridCol w:w="90"/>
        <w:gridCol w:w="90"/>
        <w:gridCol w:w="170"/>
        <w:gridCol w:w="830"/>
        <w:gridCol w:w="90"/>
        <w:gridCol w:w="90"/>
        <w:gridCol w:w="179"/>
        <w:gridCol w:w="876"/>
        <w:gridCol w:w="90"/>
        <w:gridCol w:w="90"/>
        <w:gridCol w:w="170"/>
        <w:gridCol w:w="1205"/>
        <w:gridCol w:w="125"/>
        <w:gridCol w:w="90"/>
        <w:gridCol w:w="170"/>
        <w:gridCol w:w="1205"/>
        <w:gridCol w:w="170"/>
      </w:tblGrid>
      <w:tr>
        <w:trPr/>
        <w:tc>
          <w:tcPr>
            <w:tcW w:w="304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52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0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70" w:type="dxa"/>
            <w:tcBorders/>
            <w:vAlign w:val="center"/>
          </w:tcPr>
          <w:p>
            <w:pPr>
              <w:pStyle w:val="TableContents"/>
              <w:bidi w:val="0"/>
              <w:spacing w:before="0" w:after="283"/>
              <w:ind w:left="0" w:right="0" w:hanging="180"/>
              <w:jc w:val="left"/>
              <w:rPr/>
            </w:pPr>
            <w:r>
              <w:rPr/>
              <w:t> </w:t>
            </w:r>
          </w:p>
        </w:tc>
      </w:tr>
      <w:tr>
        <w:trPr/>
        <w:tc>
          <w:tcPr>
            <w:tcW w:w="3045" w:type="dxa"/>
            <w:tcBorders/>
            <w:shd w:fill="CCEEFF" w:val="clear"/>
            <w:vAlign w:val="center"/>
          </w:tcPr>
          <w:p>
            <w:pPr>
              <w:pStyle w:val="TableContents"/>
              <w:bidi w:val="0"/>
              <w:spacing w:before="0" w:after="283"/>
              <w:jc w:val="left"/>
              <w:rPr/>
            </w:pPr>
            <w:r>
              <w:rPr/>
              <w:t>Balances at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108,975,000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108,975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71,543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(1,255,916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(1,075,398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045" w:type="dxa"/>
            <w:tcBorders/>
            <w:shd w:fill="FFFFFF" w:val="clear"/>
            <w:vAlign w:val="center"/>
          </w:tcPr>
          <w:p>
            <w:pPr>
              <w:pStyle w:val="TableContents"/>
              <w:bidi w:val="0"/>
              <w:spacing w:before="0" w:after="283"/>
              <w:jc w:val="left"/>
              <w:rPr/>
            </w:pPr>
            <w:r>
              <w:rPr/>
              <w:t>Stock-based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61,817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61,817</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04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045" w:type="dxa"/>
            <w:tcBorders/>
            <w:shd w:fill="FFFFFF" w:val="clear"/>
            <w:vAlign w:val="center"/>
          </w:tcPr>
          <w:p>
            <w:pPr>
              <w:pStyle w:val="TableContents"/>
              <w:bidi w:val="0"/>
              <w:spacing w:before="0" w:after="283"/>
              <w:jc w:val="left"/>
              <w:rPr/>
            </w:pPr>
            <w:r>
              <w:rPr/>
              <w:t>Balances at December 31, 2023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108,975,000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108,975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133,360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(3,195,833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(2,953,498</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045"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197,006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197,006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045"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(21,537,430</w:t>
            </w:r>
          </w:p>
        </w:tc>
        <w:tc>
          <w:tcPr>
            <w:tcW w:w="170" w:type="dxa"/>
            <w:tcBorders/>
            <w:shd w:fill="FFFFFF" w:val="clear"/>
            <w:vAlign w:val="center"/>
          </w:tcPr>
          <w:p>
            <w:pPr>
              <w:pStyle w:val="TableContents"/>
              <w:bidi w:val="0"/>
              <w:spacing w:before="0" w:after="283"/>
              <w:ind w:left="0" w:right="0" w:hanging="180"/>
              <w:jc w:val="left"/>
              <w:rPr/>
            </w:pPr>
            <w:r>
              <w:rPr/>
              <w:t>)</w:t>
            </w:r>
          </w:p>
        </w:tc>
      </w:tr>
      <w:tr>
        <w:trPr/>
        <w:tc>
          <w:tcPr>
            <w:tcW w:w="3045" w:type="dxa"/>
            <w:tcBorders/>
            <w:shd w:fill="CCEEFF" w:val="clear"/>
            <w:vAlign w:val="center"/>
          </w:tcPr>
          <w:p>
            <w:pPr>
              <w:pStyle w:val="TableContents"/>
              <w:bidi w:val="0"/>
              <w:spacing w:before="0" w:after="283"/>
              <w:jc w:val="left"/>
              <w:rPr/>
            </w:pPr>
            <w:r>
              <w:rPr/>
              <w:t>Balances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108,975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330,366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(24,733,263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(24,293,922</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5" w:name="f_006"/>
      <w:bookmarkEnd w:id="35"/>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3"/>
        <w:gridCol w:w="90"/>
        <w:gridCol w:w="191"/>
        <w:gridCol w:w="1356"/>
        <w:gridCol w:w="140"/>
        <w:gridCol w:w="100"/>
        <w:gridCol w:w="191"/>
        <w:gridCol w:w="1221"/>
        <w:gridCol w:w="173"/>
      </w:tblGrid>
      <w:tr>
        <w:trPr/>
        <w:tc>
          <w:tcPr>
            <w:tcW w:w="674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199" w:type="dxa"/>
            <w:gridSpan w:val="6"/>
            <w:tcBorders>
              <w:bottom w:val="single" w:sz="12" w:space="0" w:color="000000"/>
            </w:tcBorders>
            <w:tcMar>
              <w:bottom w:w="28" w:type="dxa"/>
            </w:tcMar>
            <w:vAlign w:val="center"/>
          </w:tcPr>
          <w:p>
            <w:pPr>
              <w:pStyle w:val="TableContents"/>
              <w:bidi w:val="0"/>
              <w:spacing w:before="0" w:after="283"/>
              <w:jc w:val="center"/>
              <w:rPr/>
            </w:pPr>
            <w:r>
              <w:rPr/>
              <w:t>For the year ended December 31,</w:t>
            </w:r>
          </w:p>
        </w:tc>
        <w:tc>
          <w:tcPr>
            <w:tcW w:w="173" w:type="dxa"/>
            <w:tcBorders/>
            <w:vAlign w:val="center"/>
          </w:tcPr>
          <w:p>
            <w:pPr>
              <w:pStyle w:val="TableContents"/>
              <w:bidi w:val="0"/>
              <w:spacing w:before="0" w:after="283"/>
              <w:jc w:val="left"/>
              <w:rPr/>
            </w:pPr>
            <w:r>
              <w:rPr/>
              <w:t> </w:t>
            </w:r>
          </w:p>
        </w:tc>
      </w:tr>
      <w:tr>
        <w:trPr/>
        <w:tc>
          <w:tcPr>
            <w:tcW w:w="674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4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73" w:type="dxa"/>
            <w:tcBorders/>
            <w:vAlign w:val="center"/>
          </w:tcPr>
          <w:p>
            <w:pPr>
              <w:pStyle w:val="TableContents"/>
              <w:bidi w:val="0"/>
              <w:spacing w:before="0" w:after="283"/>
              <w:jc w:val="left"/>
              <w:rPr/>
            </w:pPr>
            <w:r>
              <w:rPr/>
              <w:t> </w:t>
            </w:r>
          </w:p>
        </w:tc>
      </w:tr>
      <w:tr>
        <w:trPr/>
        <w:tc>
          <w:tcPr>
            <w:tcW w:w="6743" w:type="dxa"/>
            <w:tcBorders/>
            <w:vAlign w:val="center"/>
          </w:tcPr>
          <w:p>
            <w:pPr>
              <w:pStyle w:val="TableContents"/>
              <w:bidi w:val="0"/>
              <w:spacing w:before="0" w:after="283"/>
              <w:jc w:val="both"/>
              <w:rPr>
                <w:u w:val="single"/>
              </w:rPr>
            </w:pPr>
            <w:r>
              <w:rPr>
                <w:u w:val="single"/>
              </w:rPr>
              <w:t>Cash flows from operating activities:</w:t>
            </w:r>
          </w:p>
        </w:tc>
        <w:tc>
          <w:tcPr>
            <w:tcW w:w="90" w:type="dxa"/>
            <w:tcBorders/>
            <w:vAlign w:val="center"/>
          </w:tcPr>
          <w:p>
            <w:pPr>
              <w:pStyle w:val="TableContents"/>
              <w:bidi w:val="0"/>
              <w:spacing w:before="0" w:after="283"/>
              <w:jc w:val="left"/>
              <w:rPr/>
            </w:pPr>
            <w:r>
              <w:rPr/>
              <w:t> </w:t>
            </w:r>
          </w:p>
        </w:tc>
        <w:tc>
          <w:tcPr>
            <w:tcW w:w="1547" w:type="dxa"/>
            <w:gridSpan w:val="2"/>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both"/>
              <w:rPr/>
            </w:pPr>
            <w:r>
              <w:rPr/>
              <w:t> </w:t>
            </w:r>
          </w:p>
        </w:tc>
        <w:tc>
          <w:tcPr>
            <w:tcW w:w="173" w:type="dxa"/>
            <w:tcBorders/>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Net loss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140"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(1,939,917</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left"/>
              <w:rPr/>
            </w:pPr>
            <w:r>
              <w:rPr/>
              <w:t>Adjustments to reconcile net loss to net cash used by operating activities:</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left"/>
              <w:rPr/>
            </w:pPr>
            <w:r>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14,492,176</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263,239</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both"/>
              <w:rPr/>
            </w:pPr>
            <w:r>
              <w:rPr/>
              <w:t>Stock-based compensation</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197,006</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61,817</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Amortization of right-of-use asset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23,586</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both"/>
              <w:rPr/>
            </w:pPr>
            <w:r>
              <w:rPr/>
              <w:t>Operating lease payments</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14,103</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both"/>
              <w:rPr/>
            </w:pPr>
            <w:r>
              <w:rPr/>
              <w:t>Accounts receivable</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(45,486</w:t>
            </w:r>
          </w:p>
        </w:tc>
        <w:tc>
          <w:tcPr>
            <w:tcW w:w="140"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108,008</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Inventory</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(65,248</w:t>
            </w:r>
          </w:p>
        </w:tc>
        <w:tc>
          <w:tcPr>
            <w:tcW w:w="140"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both"/>
              <w:rPr/>
            </w:pPr>
            <w:r>
              <w:rPr/>
              <w:t>Advances to supplier</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(33,576</w:t>
            </w:r>
          </w:p>
        </w:tc>
        <w:tc>
          <w:tcPr>
            <w:tcW w:w="140"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21,870</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(155,323</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both"/>
              <w:rPr/>
            </w:pPr>
            <w:r>
              <w:rPr/>
              <w:t>Other noncurrent assets</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(23,389</w:t>
            </w:r>
          </w:p>
        </w:tc>
        <w:tc>
          <w:tcPr>
            <w:tcW w:w="140"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768,542</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(10,707</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both"/>
              <w:rPr/>
            </w:pPr>
            <w:r>
              <w:rPr/>
              <w:t>Accrued expenses</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714</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20,207</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Payroll liabilities</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227,852</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(15,827</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both"/>
              <w:rPr/>
            </w:pPr>
            <w:r>
              <w:rPr/>
              <w:t>Deferred revenue</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2,713,215</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0"/>
              <w:jc w:val="right"/>
              <w:rPr/>
            </w:pPr>
            <w:r>
              <w:rPr/>
              <w:t>-</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(43,943</w:t>
            </w:r>
          </w:p>
        </w:tc>
        <w:tc>
          <w:tcPr>
            <w:tcW w:w="140"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both"/>
              <w:rPr/>
            </w:pPr>
            <w:r>
              <w:rPr/>
              <w:t>Total adjustments</w:t>
            </w:r>
          </w:p>
        </w:tc>
        <w:tc>
          <w:tcPr>
            <w:tcW w:w="9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18,247,422</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271,414</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left"/>
              <w:rPr/>
            </w:pPr>
            <w:r>
              <w:rPr/>
              <w:t>Net cash used by operating activities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(3,290,008</w:t>
            </w:r>
          </w:p>
        </w:tc>
        <w:tc>
          <w:tcPr>
            <w:tcW w:w="140"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(1,668,503</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u w:val="single"/>
              </w:rPr>
            </w:pPr>
            <w:r>
              <w:rPr>
                <w:u w:val="single"/>
              </w:rPr>
              <w:t>Cash flows used by investing activities:</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left"/>
              <w:rPr/>
            </w:pPr>
            <w:r>
              <w:rPr/>
              <w:t>Capitalized software development costs</w:t>
            </w:r>
          </w:p>
        </w:tc>
        <w:tc>
          <w:tcPr>
            <w:tcW w:w="9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(834,220</w:t>
            </w:r>
          </w:p>
        </w:tc>
        <w:tc>
          <w:tcPr>
            <w:tcW w:w="140"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(672,319</w:t>
            </w:r>
          </w:p>
        </w:tc>
        <w:tc>
          <w:tcPr>
            <w:tcW w:w="173" w:type="dxa"/>
            <w:tcBorders/>
            <w:shd w:fill="FFFFFF" w:val="clear"/>
            <w:vAlign w:val="center"/>
          </w:tcPr>
          <w:p>
            <w:pPr>
              <w:pStyle w:val="TableContents"/>
              <w:bidi w:val="0"/>
              <w:spacing w:before="0" w:after="283"/>
              <w:jc w:val="left"/>
              <w:rPr/>
            </w:pPr>
            <w:r>
              <w:rPr/>
              <w:t>)</w:t>
            </w:r>
          </w:p>
        </w:tc>
      </w:tr>
      <w:tr>
        <w:trPr/>
        <w:tc>
          <w:tcPr>
            <w:tcW w:w="67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left"/>
              <w:rPr>
                <w:u w:val="single"/>
              </w:rPr>
            </w:pPr>
            <w:r>
              <w:rPr>
                <w:u w:val="single"/>
              </w:rPr>
              <w:t>Cash flows provided by financing activities:</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left"/>
              <w:rPr/>
            </w:pPr>
            <w:r>
              <w:rPr/>
              <w:t>Proceeds from issuance of SAFE agreements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4,239,500</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CCEEFF" w:val="clear"/>
            <w:tcMar>
              <w:bottom w:w="28" w:type="dxa"/>
            </w:tcMar>
            <w:vAlign w:val="center"/>
          </w:tcPr>
          <w:p>
            <w:pPr>
              <w:pStyle w:val="TableContents"/>
              <w:bidi w:val="0"/>
              <w:spacing w:before="0" w:after="283"/>
              <w:jc w:val="right"/>
              <w:rPr/>
            </w:pPr>
            <w:r>
              <w:rPr/>
              <w:t>2,120,000</w:t>
            </w:r>
          </w:p>
        </w:tc>
        <w:tc>
          <w:tcPr>
            <w:tcW w:w="173" w:type="dxa"/>
            <w:tcBorders/>
            <w:shd w:fill="CCEEFF" w:val="clear"/>
            <w:vAlign w:val="center"/>
          </w:tcPr>
          <w:p>
            <w:pPr>
              <w:pStyle w:val="TableContents"/>
              <w:bidi w:val="0"/>
              <w:spacing w:before="0" w:after="283"/>
              <w:jc w:val="left"/>
              <w:rPr/>
            </w:pPr>
            <w:r>
              <w:rPr/>
              <w:t> </w:t>
            </w:r>
          </w:p>
        </w:tc>
      </w:tr>
      <w:tr>
        <w:trPr/>
        <w:tc>
          <w:tcPr>
            <w:tcW w:w="67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left"/>
              <w:rPr/>
            </w:pPr>
            <w:r>
              <w:rPr/>
              <w:t>Net increase (decrease) in cash</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115,272</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(220,822</w:t>
            </w:r>
          </w:p>
        </w:tc>
        <w:tc>
          <w:tcPr>
            <w:tcW w:w="173" w:type="dxa"/>
            <w:tcBorders/>
            <w:shd w:fill="CCEEFF" w:val="clear"/>
            <w:vAlign w:val="center"/>
          </w:tcPr>
          <w:p>
            <w:pPr>
              <w:pStyle w:val="TableContents"/>
              <w:bidi w:val="0"/>
              <w:spacing w:before="0" w:after="283"/>
              <w:jc w:val="left"/>
              <w:rPr/>
            </w:pPr>
            <w:r>
              <w:rPr/>
              <w:t>)</w:t>
            </w:r>
          </w:p>
        </w:tc>
      </w:tr>
      <w:tr>
        <w:trPr/>
        <w:tc>
          <w:tcPr>
            <w:tcW w:w="6743" w:type="dxa"/>
            <w:tcBorders/>
            <w:shd w:fill="FFFFFF" w:val="clear"/>
            <w:vAlign w:val="center"/>
          </w:tcPr>
          <w:p>
            <w:pPr>
              <w:pStyle w:val="TableContents"/>
              <w:bidi w:val="0"/>
              <w:spacing w:before="0" w:after="283"/>
              <w:jc w:val="both"/>
              <w:rPr/>
            </w:pPr>
            <w:r>
              <w:rPr/>
              <w:t>Cash, beginning of year</w:t>
            </w:r>
          </w:p>
        </w:tc>
        <w:tc>
          <w:tcPr>
            <w:tcW w:w="9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605,760</w:t>
            </w:r>
          </w:p>
        </w:tc>
        <w:tc>
          <w:tcPr>
            <w:tcW w:w="14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826,582</w:t>
            </w:r>
          </w:p>
        </w:tc>
        <w:tc>
          <w:tcPr>
            <w:tcW w:w="173" w:type="dxa"/>
            <w:tcBorders/>
            <w:shd w:fill="FFFFFF" w:val="clear"/>
            <w:vAlign w:val="center"/>
          </w:tcPr>
          <w:p>
            <w:pPr>
              <w:pStyle w:val="TableContents"/>
              <w:bidi w:val="0"/>
              <w:spacing w:before="0" w:after="283"/>
              <w:jc w:val="left"/>
              <w:rPr/>
            </w:pPr>
            <w:r>
              <w:rPr/>
              <w:t> </w:t>
            </w:r>
          </w:p>
        </w:tc>
      </w:tr>
      <w:tr>
        <w:trPr/>
        <w:tc>
          <w:tcPr>
            <w:tcW w:w="6743" w:type="dxa"/>
            <w:tcBorders/>
            <w:shd w:fill="CCEEFF" w:val="clear"/>
            <w:vAlign w:val="center"/>
          </w:tcPr>
          <w:p>
            <w:pPr>
              <w:pStyle w:val="TableContents"/>
              <w:bidi w:val="0"/>
              <w:spacing w:before="0" w:after="283"/>
              <w:jc w:val="both"/>
              <w:rPr/>
            </w:pPr>
            <w:r>
              <w:rPr/>
              <w:t>Cash, end of year</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6" w:type="dxa"/>
            <w:tcBorders>
              <w:bottom w:val="double" w:sz="10" w:space="0" w:color="000000"/>
            </w:tcBorders>
            <w:shd w:fill="CCEEFF" w:val="clear"/>
            <w:tcMar>
              <w:bottom w:w="28" w:type="dxa"/>
            </w:tcMar>
            <w:vAlign w:val="center"/>
          </w:tcPr>
          <w:p>
            <w:pPr>
              <w:pStyle w:val="TableContents"/>
              <w:bidi w:val="0"/>
              <w:spacing w:before="0" w:after="283"/>
              <w:jc w:val="right"/>
              <w:rPr/>
            </w:pPr>
            <w:r>
              <w:rPr/>
              <w:t>721,032</w:t>
            </w:r>
          </w:p>
        </w:tc>
        <w:tc>
          <w:tcPr>
            <w:tcW w:w="14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605,760</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6" w:name="f_007"/>
      <w:bookmarkEnd w:id="36"/>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Description of the Business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Nature of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ID’s corporate headquarters is in Las Vegas, Nevada and SEE ID has offices in Massachusetts and Maryland.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Basis of Presentation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Company have been prepared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Going Concern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Risks and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Estimates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 are adjusted against the final amounts due upon shipment of the related products to the Company and are expected to be utilized within one year.</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amounts paid to secure the use of assets or the receipt of services at a future date or continuously over one or more future periods. When the prepaid expenses are consumed, they are charged to expense.</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Software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Financial Accounting Standards Board (“FASB”) Accounting Standards Codification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Long-Lived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and measures its leases in accordance with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delivery of subscription services and related professional services through a hosted cloud (SaaS) environment. Arrangements for services generally have terms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stock-based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Grant Price</w:t>
      </w:r>
      <w:r>
        <w:rPr>
          <w:rFonts w:ascii="Times New Roman;Times;Serif" w:hAnsi="Times New Roman;Times;Serif"/>
          <w:b w:val="false"/>
          <w:i w:val="false"/>
          <w:caps w:val="false"/>
          <w:smallCaps w:val="false"/>
          <w:sz w:val="20"/>
        </w:rPr>
        <w:t xml:space="preserve"> - The grant price of the issuances is determined based on the estimated fair value of the shares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interest rate for periods within the contractual life of the option is based on the U.S. Treasury yield in effect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w:t>
      </w:r>
      <w:r>
        <w:rPr>
          <w:rFonts w:ascii="Times New Roman;Times;Serif" w:hAnsi="Times New Roman;Times;Serif"/>
          <w:b w:val="false"/>
          <w:i w:val="false"/>
          <w:caps w:val="false"/>
          <w:smallCaps w:val="false"/>
          <w:sz w:val="20"/>
        </w:rPr>
        <w:t>- 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xml:space="preserve"> - 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Advertising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For the years ended December 31, 2024 and 2023, advertising expenses totaled $818,538 and $47,850,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Fair Value of Financial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the fair value hierarchy under ASC 820 are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Pricing inputs are unadjusted quoted prices available in active markets for identical assets or liabilities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Pricing inputs are unobservable, supported by little or no market activity, and reflect the reporting entity’s own assumptions about the assumptions market participants would use in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Accounting Standards Update (“ASU”) No. 2023-07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to enhance disclosures about significant segment expenses for public entities reporting segment 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Concentrations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Concentration of Credit Risk Arising From Cash Deposits in Excess of Insured Limits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Significant Vendor: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Capitalized Software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consummation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events had occurred at December 31, 2024, and the SAFE agreements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agreements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4745"/>
        <w:gridCol w:w="90"/>
        <w:gridCol w:w="170"/>
        <w:gridCol w:w="1130"/>
        <w:gridCol w:w="90"/>
        <w:gridCol w:w="90"/>
        <w:gridCol w:w="170"/>
        <w:gridCol w:w="1010"/>
        <w:gridCol w:w="135"/>
      </w:tblGrid>
      <w:tr>
        <w:trPr/>
        <w:tc>
          <w:tcPr>
            <w:tcW w:w="474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35" w:type="dxa"/>
            <w:tcBorders/>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both"/>
              <w:rPr/>
            </w:pPr>
            <w:r>
              <w:rPr/>
              <w:t>SAFE agreements at fair value,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4,602,950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2,219,711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shd w:fill="FFFFFF" w:val="clear"/>
            <w:vAlign w:val="center"/>
          </w:tcPr>
          <w:p>
            <w:pPr>
              <w:pStyle w:val="TableContents"/>
              <w:bidi w:val="0"/>
              <w:spacing w:before="0" w:after="283"/>
              <w:jc w:val="both"/>
              <w:rPr/>
            </w:pPr>
            <w:r>
              <w:rPr/>
              <w:t>Plus: SAFE agreements issued for cash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4,239,500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2,120,000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4745" w:type="dxa"/>
            <w:tcBorders/>
            <w:shd w:fill="CCEEFF" w:val="clear"/>
            <w:vAlign w:val="center"/>
          </w:tcPr>
          <w:p>
            <w:pPr>
              <w:pStyle w:val="TableContents"/>
              <w:bidi w:val="0"/>
              <w:spacing w:before="0" w:after="283"/>
              <w:jc w:val="both"/>
              <w:rPr/>
            </w:pPr>
            <w:r>
              <w:rPr/>
              <w:t>Plus: Change in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263,239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745" w:type="dxa"/>
            <w:tcBorders/>
            <w:shd w:fill="FFFFFF" w:val="clear"/>
            <w:vAlign w:val="center"/>
          </w:tcPr>
          <w:p>
            <w:pPr>
              <w:pStyle w:val="TableContents"/>
              <w:bidi w:val="0"/>
              <w:spacing w:before="0" w:after="283"/>
              <w:jc w:val="both"/>
              <w:rPr/>
            </w:pPr>
            <w:r>
              <w:rPr/>
              <w:t>SAFE agreements at fair value, end of year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23,334,626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4,602,950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is authorized to issue 200,000,000 shares of common stock at $0.001 par value, comprised of (i) 165,000,000 shares of Class A Common Stock (voting) and (ii) 35,000,000 shares of Class B Common Stock (non-voting).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had 108,975,000 shares of Class A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730"/>
        <w:gridCol w:w="90"/>
        <w:gridCol w:w="170"/>
        <w:gridCol w:w="470"/>
        <w:gridCol w:w="290"/>
      </w:tblGrid>
      <w:tr>
        <w:trPr/>
        <w:tc>
          <w:tcPr>
            <w:tcW w:w="4730" w:type="dxa"/>
            <w:tcBorders/>
            <w:shd w:fill="CCEEFF" w:val="clear"/>
            <w:vAlign w:val="center"/>
          </w:tcPr>
          <w:p>
            <w:pPr>
              <w:pStyle w:val="TableContents"/>
              <w:bidi w:val="0"/>
              <w:spacing w:before="0" w:after="283"/>
              <w:jc w:val="left"/>
              <w:rPr/>
            </w:pPr>
            <w:r>
              <w:rPr/>
              <w:t>Expected life (in years)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5.75</w:t>
            </w:r>
          </w:p>
        </w:tc>
        <w:tc>
          <w:tcPr>
            <w:tcW w:w="29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Average volatility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85</w:t>
            </w:r>
          </w:p>
        </w:tc>
        <w:tc>
          <w:tcPr>
            <w:tcW w:w="29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left"/>
              <w:rPr/>
            </w:pPr>
            <w:r>
              <w:rPr/>
              <w:t>Risk-free rates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4.13</w:t>
            </w:r>
          </w:p>
        </w:tc>
        <w:tc>
          <w:tcPr>
            <w:tcW w:w="29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pPr>
            <w:r>
              <w:rPr/>
              <w:t>Expected dividend rate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0"/>
              <w:jc w:val="right"/>
              <w:rPr/>
            </w:pPr>
            <w:r>
              <w:rPr/>
              <w:t>-</w:t>
            </w:r>
          </w:p>
        </w:tc>
        <w:tc>
          <w:tcPr>
            <w:tcW w:w="29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Weighted-average grant date calculated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0.51</w:t>
            </w:r>
          </w:p>
        </w:tc>
        <w:tc>
          <w:tcPr>
            <w:tcW w:w="29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2024 and 2023, is as follows:</w:t>
      </w:r>
    </w:p>
    <w:p>
      <w:pPr>
        <w:pStyle w:val="TextBody"/>
        <w:bidi w:val="0"/>
        <w:spacing w:before="0" w:after="0"/>
        <w:ind w:left="0" w:right="0" w:hanging="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4550"/>
        <w:gridCol w:w="90"/>
        <w:gridCol w:w="90"/>
        <w:gridCol w:w="1130"/>
        <w:gridCol w:w="90"/>
        <w:gridCol w:w="90"/>
        <w:gridCol w:w="506"/>
        <w:gridCol w:w="1763"/>
        <w:gridCol w:w="90"/>
        <w:gridCol w:w="90"/>
        <w:gridCol w:w="222"/>
        <w:gridCol w:w="1162"/>
        <w:gridCol w:w="135"/>
      </w:tblGrid>
      <w:tr>
        <w:trPr/>
        <w:tc>
          <w:tcPr>
            <w:tcW w:w="4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Average 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Weighted- </w:t>
              <w:br/>
              <w:t xml:space="preserve">Average </w:t>
              <w:br/>
              <w:t xml:space="preserve">Remaining </w:t>
              <w:br/>
              <w:t xml:space="preserve">Contractual </w:t>
              <w:br/>
              <w:t>Life (in years)</w:t>
            </w:r>
          </w:p>
        </w:tc>
        <w:tc>
          <w:tcPr>
            <w:tcW w:w="13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Options outstanding at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13,060,760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1763" w:type="dxa"/>
            <w:tcBorders/>
            <w:shd w:fill="CCEEFF" w:val="clear"/>
            <w:vAlign w:val="center"/>
          </w:tcPr>
          <w:p>
            <w:pPr>
              <w:pStyle w:val="TableContents"/>
              <w:bidi w:val="0"/>
              <w:spacing w:before="0" w:after="283"/>
              <w:jc w:val="right"/>
              <w:rPr/>
            </w:pPr>
            <w:r>
              <w:rPr/>
              <w:t>0.010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9.34</w:t>
            </w:r>
          </w:p>
        </w:tc>
        <w:tc>
          <w:tcPr>
            <w:tcW w:w="13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Options granted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w:t>
            </w:r>
          </w:p>
        </w:tc>
        <w:tc>
          <w:tcPr>
            <w:tcW w:w="1763" w:type="dxa"/>
            <w:tcBorders/>
            <w:shd w:fill="FFFFFF" w:val="clear"/>
            <w:vAlign w:val="center"/>
          </w:tcPr>
          <w:p>
            <w:pPr>
              <w:pStyle w:val="TableContents"/>
              <w:bidi w:val="0"/>
              <w:spacing w:before="0" w:after="283"/>
              <w:jc w:val="right"/>
              <w:rPr/>
            </w:pPr>
            <w:r>
              <w:rPr/>
              <w:t>0.010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0"/>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Options cancelled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7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0"/>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Options outstanding at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13,460,760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1763" w:type="dxa"/>
            <w:tcBorders/>
            <w:shd w:fill="CCEEFF" w:val="clear"/>
            <w:vAlign w:val="center"/>
          </w:tcPr>
          <w:p>
            <w:pPr>
              <w:pStyle w:val="TableContents"/>
              <w:bidi w:val="0"/>
              <w:spacing w:before="0" w:after="283"/>
              <w:jc w:val="right"/>
              <w:rPr/>
            </w:pPr>
            <w:r>
              <w:rPr/>
              <w:t>0.010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8.29</w:t>
            </w:r>
          </w:p>
        </w:tc>
        <w:tc>
          <w:tcPr>
            <w:tcW w:w="13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Adjustment to options outstanding*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11,455,000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w:t>
            </w:r>
          </w:p>
        </w:tc>
        <w:tc>
          <w:tcPr>
            <w:tcW w:w="1763" w:type="dxa"/>
            <w:tcBorders/>
            <w:shd w:fill="FFFFFF" w:val="clear"/>
            <w:vAlign w:val="center"/>
          </w:tcPr>
          <w:p>
            <w:pPr>
              <w:pStyle w:val="TableContents"/>
              <w:bidi w:val="0"/>
              <w:spacing w:before="0" w:after="283"/>
              <w:jc w:val="right"/>
              <w:rPr/>
            </w:pPr>
            <w:r>
              <w:rPr/>
              <w:t>0.003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Options 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86,700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1763" w:type="dxa"/>
            <w:tcBorders/>
            <w:shd w:fill="CCEEFF" w:val="clear"/>
            <w:vAlign w:val="center"/>
          </w:tcPr>
          <w:p>
            <w:pPr>
              <w:pStyle w:val="TableContents"/>
              <w:bidi w:val="0"/>
              <w:spacing w:before="0" w:after="283"/>
              <w:jc w:val="right"/>
              <w:rPr/>
            </w:pPr>
            <w:r>
              <w:rPr/>
              <w:t>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Options exercised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76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Options cancelled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Options outstanding at December 31, 2024</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25,002,460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w:t>
            </w:r>
          </w:p>
        </w:tc>
        <w:tc>
          <w:tcPr>
            <w:tcW w:w="1763" w:type="dxa"/>
            <w:tcBorders/>
            <w:shd w:fill="FFFFFF" w:val="clear"/>
            <w:vAlign w:val="center"/>
          </w:tcPr>
          <w:p>
            <w:pPr>
              <w:pStyle w:val="TableContents"/>
              <w:bidi w:val="0"/>
              <w:spacing w:before="0" w:after="283"/>
              <w:jc w:val="right"/>
              <w:rPr/>
            </w:pPr>
            <w:r>
              <w:rPr/>
              <w:t>0.009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6.22</w:t>
            </w:r>
          </w:p>
        </w:tc>
        <w:tc>
          <w:tcPr>
            <w:tcW w:w="13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Vested (i.e., exercisable)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22,615,760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1763" w:type="dxa"/>
            <w:tcBorders/>
            <w:shd w:fill="CCEEFF" w:val="clear"/>
            <w:vAlign w:val="center"/>
          </w:tcPr>
          <w:p>
            <w:pPr>
              <w:pStyle w:val="TableContents"/>
              <w:bidi w:val="0"/>
              <w:spacing w:before="0" w:after="283"/>
              <w:jc w:val="right"/>
              <w:rPr/>
            </w:pPr>
            <w:r>
              <w:rPr/>
              <w:t>0.006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6.63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36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a total of approximately $47,000 of unrecognized stock-based compensation cost relating to outstanding stock options, which is expected to be recognized over a weighted-average period of 1.25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did not grant any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unvested restricted stock awards granted amounted to zero and 3,115,625,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was no unrecognized stock-based compensation costs relating to 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3470"/>
        <w:gridCol w:w="90"/>
        <w:gridCol w:w="170"/>
        <w:gridCol w:w="1085"/>
        <w:gridCol w:w="125"/>
        <w:gridCol w:w="90"/>
        <w:gridCol w:w="170"/>
        <w:gridCol w:w="905"/>
        <w:gridCol w:w="170"/>
      </w:tblGrid>
      <w:tr>
        <w:trPr/>
        <w:tc>
          <w:tcPr>
            <w:tcW w:w="34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7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both"/>
              <w:rPr>
                <w:u w:val="single"/>
              </w:rPr>
            </w:pPr>
            <w:r>
              <w:rPr>
                <w:u w:val="single"/>
              </w:rPr>
              <w:t>Current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pPr>
            <w:r>
              <w:rPr/>
              <w:t>Federal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pPr>
            <w:r>
              <w:rPr/>
              <w:t>State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pPr>
            <w:r>
              <w:rPr/>
              <w:t>Foreign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pPr>
            <w:r>
              <w:rPr/>
              <w:t>Current provision for income taxes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581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u w:val="single"/>
              </w:rPr>
            </w:pPr>
            <w:r>
              <w:rPr>
                <w:u w:val="single"/>
              </w:rPr>
              <w:t>Deferred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pPr>
            <w:r>
              <w:rPr/>
              <w:t>Federal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4,045,818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397,951</w:t>
            </w:r>
          </w:p>
        </w:tc>
        <w:tc>
          <w:tcPr>
            <w:tcW w:w="17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pPr>
            <w:r>
              <w:rPr/>
              <w:t>State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105,464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27,676</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pPr>
            <w:r>
              <w:rPr/>
              <w:t>Foreign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10,338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(4,161,621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(425,627</w:t>
            </w:r>
          </w:p>
        </w:tc>
        <w:tc>
          <w:tcPr>
            <w:tcW w:w="17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both"/>
              <w:rPr/>
            </w:pPr>
            <w:r>
              <w:rPr/>
              <w:t>Deferred provision for income taxes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pPr>
            <w:r>
              <w:rPr/>
              <w:t>Net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significant portions of the deferred taxes consist of the following at December 31:</w:t>
      </w:r>
    </w:p>
    <w:p>
      <w:pPr>
        <w:pStyle w:val="TextBody"/>
        <w:bidi w:val="0"/>
        <w:spacing w:before="0" w:after="0"/>
        <w:ind w:left="0" w:right="0" w:hanging="0"/>
        <w:jc w:val="both"/>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4025"/>
        <w:gridCol w:w="90"/>
        <w:gridCol w:w="170"/>
        <w:gridCol w:w="1085"/>
        <w:gridCol w:w="125"/>
        <w:gridCol w:w="90"/>
        <w:gridCol w:w="170"/>
        <w:gridCol w:w="905"/>
        <w:gridCol w:w="170"/>
      </w:tblGrid>
      <w:tr>
        <w:trPr/>
        <w:tc>
          <w:tcPr>
            <w:tcW w:w="4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both"/>
              <w:rPr/>
            </w:pPr>
            <w:r>
              <w:rPr>
                <w:u w:val="single"/>
              </w:rPr>
              <w:t>Deferred tax asset (liability)</w:t>
            </w:r>
            <w:r>
              <w:rPr/>
              <w:t>:</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Accrual to cash adjustment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729,287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Charitable contributions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1,618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109</w:t>
            </w:r>
          </w:p>
        </w:tc>
        <w:tc>
          <w:tcPr>
            <w:tcW w:w="17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3,106,508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R&amp;D expenditures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359,433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255,835</w:t>
            </w:r>
          </w:p>
        </w:tc>
        <w:tc>
          <w:tcPr>
            <w:tcW w:w="17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R&amp;D tax credit carryovers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239,142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43,669</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Right-of-use asset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(65,999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56,893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Stock options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55,481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Federal net operating loss carryforwards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304,628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343,123</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Foreign net operating loss carryforwards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10,338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State net operating loss carryforwards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7,028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both"/>
              <w:rPr/>
            </w:pPr>
            <w:r>
              <w:rPr/>
              <w:t>Valuation allowance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(4,804,357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(642,736</w:t>
            </w:r>
          </w:p>
        </w:tc>
        <w:tc>
          <w:tcPr>
            <w:tcW w:w="17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both"/>
              <w:rPr/>
            </w:pPr>
            <w:r>
              <w:rPr/>
              <w:t>Net deferred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had available net research and development tax credit carryforwards amounting to approximately $239,000 and $44,000, respectively, for state tax purposes that do not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income tax matters in interest expense and general and administrative, respectively. At December 31, 2024 and 2023, the Company has no accrued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the U.S. federal jurisdiction, various state jurisdictions and in Puerto Rico. The Company is currently not under examination by any tax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5420"/>
        <w:gridCol w:w="90"/>
        <w:gridCol w:w="170"/>
        <w:gridCol w:w="710"/>
        <w:gridCol w:w="135"/>
      </w:tblGrid>
      <w:tr>
        <w:trPr/>
        <w:tc>
          <w:tcPr>
            <w:tcW w:w="5420" w:type="dxa"/>
            <w:tcBorders/>
            <w:shd w:fill="CCEEFF" w:val="clear"/>
            <w:vAlign w:val="center"/>
          </w:tcPr>
          <w:p>
            <w:pPr>
              <w:pStyle w:val="TableContents"/>
              <w:bidi w:val="0"/>
              <w:spacing w:before="0" w:after="283"/>
              <w:jc w:val="left"/>
              <w:rPr/>
            </w:pPr>
            <w:r>
              <w:rPr/>
              <w:t>Operating lease cost (cost resulting from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43,106</w:t>
            </w:r>
          </w:p>
        </w:tc>
        <w:tc>
          <w:tcPr>
            <w:tcW w:w="13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Short-term lease cost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31,470</w:t>
            </w:r>
          </w:p>
        </w:tc>
        <w:tc>
          <w:tcPr>
            <w:tcW w:w="13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Variable lease cost (cost excluded from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3,536</w:t>
            </w:r>
          </w:p>
        </w:tc>
        <w:tc>
          <w:tcPr>
            <w:tcW w:w="13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Total lease cost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FFFFFF" w:val="clear"/>
            <w:tcMar>
              <w:bottom w:w="28" w:type="dxa"/>
            </w:tcMar>
            <w:vAlign w:val="center"/>
          </w:tcPr>
          <w:p>
            <w:pPr>
              <w:pStyle w:val="TableContents"/>
              <w:bidi w:val="0"/>
              <w:spacing w:before="0" w:after="283"/>
              <w:jc w:val="right"/>
              <w:rPr/>
            </w:pPr>
            <w:r>
              <w:rPr/>
              <w:t>78,112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is as follows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5600"/>
        <w:gridCol w:w="90"/>
        <w:gridCol w:w="170"/>
        <w:gridCol w:w="830"/>
        <w:gridCol w:w="170"/>
      </w:tblGrid>
      <w:tr>
        <w:trPr/>
        <w:tc>
          <w:tcPr>
            <w:tcW w:w="5600" w:type="dxa"/>
            <w:tcBorders/>
            <w:shd w:fill="CCEEFF" w:val="clear"/>
            <w:vAlign w:val="center"/>
          </w:tcPr>
          <w:p>
            <w:pPr>
              <w:pStyle w:val="TableContents"/>
              <w:bidi w:val="0"/>
              <w:spacing w:before="0" w:after="283"/>
              <w:jc w:val="left"/>
              <w:rPr/>
            </w:pPr>
            <w:r>
              <w:rPr/>
              <w:t>Operating lease - Operating cash flows (fixed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14,103</w:t>
            </w:r>
          </w:p>
        </w:tc>
        <w:tc>
          <w:tcPr>
            <w:tcW w:w="17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Operating lease - Operating cash flows (liability reduction)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(5,417</w:t>
            </w:r>
          </w:p>
        </w:tc>
        <w:tc>
          <w:tcPr>
            <w:tcW w:w="17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pPr>
            <w:r>
              <w:rPr/>
              <w:t>Operating lease - Change in ROU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23,586</w:t>
            </w:r>
          </w:p>
        </w:tc>
        <w:tc>
          <w:tcPr>
            <w:tcW w:w="17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New lease liabilities - Operating lease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324,426</w:t>
            </w:r>
          </w:p>
        </w:tc>
        <w:tc>
          <w:tcPr>
            <w:tcW w:w="17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New ROU asset - Operating lease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331,478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at December 31, 2024:</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4745"/>
        <w:gridCol w:w="90"/>
        <w:gridCol w:w="170"/>
        <w:gridCol w:w="1025"/>
        <w:gridCol w:w="290"/>
      </w:tblGrid>
      <w:tr>
        <w:trPr/>
        <w:tc>
          <w:tcPr>
            <w:tcW w:w="4745" w:type="dxa"/>
            <w:tcBorders/>
            <w:shd w:fill="CCEEFF" w:val="clear"/>
            <w:vAlign w:val="center"/>
          </w:tcPr>
          <w:p>
            <w:pPr>
              <w:pStyle w:val="TableContents"/>
              <w:bidi w:val="0"/>
              <w:spacing w:before="0" w:after="283"/>
              <w:jc w:val="both"/>
              <w:rPr/>
            </w:pPr>
            <w:r>
              <w:rPr/>
              <w:t>Operating lease right-of-use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307,892</w:t>
            </w:r>
          </w:p>
        </w:tc>
        <w:tc>
          <w:tcPr>
            <w:tcW w:w="29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both"/>
              <w:rPr/>
            </w:pPr>
            <w:r>
              <w:rPr/>
              <w:t>Operating lease liability, 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25" w:type="dxa"/>
            <w:tcBorders/>
            <w:shd w:fill="FFFFFF" w:val="clear"/>
            <w:vAlign w:val="center"/>
          </w:tcPr>
          <w:p>
            <w:pPr>
              <w:pStyle w:val="TableContents"/>
              <w:bidi w:val="0"/>
              <w:spacing w:before="0" w:after="283"/>
              <w:jc w:val="right"/>
              <w:rPr/>
            </w:pPr>
            <w:r>
              <w:rPr/>
              <w:t>36,225</w:t>
            </w:r>
          </w:p>
        </w:tc>
        <w:tc>
          <w:tcPr>
            <w:tcW w:w="29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both"/>
              <w:rPr/>
            </w:pPr>
            <w:r>
              <w:rPr/>
              <w:t>Operating lease liability, less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29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both"/>
              <w:rPr/>
            </w:pPr>
            <w:r>
              <w:rPr/>
              <w:t>Total 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FFFFFF" w:val="clear"/>
            <w:tcMar>
              <w:bottom w:w="28" w:type="dxa"/>
            </w:tcMar>
            <w:vAlign w:val="center"/>
          </w:tcPr>
          <w:p>
            <w:pPr>
              <w:pStyle w:val="TableContents"/>
              <w:bidi w:val="0"/>
              <w:spacing w:before="0" w:after="283"/>
              <w:jc w:val="right"/>
              <w:rPr/>
            </w:pPr>
            <w:r>
              <w:rPr/>
              <w:t>301,638</w:t>
            </w:r>
          </w:p>
        </w:tc>
        <w:tc>
          <w:tcPr>
            <w:tcW w:w="29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both"/>
              <w:rPr/>
            </w:pPr>
            <w:r>
              <w:rPr/>
              <w:t>Weighted-average remaining operating lease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4.75 years</w:t>
            </w:r>
          </w:p>
        </w:tc>
        <w:tc>
          <w:tcPr>
            <w:tcW w:w="29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both"/>
              <w:rPr/>
            </w:pPr>
            <w:r>
              <w:rPr/>
              <w:t>Weighted-average operating lease discount rate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11.83</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at December 31, 2024:</w:t>
      </w:r>
    </w:p>
    <w:p>
      <w:pPr>
        <w:pStyle w:val="TextBody"/>
        <w:bidi w:val="0"/>
        <w:spacing w:before="0" w:after="0"/>
        <w:ind w:left="0" w:right="0" w:hanging="0"/>
        <w:jc w:val="both"/>
        <w:rPr>
          <w:caps w:val="false"/>
          <w:smallCaps w:val="false"/>
        </w:rPr>
      </w:pPr>
      <w:r>
        <w:rPr>
          <w:caps w:val="false"/>
          <w:smallCaps w:val="false"/>
        </w:rPr>
        <w:t> </w:t>
      </w:r>
    </w:p>
    <w:tbl>
      <w:tblPr>
        <w:tblW w:w="3855" w:type="dxa"/>
        <w:jc w:val="left"/>
        <w:tblInd w:w="0" w:type="dxa"/>
        <w:tblLayout w:type="fixed"/>
        <w:tblCellMar>
          <w:top w:w="0" w:type="dxa"/>
          <w:left w:w="0" w:type="dxa"/>
          <w:bottom w:w="28" w:type="dxa"/>
          <w:right w:w="0" w:type="dxa"/>
        </w:tblCellMar>
      </w:tblPr>
      <w:tblGrid>
        <w:gridCol w:w="2630"/>
        <w:gridCol w:w="90"/>
        <w:gridCol w:w="170"/>
        <w:gridCol w:w="830"/>
        <w:gridCol w:w="135"/>
      </w:tblGrid>
      <w:tr>
        <w:trPr/>
        <w:tc>
          <w:tcPr>
            <w:tcW w:w="2630" w:type="dxa"/>
            <w:tcBorders>
              <w:bottom w:val="single" w:sz="12" w:space="0" w:color="000000"/>
            </w:tcBorders>
            <w:vAlign w:val="center"/>
          </w:tcPr>
          <w:p>
            <w:pPr>
              <w:pStyle w:val="TableContents"/>
              <w:bidi w:val="0"/>
              <w:spacing w:before="0" w:after="283"/>
              <w:jc w:val="left"/>
              <w:rPr/>
            </w:pPr>
            <w:r>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57,680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pPr>
            <w:r>
              <w:rPr/>
              <w:t>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88,462</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91,116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pPr>
            <w:r>
              <w:rPr/>
              <w:t>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93,850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72,142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pPr>
            <w:r>
              <w:rPr/>
              <w:t>Total lease 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403,250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101,612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left"/>
              <w:rPr/>
            </w:pPr>
            <w:r>
              <w:rPr/>
              <w:t>Total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pPr>
            <w:r>
              <w:rPr/>
              <w:t>$</w:t>
            </w:r>
          </w:p>
        </w:tc>
        <w:tc>
          <w:tcPr>
            <w:tcW w:w="830" w:type="dxa"/>
            <w:tcBorders>
              <w:bottom w:val="double" w:sz="10" w:space="0" w:color="000000"/>
            </w:tcBorders>
            <w:shd w:fill="FFFFFF" w:val="clear"/>
            <w:vAlign w:val="center"/>
          </w:tcPr>
          <w:p>
            <w:pPr>
              <w:pStyle w:val="TableContents"/>
              <w:bidi w:val="0"/>
              <w:spacing w:before="0" w:after="283"/>
              <w:jc w:val="right"/>
              <w:rPr/>
            </w:pPr>
            <w:r>
              <w:rPr/>
              <w:t>301,638</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SEE ID has entered into SAFE agreements with Charles Maddox, SEE ID’s Chief Financial Officer and a stockholder of SEE ID, for proceeds totaling $28,833.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single reportable segment that derives revenues from the delivery of feasibility study reports to customers seeking to gain insight into how data driven tracking could improve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Safe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2024, SEE ID issued an additional SAFE agreement to an investor for proceeds of $23,752, which has a stated discount rate of 67%. All other terms are consistent with the terms of the SAFE agreements in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Bridge Loan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pStyle w:val="TextBody"/>
        <w:bidi w:val="0"/>
        <w:spacing w:before="0" w:after="0"/>
        <w:ind w:left="0" w:right="0" w:hanging="0"/>
        <w:jc w:val="both"/>
        <w:rPr>
          <w:caps w:val="false"/>
          <w:smallCaps w:val="false"/>
        </w:rPr>
      </w:pPr>
      <w:r>
        <w:rPr>
          <w:caps w:val="false"/>
          <w:smallCaps w:val="false"/>
        </w:rPr>
        <w:t> </w:t>
      </w:r>
    </w:p>
    <w:tbl>
      <w:tblPr>
        <w:tblW w:w="3429" w:type="dxa"/>
        <w:jc w:val="left"/>
        <w:tblInd w:w="0" w:type="dxa"/>
        <w:tblLayout w:type="fixed"/>
        <w:tblCellMar>
          <w:top w:w="0" w:type="dxa"/>
          <w:left w:w="0" w:type="dxa"/>
          <w:bottom w:w="28" w:type="dxa"/>
          <w:right w:w="0" w:type="dxa"/>
        </w:tblCellMar>
      </w:tblPr>
      <w:tblGrid>
        <w:gridCol w:w="1820"/>
        <w:gridCol w:w="90"/>
        <w:gridCol w:w="199"/>
        <w:gridCol w:w="1185"/>
        <w:gridCol w:w="135"/>
      </w:tblGrid>
      <w:tr>
        <w:trPr/>
        <w:tc>
          <w:tcPr>
            <w:tcW w:w="1820" w:type="dxa"/>
            <w:tcBorders>
              <w:bottom w:val="single" w:sz="12" w:space="0" w:color="000000"/>
            </w:tcBorders>
            <w:vAlign w:val="center"/>
          </w:tcPr>
          <w:p>
            <w:pPr>
              <w:pStyle w:val="TableContents"/>
              <w:bidi w:val="0"/>
              <w:spacing w:before="0" w:after="283"/>
              <w:jc w:val="left"/>
              <w:rPr/>
            </w:pPr>
            <w:r>
              <w:rPr/>
              <w:t>Effective Date</w:t>
            </w:r>
          </w:p>
        </w:tc>
        <w:tc>
          <w:tcPr>
            <w:tcW w:w="90" w:type="dxa"/>
            <w:tcBorders/>
            <w:tcMar>
              <w:bottom w:w="0" w:type="dxa"/>
            </w:tcMar>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center"/>
              <w:rPr/>
            </w:pPr>
            <w:r>
              <w:rPr/>
              <w:t>Loan Amount</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both"/>
              <w:rPr/>
            </w:pPr>
            <w:r>
              <w:rPr/>
              <w:t>January 29,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185" w:type="dxa"/>
            <w:tcBorders/>
            <w:shd w:fill="CCEEFF" w:val="clear"/>
            <w:tcMar>
              <w:bottom w:w="0" w:type="dxa"/>
            </w:tcMar>
            <w:vAlign w:val="center"/>
          </w:tcPr>
          <w:p>
            <w:pPr>
              <w:pStyle w:val="TableContents"/>
              <w:bidi w:val="0"/>
              <w:spacing w:before="0" w:after="283"/>
              <w:jc w:val="right"/>
              <w:rPr/>
            </w:pPr>
            <w:r>
              <w:rPr/>
              <w:t>1,500,000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both"/>
              <w:rPr/>
            </w:pPr>
            <w:r>
              <w:rPr/>
              <w:t>March 29,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100,000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both"/>
              <w:rPr/>
            </w:pPr>
            <w:r>
              <w:rPr/>
              <w:t>April 9,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185" w:type="dxa"/>
            <w:tcBorders/>
            <w:shd w:fill="CCEEFF" w:val="clear"/>
            <w:tcMar>
              <w:bottom w:w="0" w:type="dxa"/>
            </w:tcMar>
            <w:vAlign w:val="center"/>
          </w:tcPr>
          <w:p>
            <w:pPr>
              <w:pStyle w:val="TableContents"/>
              <w:bidi w:val="0"/>
              <w:spacing w:before="0" w:after="283"/>
              <w:jc w:val="right"/>
              <w:rPr/>
            </w:pPr>
            <w:r>
              <w:rPr/>
              <w:t>500,000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both"/>
              <w:rPr/>
            </w:pPr>
            <w:r>
              <w:rPr/>
              <w:t>May 7,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185" w:type="dxa"/>
            <w:tcBorders/>
            <w:shd w:fill="FFFFFF" w:val="clear"/>
            <w:tcMar>
              <w:bottom w:w="0" w:type="dxa"/>
            </w:tcMar>
            <w:vAlign w:val="center"/>
          </w:tcPr>
          <w:p>
            <w:pPr>
              <w:pStyle w:val="TableContents"/>
              <w:bidi w:val="0"/>
              <w:spacing w:before="0" w:after="283"/>
              <w:jc w:val="right"/>
              <w:rPr/>
            </w:pPr>
            <w:r>
              <w:rPr/>
              <w:t>500,000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both"/>
              <w:rPr/>
            </w:pPr>
            <w:r>
              <w:rPr/>
              <w:t>June 5,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1185" w:type="dxa"/>
            <w:tcBorders>
              <w:bottom w:val="single" w:sz="12" w:space="0" w:color="000000"/>
            </w:tcBorders>
            <w:shd w:fill="CCEEFF" w:val="clear"/>
            <w:vAlign w:val="center"/>
          </w:tcPr>
          <w:p>
            <w:pPr>
              <w:pStyle w:val="TableContents"/>
              <w:bidi w:val="0"/>
              <w:spacing w:before="0" w:after="283"/>
              <w:jc w:val="right"/>
              <w:rPr/>
            </w:pPr>
            <w:r>
              <w:rPr/>
              <w:t>250,000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both"/>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shd w:fill="FFFFFF" w:val="clear"/>
            <w:vAlign w:val="center"/>
          </w:tcPr>
          <w:p>
            <w:pPr>
              <w:pStyle w:val="TableContents"/>
              <w:bidi w:val="0"/>
              <w:spacing w:before="0" w:after="283"/>
              <w:jc w:val="left"/>
              <w:rPr/>
            </w:pPr>
            <w:r>
              <w:rPr/>
              <w:t>$</w:t>
            </w:r>
          </w:p>
        </w:tc>
        <w:tc>
          <w:tcPr>
            <w:tcW w:w="1185" w:type="dxa"/>
            <w:tcBorders>
              <w:bottom w:val="double" w:sz="10" w:space="0" w:color="000000"/>
            </w:tcBorders>
            <w:shd w:fill="FFFFFF" w:val="clear"/>
            <w:vAlign w:val="center"/>
          </w:tcPr>
          <w:p>
            <w:pPr>
              <w:pStyle w:val="TableContents"/>
              <w:bidi w:val="0"/>
              <w:spacing w:before="0" w:after="283"/>
              <w:jc w:val="right"/>
              <w:rPr/>
            </w:pPr>
            <w:r>
              <w:rPr/>
              <w:t>2,850,000</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Aggregate loan principal and minimum 10% interest totaling $110,000 was paid in cash at closing of the BCA on June 18, 2025.</w:t>
            </w:r>
          </w:p>
        </w:tc>
      </w:tr>
    </w:tbl>
    <w:p>
      <w:pPr>
        <w:pStyle w:val="TextBody"/>
        <w:bidi w:val="0"/>
        <w:spacing w:before="0" w:after="0"/>
        <w:ind w:left="72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w:t>
            </w:r>
          </w:p>
        </w:tc>
        <w:tc>
          <w:tcPr>
            <w:tcW w:w="9779" w:type="dxa"/>
            <w:tcBorders/>
            <w:vAlign w:val="center"/>
          </w:tcPr>
          <w:p>
            <w:pPr>
              <w:pStyle w:val="TableContents"/>
              <w:bidi w:val="0"/>
              <w:spacing w:before="0" w:after="283"/>
              <w:jc w:val="both"/>
              <w:rPr/>
            </w:pPr>
            <w:r>
              <w:rPr/>
              <w:t>Aggregate loan principal and minimum 8% interest totaling $270,000 was paid in cash at closing of the BCA on June 18,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INC. AND SUBSIDIARY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PIPE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an investor subscribed to 250,000 common shares of Holdings in exchange for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pStyle w:val="TextBody"/>
        <w:bidi w:val="0"/>
        <w:spacing w:before="0" w:after="0"/>
        <w:ind w:left="274" w:right="2981"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2025, an investor subscribed to 1,755,786 common shares of Holdings in exchange for $7,023,143.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and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fees and expenses payable by the registrant in connection with the offering and sale of our Common Stock and other securities:</w:t>
      </w:r>
    </w:p>
    <w:tbl>
      <w:tblPr>
        <w:tblW w:w="4295" w:type="dxa"/>
        <w:jc w:val="left"/>
        <w:tblInd w:w="0" w:type="dxa"/>
        <w:tblLayout w:type="fixed"/>
        <w:tblCellMar>
          <w:top w:w="0" w:type="dxa"/>
          <w:left w:w="0" w:type="dxa"/>
          <w:bottom w:w="0" w:type="dxa"/>
          <w:right w:w="0" w:type="dxa"/>
        </w:tblCellMar>
      </w:tblPr>
      <w:tblGrid>
        <w:gridCol w:w="3140"/>
        <w:gridCol w:w="90"/>
        <w:gridCol w:w="170"/>
        <w:gridCol w:w="725"/>
        <w:gridCol w:w="170"/>
      </w:tblGrid>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w:t>
            </w:r>
            <w:r>
              <w:rPr/>
              <w:t>[x</w:t>
            </w:r>
          </w:p>
        </w:tc>
        <w:tc>
          <w:tcPr>
            <w:tcW w:w="170" w:type="dxa"/>
            <w:tcBorders/>
            <w:shd w:fill="CCEEFF" w:val="clear"/>
            <w:vAlign w:val="center"/>
          </w:tcPr>
          <w:p>
            <w:pPr>
              <w:pStyle w:val="TableContents"/>
              <w:bidi w:val="0"/>
              <w:spacing w:before="0" w:after="283"/>
              <w:jc w:val="left"/>
              <w:rPr/>
            </w:pPr>
            <w:r>
              <w:rPr/>
              <w:t>]</w:t>
            </w:r>
          </w:p>
        </w:tc>
      </w:tr>
      <w:tr>
        <w:trPr/>
        <w:tc>
          <w:tcPr>
            <w:tcW w:w="3140" w:type="dxa"/>
            <w:tcBorders/>
            <w:shd w:fill="FFFFFF" w:val="clear"/>
            <w:vAlign w:val="center"/>
          </w:tcPr>
          <w:p>
            <w:pPr>
              <w:pStyle w:val="TableContents"/>
              <w:bidi w:val="0"/>
              <w:spacing w:before="0" w:after="283"/>
              <w:jc w:val="left"/>
              <w:rPr/>
            </w:pPr>
            <w:r>
              <w:rPr/>
              <w:t>Printing and engraving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20"/>
              </w:rPr>
            </w:pPr>
            <w:r>
              <w:rPr>
                <w:sz w:val="20"/>
              </w:rPr>
              <w:t>*</w:t>
            </w:r>
          </w:p>
        </w:tc>
        <w:tc>
          <w:tcPr>
            <w:tcW w:w="17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Accounting fees and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20"/>
              </w:rPr>
            </w:pPr>
            <w:r>
              <w:rPr>
                <w:sz w:val="20"/>
              </w:rPr>
              <w:t>*</w:t>
            </w:r>
          </w:p>
        </w:tc>
        <w:tc>
          <w:tcPr>
            <w:tcW w:w="17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Miscellaneous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sz w:val="20"/>
              </w:rPr>
            </w:pPr>
            <w:r>
              <w:rPr>
                <w:sz w:val="20"/>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9982" w:type="dxa"/>
            <w:tcBorders/>
            <w:vAlign w:val="center"/>
          </w:tcPr>
          <w:p>
            <w:pPr>
              <w:pStyle w:val="TableContents"/>
              <w:bidi w:val="0"/>
              <w:spacing w:before="0" w:after="283"/>
              <w:jc w:val="both"/>
              <w:rPr>
                <w:sz w:val="20"/>
              </w:rPr>
            </w:pPr>
            <w:r>
              <w:rPr>
                <w:sz w:val="20"/>
              </w:rPr>
              <w:t>These fees are calculated based on the securities offered and the number of issuances and accordingly cannot be defined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including with regard to compliance with state securities or “blue sky” laws. The Selling Securityholders, however, will bear all underwriting commissions and discounts, if any, attributable to their sale of the securities. All amounts are estimates except the SEC registration fee and the FINRA filing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158" w:type="dxa"/>
        <w:jc w:val="left"/>
        <w:tblInd w:w="0" w:type="dxa"/>
        <w:tblLayout w:type="fixed"/>
        <w:tblCellMar>
          <w:top w:w="0" w:type="dxa"/>
          <w:left w:w="0" w:type="dxa"/>
          <w:bottom w:w="0" w:type="dxa"/>
          <w:right w:w="0" w:type="dxa"/>
        </w:tblCellMar>
      </w:tblPr>
      <w:tblGrid>
        <w:gridCol w:w="68"/>
        <w:gridCol w:w="260"/>
        <w:gridCol w:w="83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(a)</w:t>
            </w:r>
          </w:p>
        </w:tc>
        <w:tc>
          <w:tcPr>
            <w:tcW w:w="830" w:type="dxa"/>
            <w:tcBorders/>
            <w:vAlign w:val="center"/>
          </w:tcPr>
          <w:p>
            <w:pPr>
              <w:pStyle w:val="TableContents"/>
              <w:bidi w:val="0"/>
              <w:spacing w:before="0" w:after="283"/>
              <w:jc w:val="both"/>
              <w:rPr>
                <w:sz w:val="20"/>
              </w:rPr>
            </w:pPr>
            <w:r>
              <w:rPr>
                <w:sz w:val="20"/>
              </w:rPr>
              <w:t>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2"/>
        <w:gridCol w:w="90"/>
        <w:gridCol w:w="9323"/>
      </w:tblGrid>
      <w:tr>
        <w:trPr/>
        <w:tc>
          <w:tcPr>
            <w:tcW w:w="792"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both"/>
              <w:rPr/>
            </w:pPr>
            <w:r>
              <w:rPr/>
              <w:t> </w:t>
            </w:r>
          </w:p>
        </w:tc>
        <w:tc>
          <w:tcPr>
            <w:tcW w:w="932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"http://www.sec.gov/Archives/edgar/data/2033770/000121390025003518/ea0208059-15.htm" \l "T201"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by and among ShoulderUp Technology Acquisition Corp., CID HoldCo, Inc., ShoulderUp Merger Sub, Inc., SEI Merger Sub, Inc., and SEE ID, Inc., dated as of March 18, 2024 (incorporated by reference to Exhibit 2.1 of CID HoldCo, Inc.’s Registration Statement on Form S-4, filed with the SEC on January 15, 2025).  </w:t>
            </w:r>
            <w:r>
              <w:rPr>
                <w:rStyle w:val="InternetLink"/>
                <w:sz w:val="20"/>
                <w:rFonts w:ascii="Times New Roman;Times;Serif" w:hAnsi="Times New Roman;Times;Serif"/>
              </w:rPr>
              <w:fldChar w:fldCharType="end"/>
            </w:r>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3.1</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and Restated Certificate of Incorporation of CID HoldCo, Inc. (incorporated by reference to Exhibit 3.1 of CID HoldCo, Inc.’s Current Report on Form 8-K, filed with the SEC on June 26, 2025). </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Bylaws of CID HoldCo, Inc. (incorporated by reference to Exhibit 3.2 of CID HoldCo, Inc.’s Current Report on Form 8-K, filed with the SEC on June 26, 2025).  </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4.1</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Specimen Common Stock Certificate (incorporated by reference to Exhibit 4.5 of CID HoldCo, Inc.’s Registration Statement on Form S-4, filed with the SEC on January 15, 2025).</w:t>
              </w:r>
            </w:hyperlink>
            <w:r>
              <w:rPr>
                <w:rFonts w:ascii="Times New Roman;Times;Serif" w:hAnsi="Times New Roman;Times;Serif"/>
                <w:sz w:val="20"/>
              </w:rPr>
              <w:t> </w:t>
            </w:r>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Specimen Warrant Certificate (incorporated by reference to Exhibit 4.6 of CID HoldCo, Inc.’s Registration Statement on Form S-4, filed with the SEC on January 15, 2025).  </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4.3</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Existing Warrant Agreement, dated November 16, 2021, by and between ShoulderUp Technology Acquisition Corp and Continental Stock Transfer &amp; Trust Company, as warrant agent (incorporated by reference to Exhibit 4.4 of  CID HoldCo, Inc.’s Registration Statement on Form S-4, filed with the SEC on January 15, 2025).  </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Warrant Assumption and Assignment Agreement, dated as of June 18, 2025 (incorporated by reference to Exhibit 4.4 of CID HoldCo, Inc.’s Current Report on Form 8-K, filed with the SEC on June 26, 2025).  </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5.1*</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w:anchor="ea025415001ex5-1_cidhold.htm">
              <w:r>
                <w:rPr>
                  <w:rStyle w:val="InternetLink"/>
                  <w:rFonts w:ascii="Times New Roman;Times;Serif" w:hAnsi="Times New Roman;Times;Serif"/>
                  <w:sz w:val="20"/>
                </w:rPr>
                <w:t>Opinion of DLA Piper LLP (US).</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Form of PIPE Subscription Agreement (incorporated by reference to Exhibit 10.8 of CID HoldCo, Inc.’s Current Report on Form 8-K, filed with the SEC on June 26, 2025).</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10.2</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Registration Rights and Lock-up Agreement by and among CID HoldCo, Inc, and certain parties listed therein, dated as of June 18, 2025 (incorporated by reference to Exhibit 10.10 of CID HoldCo, Inc.’s Current Report on Form 8-K, filed with the SEC on June 26, 2025).</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10.3</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Share Purchase Agreement, dated June 18, 2025 by and among New Circle Principal Investments LLC, a Delaware limited liability company, and CID HoldCo, Inc. (incorporated by reference to Exhibit 10.11 of CID HoldCo, Inc.’s Current Report on Form 8-K, filed with the SEC on June 26, 2025).</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10.4</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Registration Rights Agreement, dated June 18, 2025 by and among New Circle Principal Investments LLC, a Delaware limited liability company, and CID HoldCo, Inc. (incorporated by reference to Exhibit 10.12 of CID HoldCo, Inc.’s Current Report on Form 8-K, filed with the SEC on June 26, 2025).</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Subsidiaries of the Registrant (incorporated by reference to Exhibit 21.1 of CID HoldCo, Inc.’s Current Report on Form 8-K, filed with the SEC on June 26, 2025).</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23.1*</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w:anchor="ea025415001ex23-1_cidhold.htm">
              <w:r>
                <w:rPr>
                  <w:rStyle w:val="InternetLink"/>
                  <w:rFonts w:ascii="Times New Roman;Times;Serif" w:hAnsi="Times New Roman;Times;Serif"/>
                  <w:sz w:val="20"/>
                </w:rPr>
                <w:t>Consent of Wolf &amp; Company, P.C.</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pPr>
            <w:hyperlink w:anchor="ea025415001ex23-2_cidhold.htm">
              <w:r>
                <w:rPr>
                  <w:rStyle w:val="InternetLink"/>
                  <w:rFonts w:ascii="Times New Roman;Times;Serif" w:hAnsi="Times New Roman;Times;Serif"/>
                  <w:sz w:val="20"/>
                </w:rPr>
                <w:t>Consent of Berkowitz Pollack Brant Advisors + CPAs</w:t>
              </w:r>
            </w:hyperlink>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23.3*</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283"/>
              <w:jc w:val="both"/>
              <w:rPr/>
            </w:pPr>
            <w:hyperlink w:anchor="ea025415001ex5-1_cidhold.htm">
              <w:r>
                <w:rPr>
                  <w:rStyle w:val="InternetLink"/>
                  <w:rFonts w:ascii="Times New Roman;Times;Serif" w:hAnsi="Times New Roman;Times;Serif"/>
                  <w:sz w:val="20"/>
                </w:rPr>
                <w:t>Consent of DLA Piper LLP (US) (included in Exhibit 5.1)</w:t>
              </w:r>
            </w:hyperlink>
          </w:p>
        </w:tc>
      </w:tr>
      <w:tr>
        <w:trPr/>
        <w:tc>
          <w:tcPr>
            <w:tcW w:w="792"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2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792"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107*</w:t>
            </w:r>
          </w:p>
        </w:tc>
        <w:tc>
          <w:tcPr>
            <w:tcW w:w="90" w:type="dxa"/>
            <w:tcBorders/>
            <w:shd w:fill="FFFFFF" w:val="clear"/>
            <w:tcMar>
              <w:bottom w:w="0" w:type="dxa"/>
            </w:tcMar>
            <w:vAlign w:val="center"/>
          </w:tcPr>
          <w:p>
            <w:pPr>
              <w:pStyle w:val="TableContents"/>
              <w:bidi w:val="0"/>
              <w:spacing w:before="0" w:after="283"/>
              <w:jc w:val="both"/>
              <w:rPr/>
            </w:pPr>
            <w:r>
              <w:rPr/>
              <w:t> </w:t>
            </w:r>
          </w:p>
        </w:tc>
        <w:tc>
          <w:tcPr>
            <w:tcW w:w="9323" w:type="dxa"/>
            <w:tcBorders/>
            <w:shd w:fill="FFFFFF" w:val="clear"/>
            <w:tcMar>
              <w:bottom w:w="0" w:type="dxa"/>
            </w:tcMar>
            <w:vAlign w:val="center"/>
          </w:tcPr>
          <w:p>
            <w:pPr>
              <w:pStyle w:val="TableContents"/>
              <w:bidi w:val="0"/>
              <w:spacing w:before="0" w:after="0"/>
              <w:ind w:left="0" w:right="0" w:hanging="0"/>
              <w:jc w:val="both"/>
              <w:rPr/>
            </w:pPr>
            <w:hyperlink w:anchor="ea025415001ex-fee_cidhold.htm">
              <w:r>
                <w:rPr>
                  <w:rStyle w:val="InternetLink"/>
                  <w:rFonts w:ascii="Times New Roman;Times;Serif" w:hAnsi="Times New Roman;Times;Serif"/>
                  <w:b w:val="false"/>
                  <w:i w:val="false"/>
                  <w:caps w:val="false"/>
                  <w:smallCaps w:val="false"/>
                  <w:sz w:val="20"/>
                </w:rPr>
                <w:t>Filing Fee Table</w:t>
              </w:r>
            </w:hyperlink>
          </w:p>
        </w:tc>
      </w:tr>
    </w:tbl>
    <w:p>
      <w:pPr>
        <w:pStyle w:val="TextBody"/>
        <w:pBdr/>
        <w:bidi w:val="0"/>
        <w:spacing w:before="0" w:after="0"/>
        <w:ind w:left="720" w:right="0" w:hanging="72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758" w:type="dxa"/>
        <w:jc w:val="left"/>
        <w:tblInd w:w="0" w:type="dxa"/>
        <w:tblLayout w:type="fixed"/>
        <w:tblCellMar>
          <w:top w:w="0" w:type="dxa"/>
          <w:left w:w="0" w:type="dxa"/>
          <w:bottom w:w="0" w:type="dxa"/>
          <w:right w:w="0" w:type="dxa"/>
        </w:tblCellMar>
      </w:tblPr>
      <w:tblGrid>
        <w:gridCol w:w="68"/>
        <w:gridCol w:w="17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Filed herewith.</w:t>
            </w:r>
          </w:p>
        </w:tc>
      </w:tr>
    </w:tbl>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pPr>
            <w:r>
              <w:rPr/>
              <w:t>Schedules omitted pursuant to Item 601(a)(5) of Regulation S-K. The Company agrees to furnish supplementally to the SEC a copy of any omitted schedule or exhibit upon the request of the SEC in accordance with Item 601(b)(2)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New York, State of New York, on September 4, 2025.</w:t>
      </w:r>
    </w:p>
    <w:p>
      <w:pPr>
        <w:pStyle w:val="TextBody"/>
        <w:bidi w:val="0"/>
        <w:spacing w:before="0" w:after="0"/>
        <w:ind w:left="0" w:right="0" w:firstLine="36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65"/>
        <w:gridCol w:w="1970"/>
        <w:gridCol w:w="135"/>
      </w:tblGrid>
      <w:tr>
        <w:trPr/>
        <w:tc>
          <w:tcPr>
            <w:tcW w:w="2335" w:type="dxa"/>
            <w:gridSpan w:val="2"/>
            <w:tcBorders/>
            <w:vAlign w:val="center"/>
          </w:tcPr>
          <w:p>
            <w:pPr>
              <w:pStyle w:val="TableContents"/>
              <w:bidi w:val="0"/>
              <w:spacing w:before="0" w:after="283"/>
              <w:jc w:val="left"/>
              <w:rPr>
                <w:b/>
              </w:rPr>
            </w:pPr>
            <w:r>
              <w:rPr>
                <w:b/>
              </w:rPr>
              <w:t>CID HOLDCO, INC.</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By:</w:t>
            </w:r>
          </w:p>
        </w:tc>
        <w:tc>
          <w:tcPr>
            <w:tcW w:w="19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Edmund Nabrotzky</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Edmund Nabrotzky</w:t>
            </w:r>
          </w:p>
        </w:tc>
        <w:tc>
          <w:tcPr>
            <w:tcW w:w="13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20"/>
              </w:rPr>
            </w:pPr>
            <w:r>
              <w:rPr>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of the undersigned constitutes and appoints Edmund Nabrotzky and Charles Maddox, and each of them, his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9330" w:type="dxa"/>
        <w:jc w:val="left"/>
        <w:tblInd w:w="0" w:type="dxa"/>
        <w:tblLayout w:type="fixed"/>
        <w:tblCellMar>
          <w:top w:w="0" w:type="dxa"/>
          <w:left w:w="0" w:type="dxa"/>
          <w:bottom w:w="28" w:type="dxa"/>
          <w:right w:w="0" w:type="dxa"/>
        </w:tblCellMar>
      </w:tblPr>
      <w:tblGrid>
        <w:gridCol w:w="2210"/>
        <w:gridCol w:w="90"/>
        <w:gridCol w:w="5330"/>
        <w:gridCol w:w="90"/>
        <w:gridCol w:w="1610"/>
      </w:tblGrid>
      <w:tr>
        <w:trPr/>
        <w:tc>
          <w:tcPr>
            <w:tcW w:w="2210" w:type="dxa"/>
            <w:tcBorders>
              <w:bottom w:val="single" w:sz="12" w:space="0" w:color="000000"/>
            </w:tcBorders>
            <w:vAlign w:val="center"/>
          </w:tcPr>
          <w:p>
            <w:pPr>
              <w:pStyle w:val="TableContents"/>
              <w:bidi w:val="0"/>
              <w:spacing w:before="0" w:after="283"/>
              <w:jc w:val="center"/>
              <w:rPr>
                <w:b/>
                <w:sz w:val="20"/>
              </w:rPr>
            </w:pPr>
            <w:r>
              <w:rPr>
                <w:b/>
                <w:sz w:val="20"/>
              </w:rPr>
              <w:t>Name</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2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3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sz w:val="20"/>
              </w:rPr>
            </w:pPr>
            <w:r>
              <w:rPr>
                <w:sz w:val="20"/>
              </w:rPr>
              <w:t>/s/ Edmund Nabrotzky</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sz w:val="20"/>
              </w:rPr>
            </w:pPr>
            <w:r>
              <w:rPr>
                <w:sz w:val="20"/>
              </w:rPr>
              <w:t>Chief Executive Officer and Director (principal executive officer)</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8" w:space="0" w:color="FFFFFF"/>
            </w:tcBorders>
            <w:vAlign w:val="center"/>
          </w:tcPr>
          <w:p>
            <w:pPr>
              <w:pStyle w:val="TableContents"/>
              <w:bidi w:val="0"/>
              <w:spacing w:before="0" w:after="283"/>
              <w:jc w:val="center"/>
              <w:rPr>
                <w:sz w:val="20"/>
              </w:rPr>
            </w:pPr>
            <w:r>
              <w:rPr>
                <w:sz w:val="20"/>
              </w:rPr>
              <w:t>September 4, 2025</w:t>
            </w:r>
          </w:p>
        </w:tc>
      </w:tr>
      <w:tr>
        <w:trPr/>
        <w:tc>
          <w:tcPr>
            <w:tcW w:w="2210" w:type="dxa"/>
            <w:tcBorders/>
            <w:tcMar>
              <w:bottom w:w="0" w:type="dxa"/>
            </w:tcMar>
            <w:vAlign w:val="center"/>
          </w:tcPr>
          <w:p>
            <w:pPr>
              <w:pStyle w:val="TableContents"/>
              <w:bidi w:val="0"/>
              <w:spacing w:before="0" w:after="283"/>
              <w:jc w:val="center"/>
              <w:rPr>
                <w:sz w:val="20"/>
              </w:rPr>
            </w:pPr>
            <w:r>
              <w:rPr>
                <w:sz w:val="20"/>
              </w:rPr>
              <w:t>Edmund Nabrotzky</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sz w:val="20"/>
              </w:rPr>
            </w:pPr>
            <w:r>
              <w:rPr>
                <w:sz w:val="20"/>
              </w:rPr>
              <w:t>/s/ Charles Maddox</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bottom w:val="single" w:sz="8" w:space="0" w:color="FFFFFF"/>
            </w:tcBorders>
            <w:vAlign w:val="center"/>
          </w:tcPr>
          <w:p>
            <w:pPr>
              <w:pStyle w:val="TableContents"/>
              <w:bidi w:val="0"/>
              <w:spacing w:before="0" w:after="283"/>
              <w:jc w:val="center"/>
              <w:rPr>
                <w:sz w:val="20"/>
              </w:rPr>
            </w:pPr>
            <w:r>
              <w:rPr>
                <w:sz w:val="20"/>
              </w:rPr>
              <w:t xml:space="preserve">Chief Financial Officer (principal financial and </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8" w:space="0" w:color="FFFFFF"/>
            </w:tcBorders>
            <w:vAlign w:val="center"/>
          </w:tcPr>
          <w:p>
            <w:pPr>
              <w:pStyle w:val="TableContents"/>
              <w:bidi w:val="0"/>
              <w:spacing w:before="0" w:after="283"/>
              <w:jc w:val="center"/>
              <w:rPr>
                <w:sz w:val="20"/>
              </w:rPr>
            </w:pPr>
            <w:r>
              <w:rPr>
                <w:sz w:val="20"/>
              </w:rPr>
              <w:t>September 4, 2025</w:t>
            </w:r>
          </w:p>
        </w:tc>
      </w:tr>
      <w:tr>
        <w:trPr/>
        <w:tc>
          <w:tcPr>
            <w:tcW w:w="2210" w:type="dxa"/>
            <w:tcBorders/>
            <w:tcMar>
              <w:bottom w:w="0" w:type="dxa"/>
            </w:tcMar>
            <w:vAlign w:val="center"/>
          </w:tcPr>
          <w:p>
            <w:pPr>
              <w:pStyle w:val="TableContents"/>
              <w:bidi w:val="0"/>
              <w:spacing w:before="0" w:after="283"/>
              <w:jc w:val="center"/>
              <w:rPr>
                <w:sz w:val="20"/>
              </w:rPr>
            </w:pPr>
            <w:r>
              <w:rPr>
                <w:sz w:val="20"/>
              </w:rPr>
              <w:t>Charles Maddox</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sz w:val="20"/>
              </w:rPr>
            </w:pPr>
            <w:r>
              <w:rPr>
                <w:sz w:val="20"/>
              </w:rPr>
              <w:t>accounting officer)</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sz w:val="20"/>
              </w:rPr>
            </w:pPr>
            <w:r>
              <w:rPr>
                <w:sz w:val="20"/>
              </w:rPr>
              <w:t>/s/ Sheldon Paul</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bottom w:val="single" w:sz="8" w:space="0" w:color="FFFFFF"/>
            </w:tcBorders>
            <w:vAlign w:val="center"/>
          </w:tcPr>
          <w:p>
            <w:pPr>
              <w:pStyle w:val="TableContents"/>
              <w:bidi w:val="0"/>
              <w:spacing w:before="0" w:after="283"/>
              <w:jc w:val="center"/>
              <w:rPr>
                <w:sz w:val="20"/>
              </w:rPr>
            </w:pPr>
            <w:r>
              <w:rPr>
                <w:sz w:val="20"/>
              </w:rPr>
              <w:t>Director</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8" w:space="0" w:color="FFFFFF"/>
            </w:tcBorders>
            <w:vAlign w:val="center"/>
          </w:tcPr>
          <w:p>
            <w:pPr>
              <w:pStyle w:val="TableContents"/>
              <w:bidi w:val="0"/>
              <w:spacing w:before="0" w:after="283"/>
              <w:jc w:val="center"/>
              <w:rPr>
                <w:sz w:val="20"/>
              </w:rPr>
            </w:pPr>
            <w:r>
              <w:rPr>
                <w:sz w:val="20"/>
              </w:rPr>
              <w:t>September 4, 2025</w:t>
            </w:r>
          </w:p>
        </w:tc>
      </w:tr>
      <w:tr>
        <w:trPr/>
        <w:tc>
          <w:tcPr>
            <w:tcW w:w="2210" w:type="dxa"/>
            <w:tcBorders/>
            <w:tcMar>
              <w:bottom w:w="0" w:type="dxa"/>
            </w:tcMar>
            <w:vAlign w:val="center"/>
          </w:tcPr>
          <w:p>
            <w:pPr>
              <w:pStyle w:val="TableContents"/>
              <w:bidi w:val="0"/>
              <w:spacing w:before="0" w:after="283"/>
              <w:jc w:val="center"/>
              <w:rPr>
                <w:sz w:val="20"/>
              </w:rPr>
            </w:pPr>
            <w:r>
              <w:rPr>
                <w:sz w:val="20"/>
              </w:rPr>
              <w:t>Sheldon Paul</w:t>
            </w:r>
          </w:p>
        </w:tc>
        <w:tc>
          <w:tcPr>
            <w:tcW w:w="90" w:type="dxa"/>
            <w:tcBorders/>
            <w:tcMar>
              <w:bottom w:w="0" w:type="dxa"/>
            </w:tcMar>
            <w:vAlign w:val="center"/>
          </w:tcPr>
          <w:p>
            <w:pPr>
              <w:pStyle w:val="TableContents"/>
              <w:bidi w:val="0"/>
              <w:spacing w:before="0" w:after="283"/>
              <w:jc w:val="left"/>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sz w:val="20"/>
              </w:rPr>
            </w:pPr>
            <w:r>
              <w:rPr>
                <w:sz w:val="20"/>
              </w:rPr>
              <w:t>/s/ Janice Bryant Howroyd</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bottom w:val="single" w:sz="8" w:space="0" w:color="FFFFFF"/>
            </w:tcBorders>
            <w:vAlign w:val="center"/>
          </w:tcPr>
          <w:p>
            <w:pPr>
              <w:pStyle w:val="TableContents"/>
              <w:bidi w:val="0"/>
              <w:spacing w:before="0" w:after="283"/>
              <w:jc w:val="center"/>
              <w:rPr>
                <w:sz w:val="20"/>
              </w:rPr>
            </w:pPr>
            <w:r>
              <w:rPr>
                <w:sz w:val="20"/>
              </w:rPr>
              <w:t>Director</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8" w:space="0" w:color="FFFFFF"/>
            </w:tcBorders>
            <w:vAlign w:val="center"/>
          </w:tcPr>
          <w:p>
            <w:pPr>
              <w:pStyle w:val="TableContents"/>
              <w:bidi w:val="0"/>
              <w:spacing w:before="0" w:after="283"/>
              <w:jc w:val="center"/>
              <w:rPr>
                <w:sz w:val="20"/>
              </w:rPr>
            </w:pPr>
            <w:r>
              <w:rPr>
                <w:sz w:val="20"/>
              </w:rPr>
              <w:t>September 4, 2025</w:t>
            </w:r>
          </w:p>
        </w:tc>
      </w:tr>
      <w:tr>
        <w:trPr/>
        <w:tc>
          <w:tcPr>
            <w:tcW w:w="2210" w:type="dxa"/>
            <w:tcBorders/>
            <w:tcMar>
              <w:bottom w:w="0" w:type="dxa"/>
            </w:tcMar>
            <w:vAlign w:val="center"/>
          </w:tcPr>
          <w:p>
            <w:pPr>
              <w:pStyle w:val="TableContents"/>
              <w:bidi w:val="0"/>
              <w:spacing w:before="0" w:after="283"/>
              <w:jc w:val="center"/>
              <w:rPr>
                <w:sz w:val="20"/>
              </w:rPr>
            </w:pPr>
            <w:r>
              <w:rPr>
                <w:sz w:val="20"/>
              </w:rPr>
              <w:t>Janice Bryant Howroyd</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sz w:val="20"/>
              </w:rPr>
            </w:pPr>
            <w:r>
              <w:rPr>
                <w:sz w:val="20"/>
              </w:rPr>
              <w:t>/s/ Walter Skowronski</w:t>
            </w:r>
          </w:p>
        </w:tc>
        <w:tc>
          <w:tcPr>
            <w:tcW w:w="90" w:type="dxa"/>
            <w:tcBorders>
              <w:bottom w:val="single" w:sz="8" w:space="0" w:color="FFFFFF"/>
            </w:tcBorders>
            <w:vAlign w:val="center"/>
          </w:tcPr>
          <w:p>
            <w:pPr>
              <w:pStyle w:val="TableContents"/>
              <w:bidi w:val="0"/>
              <w:spacing w:before="0" w:after="283"/>
              <w:jc w:val="center"/>
              <w:rPr/>
            </w:pPr>
            <w:r>
              <w:rPr/>
              <w:t> </w:t>
            </w:r>
          </w:p>
        </w:tc>
        <w:tc>
          <w:tcPr>
            <w:tcW w:w="5330" w:type="dxa"/>
            <w:tcBorders>
              <w:bottom w:val="single" w:sz="8" w:space="0" w:color="FFFFFF"/>
            </w:tcBorders>
            <w:vAlign w:val="center"/>
          </w:tcPr>
          <w:p>
            <w:pPr>
              <w:pStyle w:val="TableContents"/>
              <w:bidi w:val="0"/>
              <w:spacing w:before="0" w:after="283"/>
              <w:jc w:val="center"/>
              <w:rPr>
                <w:sz w:val="20"/>
              </w:rPr>
            </w:pPr>
            <w:r>
              <w:rPr>
                <w:sz w:val="20"/>
              </w:rPr>
              <w:t>Director</w:t>
            </w:r>
          </w:p>
        </w:tc>
        <w:tc>
          <w:tcPr>
            <w:tcW w:w="90" w:type="dxa"/>
            <w:tcBorders>
              <w:bottom w:val="single" w:sz="8" w:space="0" w:color="FFFFFF"/>
            </w:tcBorders>
            <w:vAlign w:val="center"/>
          </w:tcPr>
          <w:p>
            <w:pPr>
              <w:pStyle w:val="TableContents"/>
              <w:bidi w:val="0"/>
              <w:spacing w:before="0" w:after="283"/>
              <w:jc w:val="center"/>
              <w:rPr/>
            </w:pPr>
            <w:r>
              <w:rPr/>
              <w:t> </w:t>
            </w:r>
          </w:p>
        </w:tc>
        <w:tc>
          <w:tcPr>
            <w:tcW w:w="1610" w:type="dxa"/>
            <w:tcBorders>
              <w:bottom w:val="single" w:sz="8" w:space="0" w:color="FFFFFF"/>
            </w:tcBorders>
            <w:vAlign w:val="center"/>
          </w:tcPr>
          <w:p>
            <w:pPr>
              <w:pStyle w:val="TableContents"/>
              <w:bidi w:val="0"/>
              <w:spacing w:before="0" w:after="283"/>
              <w:jc w:val="center"/>
              <w:rPr>
                <w:sz w:val="20"/>
              </w:rPr>
            </w:pPr>
            <w:r>
              <w:rPr>
                <w:sz w:val="20"/>
              </w:rPr>
              <w:t>September 4, 2025</w:t>
            </w:r>
          </w:p>
        </w:tc>
      </w:tr>
      <w:tr>
        <w:trPr/>
        <w:tc>
          <w:tcPr>
            <w:tcW w:w="2210" w:type="dxa"/>
            <w:tcBorders/>
            <w:tcMar>
              <w:bottom w:w="0" w:type="dxa"/>
            </w:tcMar>
            <w:vAlign w:val="center"/>
          </w:tcPr>
          <w:p>
            <w:pPr>
              <w:pStyle w:val="TableContents"/>
              <w:bidi w:val="0"/>
              <w:spacing w:before="0" w:after="283"/>
              <w:jc w:val="center"/>
              <w:rPr>
                <w:sz w:val="20"/>
              </w:rPr>
            </w:pPr>
            <w:r>
              <w:rPr>
                <w:sz w:val="20"/>
              </w:rPr>
              <w:t>Walter Skowronski</w:t>
            </w:r>
          </w:p>
        </w:tc>
        <w:tc>
          <w:tcPr>
            <w:tcW w:w="90" w:type="dxa"/>
            <w:tcBorders/>
            <w:tcMar>
              <w:bottom w:w="0" w:type="dxa"/>
            </w:tcMar>
            <w:vAlign w:val="center"/>
          </w:tcPr>
          <w:p>
            <w:pPr>
              <w:pStyle w:val="TableContents"/>
              <w:bidi w:val="0"/>
              <w:spacing w:before="0" w:after="283"/>
              <w:jc w:val="center"/>
              <w:rPr/>
            </w:pPr>
            <w:r>
              <w:rPr/>
              <w:t> </w:t>
            </w:r>
          </w:p>
        </w:tc>
        <w:tc>
          <w:tcPr>
            <w:tcW w:w="53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7" w:name="ea025415001ex5-1_cidhold.htm"/>
      <w:bookmarkStart w:id="38" w:name="ksea025415001ex51_cidhold"/>
      <w:bookmarkEnd w:id="37"/>
      <w:bookmarkEnd w:id="38"/>
      <w:r>
        <w:rPr>
          <w:b/>
        </w:rPr>
        <w:t>Exhibit 5.1</w:t>
      </w:r>
      <w:r>
        <w:br w:type="page"/>
      </w:r>
    </w:p>
    <w:p>
      <w:pPr>
        <w:pStyle w:val="TextBody"/>
        <w:bidi w:val="0"/>
        <w:spacing w:before="0" w:after="0"/>
        <w:jc w:val="center"/>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1815"/>
        <w:gridCol w:w="2300"/>
      </w:tblGrid>
      <w:tr>
        <w:trPr/>
        <w:tc>
          <w:tcPr>
            <w:tcW w:w="181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143000" cy="666750"/>
                          </a:xfrm>
                          <a:prstGeom prst="rect">
                            <a:avLst/>
                          </a:prstGeom>
                        </pic:spPr>
                      </pic:pic>
                    </a:graphicData>
                  </a:graphic>
                </wp:inline>
              </w:drawing>
            </w:r>
          </w:p>
        </w:tc>
        <w:tc>
          <w:tcPr>
            <w:tcW w:w="23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DLA Piper LLP (US)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S Exeter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 21202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www.dlapiper.com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410.580.3000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410.580.3001</w:t>
            </w:r>
          </w:p>
        </w:tc>
      </w:tr>
    </w:tbl>
    <w:p>
      <w:pPr>
        <w:pStyle w:val="TextBody"/>
        <w:bidi w:val="0"/>
        <w:spacing w:before="0" w:after="0"/>
        <w:ind w:left="3773" w:right="0" w:hanging="3773"/>
        <w:jc w:val="both"/>
        <w:rPr>
          <w:caps w:val="false"/>
          <w:smallCaps w:val="false"/>
        </w:rPr>
      </w:pPr>
      <w:r>
        <w:rPr>
          <w:caps w:val="false"/>
          <w:smallCaps w:val="false"/>
        </w:rPr>
        <w:t> </w:t>
      </w:r>
    </w:p>
    <w:p>
      <w:pPr>
        <w:pStyle w:val="TextBody"/>
        <w:bidi w:val="0"/>
        <w:spacing w:before="0" w:after="0"/>
        <w:ind w:left="3773" w:right="0" w:hanging="37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89118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929"/>
        <w:gridCol w:w="8110"/>
      </w:tblGrid>
      <w:tr>
        <w:trPr/>
        <w:tc>
          <w:tcPr>
            <w:tcW w:w="16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b/>
                <w:u w:val="single"/>
              </w:rPr>
            </w:pPr>
            <w:r>
              <w:rPr>
                <w:b/>
                <w:u w:val="single"/>
              </w:rPr>
              <w:t>RE:</w:t>
            </w:r>
          </w:p>
        </w:tc>
        <w:tc>
          <w:tcPr>
            <w:tcW w:w="8110" w:type="dxa"/>
            <w:tcBorders/>
            <w:vAlign w:val="center"/>
          </w:tcPr>
          <w:p>
            <w:pPr>
              <w:pStyle w:val="TableContents"/>
              <w:bidi w:val="0"/>
              <w:spacing w:before="0" w:after="283"/>
              <w:jc w:val="left"/>
              <w:rPr>
                <w:b/>
                <w:u w:val="single"/>
              </w:rPr>
            </w:pPr>
            <w:r>
              <w:rPr>
                <w:b/>
                <w:u w:val="single"/>
              </w:rPr>
              <w:t>CID HoldCo,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CID HoldCo, Inc., a Delaware corporation (the “Company”), in connection with the preparation and filing by the Company with the United States Securities and Exchange Commission (the “Commission”) of a Registration Statement on Form S-1 filed by the Company with the Commission on September 4, 2025 (the “Registration Statement”) pursuant to the Securities Act of 1933, as amended (the “Securities Act”) for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resale of up to 29,701,559 shares of Common Stock (the “Resale Shares”) by the selling security holders identified in the prospectus included in the Registration Statement, including (i) up to 11,522,565 shares of Common Stock which shares were originally issued to certain SEE ID Equityholders (as defined in the Registration Statement) in connection with the consummation of the Business Combination (as defined in the Registration Statement)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86,207 shares issuable to New Circle (the “Commitment Shares”), based on the commitment fee of $350,000 to be calculated using the market value of the closing price of the Common Stock on the date this Registration Statement is declared effective by the SEC, and (b) 5,438,417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and (vi) up to 655,000 shares of Common Stock (the “Private Placement Warrant Shares”) that are issuable by us upon the exercise of the Private Placement Warrants (as defined in the Registration Statement) following the public resale of the Private Placement Warrants by the 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resale of up to 655,000 Private Placement Warrants originally issued to the Sponsor as part of the Private Placement Units in a private placement at a price of $10.00 per Private Placement Unit, currently exercisable at a price of $11.50 per share;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4300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143000" cy="6667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issuance of up to 15,654,983 shares of Common Stock (the “Warrant Shares”) consisting of (1) up to 14,999,983 shares of our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(2) up to 655,000 shares of our Common Stock issuable upon the exercise of 655,000 private warrants originally issued to the Sponsor as part of the Private Placement Units sold to the Sponsor in a private placement at a price of $10.00 per unit consummated concurrently with SUAC’s initial public offering, with each private warrant currently exercisable at a price of $11.50 per share (the “Private Placement Warrants” and together with the Public Warrants, the “Warrants”). All of the Warrants were assumed by the Company in connection with the Business Combination.</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herein have the meanings ascribed to them in the Registration Statement.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and no opinion is expressed herein as to any matter pertaining to the contents of the Registration Statement or any prospectus included therein.</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considered such legal matters as we have deemed necessary and relevant as the basis for the opinions set forth below, including (i) the Registration Statement, (ii) the Amended and Restated Certificate of Incorporation of the Company, filed as Exhibit 3.1 to the Registration Statement; (iii) the Amended and Restated Bylaws of the Company, filed as Exhibit 3.2 to the Registration Statement; (iv) the Business Combination Agreement by and among SUAC, the Company, ShoulderUp Merger Sub, Inc., SEI Merger Sub, Inc., and SEE ID, Inc., dated as of March 18, 2024, filed as Exhibit 2.1 to the Registration Statement; (v) the Warrant Agreement, dated November 16, 2021, between SUAC and Continental Stock Transfer &amp; Trust Company, as warrant agent, filed as Exhibit 4.3 to the Registration Statement (the “Original Warrant Agreement”); (vi) the Warrant Assumption Agreement, dated June 18, 2025, by and among Continental Stock Transfer and Trust Company, SUAC and the Company, filed as Exhibit 4.4 to the Registration Statement (the “Warrant Assumption Agreement” and together with the Original Warrant Agreement, the “Warrant Agreement”); (vii) the form of PIPE Subscription Agreement by and among the Company and the subscriber’s party thereto, filed as Exhibit 10.1 to the Registration Statement; (viii) the Registration Rights and Lock-up Agreement by and among CID HoldCo, Inc, and certain parties listed therein, dated as of June 18, 2025, filed as Exhibit 10.2 to the Registration Statement; (ix) the Share Purchase Agreement, dated June 18, 2025 by and among New Circle Principal Investments LLC, a Delaware limited liability company, and the Company, filed as Exhibit 10.3 to the Registration Statement (the “SEPA”); (x) the Registration Rights Agreement, dated June 18, 2025 by and among New Circle Principal Investments LLC, a Delaware limited liability company, and the Company, filed as Exhibit 10.4 to the Registration Statement; (xi) certain minutes or resolutions adopted by the Board of Directors of the Company; and (xii) such other records, documents, and certificates as in our judgment are necessary or appropriate to enable us to render the opinions expressed below. With respect to such examination, we have assumed, without independent investigation, (a) the genuineness and validity of all signatures on all documents (including, without limitation, signatures via DocuSign, eSignature or similar technology); (b) that each individual executing any document, whether on behalf of such individual or an entity, is legally competent to do so; (c) the due authority of the parties signing any document on behalf of a party (other than the Company); (d) the authenticity and completeness of all documents submitted to us as originals; (e) the completeness and conformity to the originals of all documents submitted to us as copies; (f) that all public records reviewed or relied upon by us are authentic, accurate and complete; (g) that all factual statements and information contained in any documents are true and complete; and (h) that there has been no oral or written modification or amendments to any documents by action or omission of the parties or otherwise. We have also assumed that the issuance of the Resale Shares complied or, with respect to the New Circle Shares, the Private Warrant Shares and the Warrant Shares, will comply, as applicable, in all respects with the terms, conditions and restrictions set forth in the Registration Statement. As to questions of fact material to this opinion letter, we have, to the extent deemed appropriate, relied upon certain certificates and representations of officers and employees of the Company.</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43000" cy="666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1143000" cy="666750"/>
                    </a:xfrm>
                    <a:prstGeom prst="rect">
                      <a:avLst/>
                    </a:prstGeom>
                  </pic:spPr>
                </pic:pic>
              </a:graphicData>
            </a:graphic>
          </wp:inline>
        </w:drawing>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 when the Registration Statement becomes effective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Resale Shares (other than the New Circle Shares and Private Placement Warrant Shares) are duly authorized,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New Circle Shares, when issued in accordance with the terms of the SEPA,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Private Placement Warrant Shares are duly authorized, and when issued and delivered upon exercise of the Private Placement Warrants in accordance with the terms thereof,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 Shares are duly authorized, and when issued and delivered upon exercise of the Warrants in accordance with the terms thereof,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Private Placement Warrants constitute legal, valid and binding obligations of the Company, enforceable against the Company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for your benefit in connection with the Registration Statement and may be relied upon by you and by persons entitled to rely upon it pursuant to the applicable provisions of the Securities Act.</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General Corporation Law of the state of Delaware (including the statutory provisions, all applicable provisions of the Delaware Constitution and the reported judicial decisions interpreting the foregoing) and, as to the Warrants constituting legally binding obligations of the Company, to the laws of the State of New York (excluding those of counties, cities, municipalities and other local subdivisions). Our opinions are based on these laws as in effect on the date hereof and as of the effective date of the Registration Statement, and we assume no obligation to revise or supplement this opinion letter after the effective date of the Registration Statement should the law be changed by legislative action, judicial decision, or otherwise. We express no opinion as to whether the laws of any other jurisdiction are applicable to the subject matter hereof. We are not rendering any opinion as to compliance with any other federal or state law, rule or regulation relating to securities, or to the sale or issuance thereof. No opinion is expressed herein with respect to the qualification of the shares and warrants under the securities or blue-sky laws of any state or any foreign jurisdiction. The opinions expressed herein are limited to the matters set forth in this letter and no other opinion should be inferred beyond the matters expressly stated.</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143000" cy="666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7"/>
                    <a:stretch>
                      <a:fillRect/>
                    </a:stretch>
                  </pic:blipFill>
                  <pic:spPr bwMode="auto">
                    <a:xfrm>
                      <a:off x="0" y="0"/>
                      <a:ext cx="1143000" cy="6667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to the use of our name as your counsel, and to all references made to us in the Registration Statement. In giving our consent, we do not admit that we are within the category of persons whose consent is required under Section 7 of the Securities Act or under the rules and regulations of the Commission promulgated thereunder (including Item 509 of Regulation S-K).</w:t>
      </w:r>
    </w:p>
    <w:p>
      <w:pPr>
        <w:pStyle w:val="TextBody"/>
        <w:bidi w:val="0"/>
        <w:spacing w:before="0" w:after="0"/>
        <w:ind w:left="14" w:right="0" w:firstLine="72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b/>
              </w:rPr>
            </w:pPr>
            <w:r>
              <w:rPr>
                <w:b/>
              </w:rPr>
              <w:t>DLA Piper LLP (US)</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/s/ DLA Piper LLP (US)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5415001ex23-1_cidhold.htm"/>
      <w:bookmarkStart w:id="40" w:name="ksea025415001ex231_cidhold"/>
      <w:bookmarkEnd w:id="39"/>
      <w:bookmarkEnd w:id="4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CID HoldCo, Inc. of our report dated May 15, 2024, except for Note 10, as to which the date is July 1, 2024, relating to the financial statements of SEE ID, Inc., appearing in the Prospectus, which is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Wolf &amp; Company,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25415001ex23-2_cidhold.htm"/>
      <w:bookmarkStart w:id="42" w:name="ksea025415001ex232_cidhold"/>
      <w:bookmarkEnd w:id="41"/>
      <w:bookmarkEnd w:id="42"/>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133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8"/>
                    <a:stretch>
                      <a:fillRect/>
                    </a:stretch>
                  </pic:blipFill>
                  <pic:spPr bwMode="auto">
                    <a:xfrm>
                      <a:off x="0" y="0"/>
                      <a:ext cx="6667500" cy="1133475"/>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REGISTERED INDEPENDENT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CID Holdco, Inc. (the “Company”) of our report dated June 25, 2025, which included an explanatory paragraph as to the Company's ability to continue as a going concern, with respect to our audit of the consolidated financial statements of See ID, Inc. dba Dot Ai, Inc. as of December 31, 2024 and for the year then ended, which appears in the Prospectus, which is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9"/>
                    <a:stretch>
                      <a:fillRect/>
                    </a:stretch>
                  </pic:blipFill>
                  <pic:spPr bwMode="auto">
                    <a:xfrm>
                      <a:off x="0" y="0"/>
                      <a:ext cx="6477000" cy="400050"/>
                    </a:xfrm>
                    <a:prstGeom prst="rect">
                      <a:avLst/>
                    </a:prstGeom>
                  </pic:spPr>
                </pic:pic>
              </a:graphicData>
            </a:graphic>
          </wp:inline>
        </w:drawing>
      </w: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43" w:name="ea025415001ex-fee_cidhold.htm"/>
      <w:bookmarkStart w:id="44" w:name="ksea025415001exfee_cidhold"/>
      <w:bookmarkEnd w:id="43"/>
      <w:bookmarkEnd w:id="4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CID Holdco,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615" w:type="dxa"/>
        <w:jc w:val="left"/>
        <w:tblInd w:w="0" w:type="dxa"/>
        <w:tblLayout w:type="fixed"/>
        <w:tblCellMar>
          <w:top w:w="0" w:type="dxa"/>
          <w:left w:w="0" w:type="dxa"/>
          <w:bottom w:w="0" w:type="dxa"/>
          <w:right w:w="0" w:type="dxa"/>
        </w:tblCellMar>
      </w:tblPr>
      <w:tblGrid>
        <w:gridCol w:w="530"/>
        <w:gridCol w:w="60"/>
        <w:gridCol w:w="800"/>
        <w:gridCol w:w="60"/>
        <w:gridCol w:w="1100"/>
        <w:gridCol w:w="60"/>
        <w:gridCol w:w="575"/>
        <w:gridCol w:w="60"/>
        <w:gridCol w:w="1100"/>
        <w:gridCol w:w="60"/>
        <w:gridCol w:w="1100"/>
        <w:gridCol w:w="60"/>
        <w:gridCol w:w="199"/>
        <w:gridCol w:w="796"/>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61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Secondary Offering Common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29,701,559</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123,855,501.00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18,962.28</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Secondary Offering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655,000</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Issuance of Common Stock Underlying 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15,654,983</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11.50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180,032,304.00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27,562.95</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6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303,887,805.00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46,525.23</w:t>
            </w:r>
          </w:p>
        </w:tc>
      </w:tr>
      <w:tr>
        <w:trPr/>
        <w:tc>
          <w:tcPr>
            <w:tcW w:w="656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656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6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46,525.23</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8"/>
        <w:gridCol w:w="23"/>
        <w:gridCol w:w="9924"/>
      </w:tblGrid>
      <w:tr>
        <w:trPr/>
        <w:tc>
          <w:tcPr>
            <w:tcW w:w="25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both"/>
              <w:rPr/>
            </w:pPr>
            <w:r>
              <w:rPr/>
              <w:t>Pursuant to Rule 416(a) under the Securities Act of 1933, as amended (the “Securities Act”), there are also being registered an indeterminable number of additional securities as may be issued as a result of stock splits, stock dividends or similar transactions.</w:t>
              <w:br/>
              <w:br/>
              <w:t>Consists of (i) 29,041,544 shares of common stock; and (ii) 655,000 shares of common stock underlying the Private Placement Warrants.</w:t>
              <w:br/>
              <w:br/>
              <w:t>Estimated solely for the purpose of the calculation of the registration fee pursuant to Rule 457(c) under the Securities Act, based on the average of the high and the low prices as reported on the Nasdaq Stock Market LLC on September 2, 2025.</w:t>
              <w:br/>
              <w:br/>
              <w:t>Calculated by multiplying the proposed maximum aggregate offering price by 0.00015310.</w:t>
            </w:r>
          </w:p>
        </w:tc>
      </w:tr>
    </w:tbl>
    <w:tbl>
      <w:tblPr>
        <w:tblW w:w="10205" w:type="dxa"/>
        <w:jc w:val="left"/>
        <w:tblInd w:w="0" w:type="dxa"/>
        <w:tblLayout w:type="fixed"/>
        <w:tblCellMar>
          <w:top w:w="0" w:type="dxa"/>
          <w:left w:w="0" w:type="dxa"/>
          <w:bottom w:w="0" w:type="dxa"/>
          <w:right w:w="0" w:type="dxa"/>
        </w:tblCellMar>
      </w:tblPr>
      <w:tblGrid>
        <w:gridCol w:w="258"/>
        <w:gridCol w:w="23"/>
        <w:gridCol w:w="9924"/>
      </w:tblGrid>
      <w:tr>
        <w:trPr/>
        <w:tc>
          <w:tcPr>
            <w:tcW w:w="25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both"/>
              <w:rPr/>
            </w:pPr>
            <w:r>
              <w:rPr/>
              <w:t>Pursuant to Rule 416(a) under the Securities Act of 1933, as amended (the “Securities Act”), there are also being registered an indeterminable number of additional securities as may be issued as a result of stock splits, stock dividends or similar transactions.</w:t>
              <w:br/>
              <w:br/>
              <w:t>Calculated by multiplying the proposed maximum aggregate offering price by 0.00015310.</w:t>
              <w:br/>
              <w:br/>
              <w:t>In accordance with Rule 457(g), the entire registration fee for the warrants is allocated to the shares of common stock underlying the warrants, and no separate fee is payable for the warrants.</w:t>
            </w:r>
          </w:p>
        </w:tc>
      </w:tr>
    </w:tbl>
    <w:tbl>
      <w:tblPr>
        <w:tblW w:w="10205" w:type="dxa"/>
        <w:jc w:val="left"/>
        <w:tblInd w:w="0" w:type="dxa"/>
        <w:tblLayout w:type="fixed"/>
        <w:tblCellMar>
          <w:top w:w="0" w:type="dxa"/>
          <w:left w:w="0" w:type="dxa"/>
          <w:bottom w:w="0" w:type="dxa"/>
          <w:right w:w="0" w:type="dxa"/>
        </w:tblCellMar>
      </w:tblPr>
      <w:tblGrid>
        <w:gridCol w:w="258"/>
        <w:gridCol w:w="23"/>
        <w:gridCol w:w="9924"/>
      </w:tblGrid>
      <w:tr>
        <w:trPr/>
        <w:tc>
          <w:tcPr>
            <w:tcW w:w="258"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24" w:type="dxa"/>
            <w:tcBorders/>
            <w:vAlign w:val="center"/>
          </w:tcPr>
          <w:p>
            <w:pPr>
              <w:pStyle w:val="TableContents"/>
              <w:bidi w:val="0"/>
              <w:spacing w:before="0" w:after="283"/>
              <w:jc w:val="both"/>
              <w:rPr/>
            </w:pPr>
            <w:r>
              <w:rPr/>
              <w:t>Pursuant to Rule 416(a) under the Securities Act of 1933, as amended (the “Securities Act”), there are also being registered an indeterminable number of additional securities as may be issued as a result of stock splits, stock dividends or similar transactions.</w:t>
              <w:br/>
              <w:br/>
              <w:t>Estimated solely for the purpose of the calculation of the registration fee pursuant to Rule 457(g), based on the exercise price of the warrants.</w:t>
              <w:br/>
              <w:br/>
              <w:t>Calculated by multiplying the proposed maximum aggregate offering price by 0.00015310.</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2033770/000121390025057972/ea024660701ex3-1_cidhold.htm" TargetMode="External"/><Relationship Id="rId4" Type="http://schemas.openxmlformats.org/officeDocument/2006/relationships/hyperlink" Target="https://www.sec.gov/Archives/edgar/data/2033770/000121390025057972/ea024660701ex3-2_cidhold.htm" TargetMode="External"/><Relationship Id="rId5" Type="http://schemas.openxmlformats.org/officeDocument/2006/relationships/hyperlink" Target="http://www.sec.gov/Archives/edgar/data/2033770/000121390024094562/ea020805905ex4-5_cidhold.htm" TargetMode="External"/><Relationship Id="rId6" Type="http://schemas.openxmlformats.org/officeDocument/2006/relationships/hyperlink" Target="http://www.sec.gov/Archives/edgar/data/2033770/000121390024094562/ea020805905ex4-6_cidhold.htm" TargetMode="External"/><Relationship Id="rId7" Type="http://schemas.openxmlformats.org/officeDocument/2006/relationships/hyperlink" Target="http://www.sec.gov/Archives/edgar/data/1885461/000121390021061326/ea151223ex4-1_shoulderup.htm" TargetMode="External"/><Relationship Id="rId8" Type="http://schemas.openxmlformats.org/officeDocument/2006/relationships/hyperlink" Target="http://www.sec.gov/Archives/edgar/data/2033770/000121390025057972/ea024660701ex4-4_cidhold.htm" TargetMode="External"/><Relationship Id="rId9" Type="http://schemas.openxmlformats.org/officeDocument/2006/relationships/hyperlink" Target="http://www.sec.gov/Archives/edgar/data/2033770/000121390025057972/ea024660701ex10-8_cidhold.htm" TargetMode="External"/><Relationship Id="rId10" Type="http://schemas.openxmlformats.org/officeDocument/2006/relationships/hyperlink" Target="http://www.sec.gov/Archives/edgar/data/2033770/000121390025057972/ea024660701ex10-10_cidhold.htm" TargetMode="External"/><Relationship Id="rId11" Type="http://schemas.openxmlformats.org/officeDocument/2006/relationships/hyperlink" Target="http://www.sec.gov/Archives/edgar/data/2033770/000121390025057972/ea024660701ex10-11_cidhold.htm" TargetMode="External"/><Relationship Id="rId12" Type="http://schemas.openxmlformats.org/officeDocument/2006/relationships/hyperlink" Target="http://www.sec.gov/Archives/edgar/data/2033770/000121390025057972/ea024660701ex10-12_cidhold.htm" TargetMode="External"/><Relationship Id="rId13" Type="http://schemas.openxmlformats.org/officeDocument/2006/relationships/hyperlink" Target="https://www.sec.gov/Archives/edgar/data/2033770/000121390025057972/ea024660701ex21-1_cidhold.htm" TargetMode="External"/><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111384</Words>
  <Characters>607549</Characters>
  <CharactersWithSpaces>727170</CharactersWithSpaces>
  <Paragraphs>23116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