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333-290052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28,045,177 shares of Common Stock </w:t>
      </w:r>
      <w:r>
        <w:rPr>
          <w:rFonts w:ascii="Times New Roman" w:cs="Times New Roman" w:eastAsia="Times New Roman" w:hAnsi="Times New Roman"/>
          <w:sz w:val="18"/>
          <w:szCs w:val="18"/>
          <w:b w:val="1"/>
          <w:bCs w:val="1"/>
          <w:i w:val="1"/>
          <w:iCs w:val="1"/>
          <w:color w:val="auto"/>
        </w:rPr>
        <w:t>(for resale)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655,000 Warrants to Purchase shares of Common Stock </w:t>
      </w:r>
      <w:r>
        <w:rPr>
          <w:rFonts w:ascii="Times New Roman" w:cs="Times New Roman" w:eastAsia="Times New Roman" w:hAnsi="Times New Roman"/>
          <w:sz w:val="18"/>
          <w:szCs w:val="18"/>
          <w:b w:val="1"/>
          <w:bCs w:val="1"/>
          <w:i w:val="1"/>
          <w:iCs w:val="1"/>
          <w:color w:val="auto"/>
        </w:rPr>
        <w:t>(for resale)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14,999,983 shares of Common Stock Issuable upon Exercise of the Warrants </w:t>
      </w:r>
      <w:r>
        <w:rPr>
          <w:rFonts w:ascii="Times New Roman" w:cs="Times New Roman" w:eastAsia="Times New Roman" w:hAnsi="Times New Roman"/>
          <w:sz w:val="18"/>
          <w:szCs w:val="18"/>
          <w:b w:val="1"/>
          <w:bCs w:val="1"/>
          <w:i w:val="1"/>
          <w:iCs w:val="1"/>
          <w:color w:val="auto"/>
        </w:rPr>
        <w:t>(for issuance)</w:t>
      </w:r>
    </w:p>
    <w:p>
      <w:pPr>
        <w:spacing w:after="0" w:line="207"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28,045,177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3,868,242 New Circle Shares issuable pursuant to the ELOC Agreement (as defined herein), comprised of (a) 0 shares issuable to New Circle (the “Commitment Shares”), as the commitment fee of $350,000 has been fully paid as of the date of this prospectus, and (b) 3,868,242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(the “Private Placement Warrants”))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spacing w:after="0" w:line="19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this prospectus also relates to the issuance by us of up to 14,999,983 shares of Common Stock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together with the Private Placement Warrants, the “Warrants”). All of the Public Warrants were assumed by us in connection with the Business Combination (as defined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or Warrants by the Selling Securityholders pursuant to this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(as defined below).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Securities”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 Our Common Stock and Public Warrants are traded on the Nasdaq Stock Market LLC under the symbols “DAIC” and “DAICW”, respectively. On April 17, 2026, the last reported sale price of our Common Stock on the Nasdaq Stock Market LLC was $0.24 per share, and the closing price of our Public Warrants on April 17, 2026 was $0.02 per Public Warrant.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95.74%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each as defined under federal securities laws and are subject to reduced public company reporting requirements. Investing in our Common Stock involves a high degree of risk. See “Risk Factors” beginning on page 7 of this prospectus.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52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660" w:type="dxa"/>
            <w:vAlign w:val="bottom"/>
            <w:tcBorders>
              <w:bottom w:val="single" w:sz="8" w:color="CCEEFF"/>
            </w:tcBorders>
            <w:gridSpan w:val="1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00" w:type="dxa"/>
            <w:vAlign w:val="bottom"/>
            <w:tcBorders>
              <w:bottom w:val="single" w:sz="8" w:color="CCEEFF"/>
            </w:tcBorders>
            <w:gridSpan w:val="2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89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OUR BUSINESS</w:t>
            </w:r>
          </w:p>
        </w:tc>
        <w:tc>
          <w:tcPr>
            <w:tcW w:w="8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70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119</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INDEPENDENT REGISTERED PUBLIC ACCOUNTING FIRM</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Public Warrants. We will receive proceeds from any exercise of the Public Warrants for cash. We may use the shelf registration statement to issue up to an aggregate of 14,999,983 shares of our Common Stock underlying 14,999,983 Public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Securityholders may use the shelf registration statement to sell up to: 28,045,177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3,868,242 New Circle Shares issuable pursuant to the ELOC Agreement comprised of</w:t>
      </w:r>
    </w:p>
    <w:p>
      <w:pPr>
        <w:spacing w:after="0" w:line="3" w:lineRule="exact"/>
        <w:rPr>
          <w:sz w:val="20"/>
          <w:szCs w:val="20"/>
          <w:color w:val="auto"/>
        </w:rPr>
      </w:pPr>
    </w:p>
    <w:p>
      <w:pPr>
        <w:jc w:val="both"/>
        <w:ind w:firstLine="8"/>
        <w:spacing w:after="0" w:line="251" w:lineRule="auto"/>
        <w:tabs>
          <w:tab w:leader="none" w:pos="2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Commitment Shares issuable to New Circle, as the commitment fee of $350,000 has been fully paid as of the date of this prospectus, and (b) 3,868,242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 w:cs="Times New Roman" w:eastAsia="Times New Roman" w:hAnsi="Times New Roman"/>
          <w:sz w:val="18"/>
          <w:szCs w:val="18"/>
          <w:b w:val="1"/>
          <w:bCs w:val="1"/>
          <w:i w:val="1"/>
          <w:iCs w:val="1"/>
          <w:color w:val="auto"/>
        </w:rPr>
        <w:t>ShoulderUp Merger</w:t>
      </w:r>
      <w:r>
        <w:rPr>
          <w:rFonts w:ascii="Times New Roman" w:cs="Times New Roman" w:eastAsia="Times New Roman" w:hAnsi="Times New Roman"/>
          <w:sz w:val="18"/>
          <w:szCs w:val="18"/>
          <w:color w:val="auto"/>
        </w:rPr>
        <w:t>”), with SUAC surviving the ShoulderUp Merger as a wholly-owned subsidiary of the Company (“</w:t>
      </w:r>
      <w:r>
        <w:rPr>
          <w:rFonts w:ascii="Times New Roman" w:cs="Times New Roman" w:eastAsia="Times New Roman" w:hAnsi="Times New Roman"/>
          <w:sz w:val="18"/>
          <w:szCs w:val="18"/>
          <w:b w:val="1"/>
          <w:bCs w:val="1"/>
          <w:i w:val="1"/>
          <w:iCs w:val="1"/>
          <w:color w:val="auto"/>
        </w:rPr>
        <w:t>SUAC Surviving Company</w:t>
      </w:r>
      <w:r>
        <w:rPr>
          <w:rFonts w:ascii="Times New Roman" w:cs="Times New Roman" w:eastAsia="Times New Roman" w:hAnsi="Times New Roman"/>
          <w:sz w:val="18"/>
          <w:szCs w:val="18"/>
          <w:color w:val="auto"/>
        </w:rPr>
        <w:t>”); and (ii) simultaneously with the ShoulderUp Merger, SEI Merger Sub merged with and into SEE ID (“</w:t>
      </w:r>
      <w:r>
        <w:rPr>
          <w:rFonts w:ascii="Times New Roman" w:cs="Times New Roman" w:eastAsia="Times New Roman" w:hAnsi="Times New Roman"/>
          <w:sz w:val="18"/>
          <w:szCs w:val="18"/>
          <w:b w:val="1"/>
          <w:bCs w:val="1"/>
          <w:i w:val="1"/>
          <w:iCs w:val="1"/>
          <w:color w:val="auto"/>
        </w:rPr>
        <w:t>the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ID Merger</w:t>
      </w:r>
      <w:r>
        <w:rPr>
          <w:rFonts w:ascii="Times New Roman" w:cs="Times New Roman" w:eastAsia="Times New Roman" w:hAnsi="Times New Roman"/>
          <w:sz w:val="18"/>
          <w:szCs w:val="18"/>
          <w:color w:val="auto"/>
        </w:rPr>
        <w:t>”), with SEE ID surviving the SEE ID Merger as a wholly-owned subsidiary of the Company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(the ShoulderUp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the SEE ID Merger, together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Concurrently with the Closing, the Company and the persons identified in Schedule A thereto, entered into the Registration Rights Agreement, which provides customary demand and piggyback registration rights. See </w:t>
      </w:r>
      <w:r>
        <w:rPr>
          <w:rFonts w:ascii="Times New Roman" w:cs="Times New Roman" w:eastAsia="Times New Roman" w:hAnsi="Times New Roman"/>
          <w:sz w:val="18"/>
          <w:szCs w:val="18"/>
          <w:i w:val="1"/>
          <w:iCs w:val="1"/>
          <w:color w:val="auto"/>
        </w:rPr>
        <w:t>“Certain Relationships and Related Party Transactions -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9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combined company or others following the consummation of the Business Combination and any definitive agreements with respect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stock exchange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grow and manage growth profitably, maintain relationships with customers and suppliers and retain its management and key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security vulnerabilities, and real or perceived errors, failures, defects, or bugs in the Company’s platforms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SEE ID or the Company may be adversely affected by other economic, business, or competitive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of expenses and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raise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public securities’ potential liquidity and trading;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may be greater than anticipated;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the Company’s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the business, operations and financial performance of the Company detailed under the section entitled “Risk Factors”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476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unless the context otherwise requires or indicates, references to “Company,” “we,” “our,” and “us,” refer to CID HoldCo, Inc. and its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43" w:right="45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653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In short, we bring a next generation capability to know when, where and why assets move in the enterprise, providing an opportunity to apply AI to complex edge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 Up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and Lock-Up Agreement (the “Registration Rights and Lock-Up Agreement”) with certain holders listed on Schedule A thereto (the “Holders”), pursuant to which, (1) subject to certain exceptions, the Holders were not able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ELOC Agreement, the Company also entered into that certain Registration Rights Agreement (the “New Circle Registration Rights Agreement”) with New Circle.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02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3,868,242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a written notice to the Company, New Circle may from time to time increase (with such increase not effective until the sixty-first (61st) day after delivery of such notice) the Ownership Limitation to 9.99%.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w:t>
      </w:r>
    </w:p>
    <w:p>
      <w:pPr>
        <w:spacing w:after="0" w:line="3" w:lineRule="exact"/>
        <w:rPr>
          <w:sz w:val="20"/>
          <w:szCs w:val="20"/>
          <w:color w:val="auto"/>
        </w:rPr>
      </w:pPr>
    </w:p>
    <w:p>
      <w:pPr>
        <w:jc w:val="both"/>
        <w:ind w:firstLine="5"/>
        <w:spacing w:after="0" w:line="252" w:lineRule="auto"/>
        <w:tabs>
          <w:tab w:leader="none" w:pos="2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396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8396605"/>
                    </a:xfrm>
                    <a:prstGeom prst="rect">
                      <a:avLst/>
                    </a:prstGeom>
                    <a:noFill/>
                  </pic:spPr>
                </pic:pic>
              </a:graphicData>
            </a:graphic>
          </wp:anchor>
        </w:drawing>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3,868,242 shares of Common Stock remain and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3,868,242 shares remaining to be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13.21% of the total number of shares of Common Stock outstanding as of April 6, 2026. If we elect to issue and sell more than the 3,868,242 shares remaining to be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70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8670925"/>
                    </a:xfrm>
                    <a:prstGeom prst="rect">
                      <a:avLst/>
                    </a:prstGeom>
                    <a:noFill/>
                  </pic:spPr>
                </pic:pic>
              </a:graphicData>
            </a:graphic>
          </wp:anchor>
        </w:drawing>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on February 27,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5661 S Cameron St, Suite 100, Las Vegas, Nevada 89118 and our telephone number is (303) 332-4122. Our website is https://daic.ai. The information found on, or that can be accessed from or that is hyperlinked to, our website is not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spacing w:after="0" w:line="180"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our ability to grow the Company’s business depends on retaining and expanding the Company’s customer base.</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and enhance the Company’s brand and reputation.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limited operating history.</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or real or perceived errors, failures or bugs in the Company’s systems or website could impair its business.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controls over financial reporting may not be effective and the Company’s independent registered public accounting firm may not be able to certify as to their effectiveness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11" w:name="page12"/>
    <w:bookmarkEnd w:id="11"/>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 of Public Warrants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26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Resale of Common Stock and Private Placement Warrants</w:t>
      </w:r>
    </w:p>
    <w:p>
      <w:pPr>
        <w:spacing w:after="0" w:line="159" w:lineRule="exact"/>
        <w:rPr>
          <w:sz w:val="20"/>
          <w:szCs w:val="20"/>
          <w:color w:val="auto"/>
        </w:rPr>
      </w:pPr>
    </w:p>
    <w:p>
      <w:pPr>
        <w:ind w:left="160" w:right="22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right="260" w:hanging="161"/>
        <w:spacing w:after="0" w:line="266" w:lineRule="auto"/>
        <w:rPr>
          <w:sz w:val="20"/>
          <w:szCs w:val="20"/>
          <w:color w:val="auto"/>
        </w:rPr>
      </w:pPr>
      <w:r>
        <w:rPr>
          <w:rFonts w:ascii="Times New Roman" w:cs="Times New Roman" w:eastAsia="Times New Roman" w:hAnsi="Times New Roman"/>
          <w:sz w:val="18"/>
          <w:szCs w:val="18"/>
          <w:color w:val="auto"/>
        </w:rPr>
        <w:t>Private Placement Warrants to purchase Common Stock by the Selling Securityholders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prior to exercise of all Warrants</w:t>
      </w:r>
    </w:p>
    <w:p>
      <w:pPr>
        <w:spacing w:after="0" w:line="162" w:lineRule="exact"/>
        <w:rPr>
          <w:sz w:val="20"/>
          <w:szCs w:val="20"/>
          <w:color w:val="auto"/>
        </w:rPr>
      </w:pPr>
    </w:p>
    <w:p>
      <w:pPr>
        <w:ind w:left="160" w:right="38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assuming exercise of all Warrants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Restrictions to sell</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ticker symbols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-268605</wp:posOffset>
            </wp:positionV>
            <wp:extent cx="7127875" cy="8259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 to 14,999,983 shares of Common Stock that may be issued upon exercise of 14,999,983 Public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receive up to an aggregate of approximately $172,499,805 from the exercise of the Public Warrants, assuming the exercise in full of all of the Public Warrants for cash. Unless we inform you otherwise in a prospectus supplement or free writing prospectus, we intend to use the net proceeds from the exercise of the Public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to 28,045,177 shares of Common Stock, consisting of: (1) up to 11,522,565 shares of Common Stock issued to certain SEE ID equity holders as merger consideration pursuant to the Business Combination; (2) up to 7,365,834 Founder Shares; (3) up to 1,310,000 Private Placement Shares; (4) up to 3,323,536 PIPE Shares; (5) up to 3,868,242 New Circle Shares; and (6) up to 655,000 shares of Common Stock issuable upon exercise of the Private Placement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655,000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or Private Placement Warrants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29,293,322 shares (as of April 6,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44,948,305 shares (as of April 6, 2026).</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securityholders were subject to certain restrictions on transfer until the termination of applicable lockup periods. See the section entitled “</w:t>
      </w:r>
      <w:r>
        <w:rPr>
          <w:rFonts w:ascii="Times New Roman" w:cs="Times New Roman" w:eastAsia="Times New Roman" w:hAnsi="Times New Roman"/>
          <w:sz w:val="18"/>
          <w:szCs w:val="18"/>
          <w:i w:val="1"/>
          <w:iCs w:val="1"/>
          <w:color w:val="auto"/>
        </w:rPr>
        <w:t>Plan of Distribution - Restrictions to Sell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6, 2026, there were approximately 190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current plans to pay cash dividends. The declaration, amount and payment of any future dividends on our Common Stock will be at the sole discretion of our board of directors (referred to herein as the “Board” or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DAIC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DAICW</w:t>
      </w:r>
    </w:p>
    <w:p>
      <w:pPr>
        <w:spacing w:after="0" w:line="200" w:lineRule="exact"/>
        <w:rPr>
          <w:sz w:val="20"/>
          <w:szCs w:val="20"/>
          <w:color w:val="auto"/>
        </w:rPr>
      </w:pPr>
    </w:p>
    <w:p>
      <w:pPr>
        <w:sectPr>
          <w:pgSz w:w="11900" w:h="16838" w:orient="portrait"/>
          <w:cols w:equalWidth="0" w:num="2">
            <w:col w:w="3120" w:space="420"/>
            <w:col w:w="7440"/>
          </w:cols>
          <w:pgMar w:left="440" w:top="927" w:right="47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27" w:right="47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New Circle under the ELOC Agreement, or the actual gross proceeds resulting from those sales. We may not have access to the full amount available under the ELOC Agreement.</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ELOC Agreement provides that we may sell up to an aggregate of $50 million shares of Common Stock to the New Circle, only 3,868,242 shares of Common Stock that may be issued to the New Circle under the ELOC Agreement remain and are being registered for resale by the New Circle under the registration statement that includes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elect to sell to New Circle all of the 3,868,242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it becomes necessary for us to issue and sell to New Circle under the ELOC Agreement more than the 3,868,242 shares of Common Stock that remain and are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a written notice to the Company, New Circle may from time to time increase (with such increase not effective until the sixty-first (61st) day after delivery of such notice) the Ownership Limitation to 9.99%. Any issuance and sale by us under the ELOC Agreement of a substantial amount of shares of our Common Stock in addition to the 3,868,242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year ended December 31, 2025, we identified the material weaknesses in our internal control over financial reporting related to the following for the years ended December 31, 2025 and 2024.</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Personnel and Financial Reporting Controls. </w:t>
      </w:r>
      <w:r>
        <w:rPr>
          <w:rFonts w:ascii="Times New Roman" w:cs="Times New Roman" w:eastAsia="Times New Roman" w:hAnsi="Times New Roman"/>
          <w:sz w:val="18"/>
          <w:szCs w:val="18"/>
          <w:color w:val="auto"/>
        </w:rPr>
        <w:t>Management determined that the Company does not currently maintain sufficient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material weaknesses noted above, for the year ended December 31, 2024, the Company reclassified its expense presentation by reallocating certain amounts previously reported as cost of goods sold to general and administrative, research and development, and sales and marketing expenses to better reflect the nature of the underlying costs. These reclassifications had no effect on total revenue, loss from operations, net loss, or shareholders’ equity (deficit) for any period 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the total change in cash, net loss, or previously reported balance sheet amounts.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prospectus to reflect these reclassifications as immaterial reclassifications to previously issued financial statements.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Calculation Controls</w:t>
      </w:r>
      <w:r>
        <w:rPr>
          <w:rFonts w:ascii="Times New Roman" w:cs="Times New Roman" w:eastAsia="Times New Roman" w:hAnsi="Times New Roman"/>
          <w:sz w:val="18"/>
          <w:szCs w:val="18"/>
          <w:color w:val="auto"/>
        </w:rPr>
        <w:t>. In addition, management identified a material weakness in the design of internal controls related to the review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calculation of SAFE notes performed by a third-party valuation specialist for the year ended December 31, 2024. The controls lacked the precision needed to detect inappropriate inputs that could materially impact valuation.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identified material weaknesses, our management concluded that our internal controls over financial reporting were not effective as of December 31, 2025 and 2024. The Company is actively working to develop and implement remediation plans related to the material weaknesses identified. Remediation efforts include enhancing the design and implementation of controls over the accounting for financial instruments and hiring additional qualified accounting personnel.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of $865,624 and working capital deficit of $1,730,095.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Operations-Liquidity and Capital Resources-Funding Requirements and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rapid growth makes it difficult to evaluate our future financial position and increases the risk that we will not continue to grow at or near historical rates.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largely a pre-revenue company, with revenue of $5,804,369 and $172,661 for the fiscal years ended December 31,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growth of our business in new use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most of our revenue has been derived from sales relating to research and development activities, including proof of concept demonstrations. In 2025, we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results of operations could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year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revenue and results of operations will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or preferences for their existing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switching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inexperience with or reluctance to adopt our solutions in their physical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help potential customers successfully deploy and use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existing partners or to attract new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engineering and research and development, sales and marketing, and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or the amendment of existing, laws, rules, or regulations that negatively impact the utility of, or that require difficult-to-implement changes to, our solutions;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attract new customers are not successful, our business, financial condition, and results of operations will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and expand our relationships with existing customers, our financial position and results of operations will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utilizing our solution or an economic downturn affecting their industry. A decrease in our renewal rate would have an adverse effect on our business, financial condition, and results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of market growth included in this prospectus may prove to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strategic initiatives or meet our long-term financial goals.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key supplier in Israel and the possibility of having to switch suppliers may adversely affect our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pipeline is immature, and as such, revenue forecasts and projections are likely to be unstable through fiscal year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is dependent in part on strategic relationships we develop and maintain with third parties.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business,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particularly large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relationships with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channel partners and retain existing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overall market that our solution addresses;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revenue;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performance degradation of our cloud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or cybersecurity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and regulations affecting our and our customers’ businesses or product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subscriptions or pricing changes upon any renewals of customer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alternative solutions from other vendors;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which could adversely affect their ability to purchase or pay for a subscription to use our 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future litigation or other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timing and success in introducing new features and Applications to the market, including integrations of our solution with additional third-party software and devices;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or any other change in the competitive dynamics of our industry, including consolidation among competitors, customers or strategic partners;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and realize the anticipated benefits of any future acquisitions of businesses, solutions,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businesses, solutions, or technologies and potential future charges for impairment of goodwill from acquired companies;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this prospectus.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related to third-party financing of our customers’ subscriptions to our Dot Cloud SaaS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qualified personnel, and in particular, our key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financial condition, and results of operations may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generate sufficient cash to service our indebtedness, and the terms of our new senior secured convertible facility could materially and adversely affect us.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the risk of product liability or warranty claims if our Dot Cloud SaaS platform or our devices fail, or are alleged to fail, to perform as expected, or if they result, or are alleged to result, in bodily injury or property damage. Certain technologies incorporated into our devices may increase the risk profile of these products. This risk may be heightened as we launch our first family of hardware products, since newly introduced products are more susceptible to quality issues during the initial launch and stabilization period. Although our experienced team is focused on mitigating potential product quality concerns, issues may arise despite these efforts.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maintain insurance coverage that we believe is appropriate for these risks, significant product liability claims could exceed our coverage limits, and insurance may not remain available on commercially reasonable terms, if at all. We may incur substantial costs to defend against product liability or warranty claims, and we cannot assure that we will not experience material losses in the future. In addition, if any of our devices are found, or alleged, to be defective, we may be required to conduct recalls, provide replacements or repairs, issue refunds, or otherwise address customer claims. The costs associated with warranties, repairs, replacements, recalls, or customer reimbursements could exceed our historical experience and materially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impacted by U.S. and global market and economic conditions adverse to industries that depend on physical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r current and future international business and operations involve a variety of risks, including:</w:t>
      </w:r>
    </w:p>
    <w:p>
      <w:pPr>
        <w:spacing w:after="0" w:line="225" w:lineRule="exact"/>
        <w:rPr>
          <w:sz w:val="20"/>
          <w:szCs w:val="20"/>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infrastructures by international businesses;</w:t>
      </w:r>
    </w:p>
    <w:p>
      <w:pPr>
        <w:spacing w:after="0" w:line="225" w:lineRule="exact"/>
        <w:rPr>
          <w:rFonts w:ascii="Times New Roman" w:cs="Times New Roman" w:eastAsia="Times New Roman" w:hAnsi="Times New Roman"/>
          <w:sz w:val="18"/>
          <w:szCs w:val="18"/>
          <w:color w:val="auto"/>
        </w:rPr>
      </w:pPr>
    </w:p>
    <w:p>
      <w:pPr>
        <w:jc w:val="both"/>
        <w:ind w:left="760" w:hanging="32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7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solution for specific countries;</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longer sales and payment cycles, and different pricing environments;</w:t>
      </w:r>
    </w:p>
    <w:p>
      <w:pPr>
        <w:spacing w:after="0" w:line="225" w:lineRule="exact"/>
        <w:rPr>
          <w:rFonts w:ascii="Times New Roman" w:cs="Times New Roman" w:eastAsia="Times New Roman" w:hAnsi="Times New Roman"/>
          <w:sz w:val="18"/>
          <w:szCs w:val="18"/>
          <w:color w:val="auto"/>
        </w:rPr>
      </w:pPr>
    </w:p>
    <w:p>
      <w:pPr>
        <w:ind w:left="760" w:right="2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including with respect to wage and hour laws, that make it harder to do business in certain regions such as Europe;</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61"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legal and compliance costs associated with international operations;</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61"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U.S. and non-U.S. export control laws and regulations, including Export Administration Regulations (EAR); or</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2"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or Compliance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Changes could be enacted in the future to increase the corporate tax rate, limit further the deductibility of interest or effect other changes that could have a material adverse effect on the Company’s business, results of operations and financial condition. 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requirements of applicable environmental legislation and regulation could have a material adverse effect on our revenue and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fundamentally in the data business, and as such have taken steps to use leading edge encryption and security measures in our IT deployments.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risk is real that our systems could be penetrated and cause business disruption and damage our brand in the marketplace.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Abuse or misuse of our internal platform controls and system tools could cause significant harm to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Interruptions or performance problems with either our technology and infrastructure or our data center hosting facilities could, among other things: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destruction or disruption of any of our critical business operations, controls, or procedures or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affect our ability to conduct normal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terminate their subscriptions;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issuing credits or paying penalties or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brand and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renewal rates or our ability to attract new customers;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solution to be perceived as not being secure.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could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or address the misappropriation of our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patents or patent applications will be enforceable or otherwise upheld as valid.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patents, trademarks, or other intellectual property rights that we have obtained or may obtain may be challenged by others or invalidated, circumvented, abandoned or lapse. As of December 31 2025, our patent portfolio consisted of 2 issued U.S. patents, and 2 U.S. patent applications pending for examination. As of December 31, 2025,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risks associated with the use of intellectual property may be increased as a result of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(“AI”) in our solution may result in reputational harm or liability.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subscriptions to our Dot Cloud SaaS platform and subject us to possible litigation.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Public Warrants may be highly volatile and could decline significantly.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presented elsewhere in this prospectus, and, among others, the following: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the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the Company, our directors, executive officers, principal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Common Stock have been, and are likely to be, declared and paid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3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the continued listing requirements of Nasdaq could result in a delisting of our Common Stock, which could have a material adverse effect on the liquidity of our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upgrading of our technology platform;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service, feature, and content introductions by us or our competitors or any other change in the competitive landscape of our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products and services, which could lead to lower revenue or increased costs,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expansion into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our revenue 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purchases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including content costs for past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insurance and consumer product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our Common Stock less attractive to investors.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JOBS Act provides that, so long as a company qualifies as an “emerging growth company,” it will,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our internal control over financial reporting is not effective, we may fail to detect errors or fraud on a timely basis, and our financial statements could be materially misstated.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A material weakness is a deficiency, or combination of deficiencies, in internal control over financial reporting such that there is a reasonable possibility that a material misstatement of our financial statements will not be prevented or detected on a timely basis. The existence of material weaknesses could adversely affect investor confidence in our reported financial information and our ability to access the capital markets.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forecasts of market growth and other projections included in this prospectus may prove to be inaccurate, and even if the markets in which we compete achieve the forecasted growth, we cannot assure you that our business will grow at a similar rate, if at all.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Growth forecasts and projections are subject to significant uncertainty and are based on assumptions and estimates that may not prove to be accurate. The forecasts in this 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9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securities by the Selling Securityholders.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Public Warrants for cash, we will receive an aggregate of approximately $172,499,805 but will not receive any proceeds from the sale of the shares of Common Stock issuable upon such exercise. We expect to use the net proceeds from the exercise of the Public Warrants, if any, for general corporate purposes. We will have broad discretion over the use of any proceeds from the exercise of the Public Warrants. There is no assurance that the holders of the Public Warrants will elect to exercise for cash any or all of such Public Warrants. To the extent that any Public Warrants are exercised on a “cashless basis,” the amount of cash we would receive from the exercise of the Public Warrants will decrease.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Common Stock underlying the Public Warrants offered hereby is determined by reference to the exercise price of the Warrants of $11.50 per share. The Public Warrants are listed on the Nasdaq under the symbol “DAICW.”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Common Stock or Warrants may be sold by the Selling Securityholders under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April 6, 2026, there were 29,293,322 shares of Common Stock issued and outstanding held of record by 190 holders, and warrants to purchase an aggregate of 15,654,983 shares of Common Stock outstanding held of record by 4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Factors—Risks Related to Our Business and Industry” or included elsewhere in this prospectus. These risks and uncertainties could cause actual results to differ materially from those projected in forward-looking statements contained in this prospectus or implied by past results and trends. Forward-looking statements are statements that attempt to forecast or anticipate future developments in our business, financial condition, or results of operations. These statements, like all statements in this prospectus, speak only as of their date (unless another date is indicated), and we undertake no obligation to update or revise these statements in light of future developments.)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prospectus,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adapt to operating as a public entity, is a natural and essential step.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small operations team will continue to grow as the demand increases from our maturing sales pipeline.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Overhead costs that are not directly attributable to a specific functional group are allocated based on relative usage. These costs include expenses related to warehouse lease and cloud hosting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short-term bridge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closing of the Business Combination, a lender provided the Company with a bridge loan in the aggregate principal amount of $2,850,000. Upon the closing of the Business Combination, the lender elected to convert a portion of the outstanding principal, totaling $2,456,500, into shares of the Company’s Common Stock. In connection with this conversion, the Company derecognized the related debt liability, issued shares of Common Stock, and recognized a loss on extinguishment of debt of $6,141,250, representing the excess of the fair value of the shares issued on the closing date over the carrying value of the debt extinguished.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assumed certain indebtedness of the SPAC in the principal amount of $1,400,000. A portion of this obligation, totaling $987,045, was subsequently repaid, and the Company recognized a gain on extinguishment of debt of $412,955. As a result of these transactions, the Company recognized a net loss on debt extinguishment of $5,728,295 upon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cost of goods sold, gross profit, and gross margin for the years ended December 31,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6"/>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5,804,349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5,631,708</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3,133,139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43,634</w:t>
            </w:r>
          </w:p>
        </w:tc>
        <w:tc>
          <w:tcPr>
            <w:tcW w:w="140" w:type="dxa"/>
            <w:vAlign w:val="bottom"/>
          </w:tcPr>
          <w:p>
            <w:pPr>
              <w:spacing w:after="0"/>
              <w:rPr>
                <w:sz w:val="20"/>
                <w:szCs w:val="20"/>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3,089,505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7,080.5%</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2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2,671,230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2,542,203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74.7</w:t>
            </w:r>
          </w:p>
        </w:tc>
        <w:tc>
          <w:tcPr>
            <w:tcW w:w="2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(28.7</w:t>
            </w:r>
          </w:p>
        </w:tc>
        <w:tc>
          <w:tcPr>
            <w:tcW w:w="3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3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$5.6 million, or 3,261.7%, for the year ended December 31, 2025 compared to the year ended December 31, 2024. The increase in revenue is primarily driven by higher hardware sales. Hardware implementation represents the initial step in a customer’s adoption of our SaaS subscription platform and contributed significantly to the overall growth in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by $3.1 million, or 7,080.5%, for the year ended December 31, 2025 compared to the year ended December 31, 2024. The increase was primarily attributable to higher materials costs, direct labor, and related manufacturing expenses associated with the growth in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Our gross margin was 46.0% for the year ended December 31, 2025 compared to 74.7% for the year ended December 31, 2024. The decrease in gross margin is primarily attributable to a shift in revenue mix year over year, with a greater proportion of 2025 revenue generated from hardware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$0.6 million, or 70.1%, for the year ended December 31, 2025 compared to the year ended December 31, 2024. The increases are primarily driven by our continued investment in innovation through engagement of software and hardware development contractors.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2,721,981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$0.9 million, or 34.9%, for the year ended December 31, 2025 compared to the year ended December 31, 2024. The increase reflects our continued pivot toward the market and was primarily driven by higher spending on digital marketing services and additional modules and users in our customer relationship management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6,764,453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1,563,328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$5.2 million, or 332.7%, for the year ended December 31, 2025 compared to the year ended December 31, 2024. The increases are primarily due to additional labor costs pertaining to the ramp up of the business as well as incremental expenses related to operating as a public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SAFE agreements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year ended December 31, 2025 and 2024:</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(17,368,415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(14,492,176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(2,876,239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5715</wp:posOffset>
            </wp:positionV>
            <wp:extent cx="156019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080"/>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19685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700"/>
        <w:spacing w:after="0"/>
        <w:tabs>
          <w:tab w:leader="none" w:pos="3000" w:val="left"/>
          <w:tab w:leader="none" w:pos="4020" w:val="left"/>
          <w:tab w:leader="none" w:pos="4420" w:val="left"/>
        </w:tabs>
        <w:rPr>
          <w:sz w:val="20"/>
          <w:szCs w:val="20"/>
          <w:color w:val="auto"/>
        </w:rPr>
      </w:pPr>
      <w:r>
        <w:rPr>
          <w:rFonts w:ascii="Times New Roman" w:cs="Times New Roman" w:eastAsia="Times New Roman" w:hAnsi="Times New Roman"/>
          <w:sz w:val="18"/>
          <w:szCs w:val="18"/>
          <w:color w:val="auto"/>
        </w:rPr>
        <w:t>$</w:t>
        <w:tab/>
        <w:t>23,334,626</w:t>
        <w:tab/>
        <w:t>$</w:t>
      </w:r>
      <w:r>
        <w:rPr>
          <w:sz w:val="20"/>
          <w:szCs w:val="20"/>
          <w:color w:val="auto"/>
        </w:rPr>
        <w:tab/>
      </w:r>
      <w:r>
        <w:rPr>
          <w:rFonts w:ascii="Times New Roman" w:cs="Times New Roman" w:eastAsia="Times New Roman" w:hAnsi="Times New Roman"/>
          <w:sz w:val="18"/>
          <w:szCs w:val="18"/>
          <w:color w:val="auto"/>
        </w:rPr>
        <w:t>4,602,950</w:t>
      </w:r>
    </w:p>
    <w:p>
      <w:pPr>
        <w:spacing w:after="0" w:line="27"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18"/>
          <w:szCs w:val="18"/>
          <w:color w:val="auto"/>
        </w:rPr>
        <w:t>23,752</w:t>
      </w:r>
      <w:r>
        <w:rPr>
          <w:sz w:val="20"/>
          <w:szCs w:val="20"/>
          <w:color w:val="auto"/>
        </w:rPr>
        <w:tab/>
      </w:r>
      <w:r>
        <w:rPr>
          <w:rFonts w:ascii="Times New Roman" w:cs="Times New Roman" w:eastAsia="Times New Roman" w:hAnsi="Times New Roman"/>
          <w:sz w:val="18"/>
          <w:szCs w:val="18"/>
          <w:color w:val="auto"/>
        </w:rPr>
        <w:t>4,239,500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5715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3020"/>
        <w:spacing w:after="0"/>
        <w:tabs>
          <w:tab w:leader="none" w:pos="4320" w:val="left"/>
        </w:tabs>
        <w:rPr>
          <w:sz w:val="20"/>
          <w:szCs w:val="20"/>
          <w:color w:val="auto"/>
        </w:rPr>
      </w:pPr>
      <w:r>
        <w:rPr>
          <w:rFonts w:ascii="Times New Roman" w:cs="Times New Roman" w:eastAsia="Times New Roman" w:hAnsi="Times New Roman"/>
          <w:sz w:val="18"/>
          <w:szCs w:val="18"/>
          <w:color w:val="auto"/>
        </w:rPr>
        <w:t>17,368,415</w:t>
      </w:r>
      <w:r>
        <w:rPr>
          <w:sz w:val="20"/>
          <w:szCs w:val="20"/>
          <w:color w:val="auto"/>
        </w:rPr>
        <w:tab/>
      </w:r>
      <w:r>
        <w:rPr>
          <w:rFonts w:ascii="Times New Roman" w:cs="Times New Roman" w:eastAsia="Times New Roman" w:hAnsi="Times New Roman"/>
          <w:sz w:val="18"/>
          <w:szCs w:val="18"/>
          <w:color w:val="auto"/>
        </w:rPr>
        <w:t>14,492,176</w:t>
      </w:r>
    </w:p>
    <w:p>
      <w:pPr>
        <w:spacing w:after="0" w:line="9" w:lineRule="exact"/>
        <w:rPr>
          <w:sz w:val="20"/>
          <w:szCs w:val="20"/>
          <w:color w:val="auto"/>
        </w:rPr>
      </w:pPr>
    </w:p>
    <w:p>
      <w:pPr>
        <w:ind w:left="2960"/>
        <w:spacing w:after="0"/>
        <w:tabs>
          <w:tab w:leader="none" w:pos="5080" w:val="left"/>
        </w:tabs>
        <w:rPr>
          <w:sz w:val="20"/>
          <w:szCs w:val="20"/>
          <w:color w:val="auto"/>
        </w:rPr>
      </w:pPr>
      <w:r>
        <w:rPr>
          <w:rFonts w:ascii="Times New Roman" w:cs="Times New Roman" w:eastAsia="Times New Roman" w:hAnsi="Times New Roman"/>
          <w:sz w:val="18"/>
          <w:szCs w:val="18"/>
          <w:color w:val="auto"/>
        </w:rPr>
        <w:t>(40,726,793)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14605</wp:posOffset>
            </wp:positionV>
            <wp:extent cx="71323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 w:lineRule="exact"/>
        <w:rPr>
          <w:sz w:val="20"/>
          <w:szCs w:val="20"/>
          <w:color w:val="auto"/>
        </w:rPr>
      </w:pPr>
    </w:p>
    <w:p>
      <w:pPr>
        <w:jc w:val="both"/>
        <w:ind w:left="2700"/>
        <w:spacing w:after="0"/>
        <w:tabs>
          <w:tab w:leader="none" w:pos="3740" w:val="left"/>
          <w:tab w:leader="none" w:pos="4020" w:val="left"/>
          <w:tab w:leader="none" w:pos="4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w:t>
        <w:tab/>
        <w:t>23,334,626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43180</wp:posOffset>
            </wp:positionV>
            <wp:extent cx="15601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liability balance of SAFE agreements for the year ended December 31, 2025, compared to December 31, 2024, was primarily attributable to the conversion of the SAFE notes into company shares upon the closing of the Business Combination. Upon conversion, the related liabilities were reclassified to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 (“FASB”)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consolidated financial statements are issued.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cash of $865,624 and $721,032, respectively, deficits in working capital of $1,730,095 and $1,215,988, respectively, and accumulative deficits of $61,451,334 and $24,733,263,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December 31, 2025, and therefore was not recorded on the Company’s balance sheet as of that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October 13, December 30, and December 31, 2025, the Company issued purchase notices for the sale of 30,000, 500,000, and 1,000,000 shares, respectively, at settlement prices of $2.62, $0.32, and $0.32 per share, resulting in total cash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(13,250,533)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(1,829,739)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(834,220)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15,224,864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was $13.3 million for the year ended December 31, 2025. This consisted of a net loss of $36.7 million, adjusted for non-cash charges of $24.4 million and net changes in operating assets and liabilities of $1.0 million. The non-cash charges were primarily driven by a $17.4 million change in the fair value of SAFE notes and a $5.7 million loss on debt extinguishment. Changes in operating assets and liabilities were primarily attributable to increases in accounts receivable of $3.6 million and inventory of $1.4 million, partially offset by increases in accounts payable of $3.4 million and accrued expenses of $1.8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$3.3 million for the year ended December 31, 2024. This consisted of a net loss of $21.5 million, adjusted for non-cash charges of approximately $14.7 million and net changes in operating assets and liabilities of approximately $3.5 million. Non-cash charges were primarily driven by a $14.5 million change in the fair value of SAFE notes. Changes in operating assets and liabilities were primarily attributable to an increase in deferred revenue of $2.7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$1.8 million for the year ended December 31, 2025, which consisted of capital expenditures for internal-use software development costs of $1.2 million and equipment purchases of $0.6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$0.8 million for the year ended December 31, 2024,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$15.2 million for the year ended December 31, 2025. This consisted primarily of proceeds from PIPE investments of $10.8 million and proceeds from the trust account of $5.6 million, as well as borrowings from short-term loans of $1.8 million, and bridge loans of $2.9 million. These inflows were partially offset by repayments of bridge and short-term loans totaling $1.4 million and the purchase of common stock of $5.0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$4.2 million for the year ended December 31, 2024, which consisted of proceeds from issuance of SAFE agreements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and non-cancelable purchase commitments as of December 31, 2025. For additional discussion on our leases and other commitments, refer to Note 13 - Leases and Note 17 - Commitments and Contingencies to our consolidated financial statements for the year ended December 31, 2025 included elsewhere in this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we believe that the following accounting policies are the most critical to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FASB ASC 815-40, Contracts in Entity’s Own Equity,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Convertible Debt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debt instruments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Warrants and Embedded Derivatives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therefore require separation from the host contract. The embedded call option permits the Company, upon a change in control, to call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recapitalization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promised goods or services are transferred to customers in an amount that reflects the consideration to which we expect to be entitled in exchange for those goods or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consolidated financial statements as of and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CID Holdco offers a SAAS platform for customer subscriptions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such as:</w:t>
      </w:r>
    </w:p>
    <w:p>
      <w:pPr>
        <w:spacing w:after="0" w:line="252"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inspection - Inspecting a vehicle as it is approaching to know when a high value asset is on board before it leaves a secure area allows operators to respond, halt the vehicle, and investigate. Customer security will know what is leaving and whether it is scheduled to leave. This capability can be used at gates, docks or storage locations to automatically grant access and record movements for accountability.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tracking - CID Holdco provides a unique capability to dynamically sweep item inventory with roving, inexpensive readers powered by batteries. Due to their low cost and wireless capability, these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items and/or personnel - Using RF tags or access cards, CID Holdco systems automatically process inbound and outbound personnel or items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 and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collision avoidance -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short, CID Holdco brings a next generation capability to know when, where and why assets move in the enterprise, providing an opportunity to apply AI to complex edge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robust pipeline of software development projects underway. The costs associated with these projects are largely the cost of human resources associated with the project, with some additional minor costs related to use costs for infrastructure, tools and platforms that support the development.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its revenue from a limited number of customers, resulting in customer concentration. A majority of revenue is derived from a small group of customers, with one customer representing a significant portion of total revenue. The Company’s accounts receivable balances are also concentrated among a limited number of customers, with a significant portion attributable to one or more primary customers. The Company monitors the credit worthiness of its customers on an ongoing basis and believes its credit risk is limited due to the financial strength and payment history of these customers. Management does not expect material losses from these concentrations and has not recorded an allowance for credit losses, as all receivables are considered highly collectible.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grow revenue depends on enhancing our Dot Cloud SaaS platform and introducing new solutions that meet evolving customer needs and comply with applicable governmental regulations. The development and launch of new offerings are complex and subject to risks, including regulatory changes, competitive pressures, technology integration challenges, and market acceptance. Our business is also subject to existing laws and regulations that govern data privacy, security, and industry-specific compliance requirements, which may increase operating costs, limit how our solutions are delivered, or require ongoing modifications to our platform. Failure to comply with current or future governmental regulations could adversely affect our operations, reputation,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For customers that need to know when, where and why assets and personnel are moving, and to have assurance that orders are progressing, CID Holdco provides a variety of solutions across many use cases, including the following: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Management and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and Construction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Military Operations and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Airport and Aviation Ground Support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CID Holdco solutions allow customers to create a connected network of vehicles, ground support equipment (“GSE”) and personnel with more control over the coordination of airport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Forklift Collision Warning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Logistics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Yard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Artificial Intelligence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 Cameras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Rules Engine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 to implement Enhanced Workflows.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based in the United States with four existing or planned locations of activity: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 Vegas, Nevada — hosts our Go-To-Market team including our Sales, Marketing and Professional Services leadership, a Western Experience Center for demonstrations as well as customer and channel training facilities.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Bethesda, Maryland — hosts our General &amp; Administration leadership team, an Eastern Experience Center for demonstrations as well as customer and channel training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Manati, Puerto Rico — the site of our hardware manufacturing, a small factory producing selected tags and bridges that are specific to the unique tracking system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Leaders in Tracking and AutoID Systems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Zebra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Samsara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Niche or Regional Tracking System Players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is crowded with small players as is typical in periods of generational transition. Many are attempting to apply IoT technology in a specific way or focused on a particular vertical application.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They include US based companies, such as Link Labs, Cognosos, True Spot, Radiant RFID, Savi, and Inpixion; and international companies such as Blueiot, Dusun, Mokosmart, Milesight, Digital Matter, Abeeway, Kontakt.io, Ubisense, Sensolus, and Litum. 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industry specific players, particularly in Health Care, where the requirements can be quite specific and the use cases focused. Competition is from all over the world, with many of the most important competitors centered in the US market. Many of the devices designed by these players are made in China via contractors. There is also a wide technology spread. Some specialize in precise location services using UWB. Some are strictly BLE or LoRA shops.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also passive RFID and barcode system companies active in the market. Their legacy footprint represents one of the best market opportunities to convert.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Automation and Sensor Companies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automation players such as Honeywell, Siemens, Rockwell Automation, Mitsubishi, Panasonic, Omron, Sick, Schneider Electric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is more often seen as complementary to the solutions of the Company. Their channel partners are prime targets to take on the solution set provided by the Company to augment existing offerings from their primary line card.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MES or WMS Players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group includes Korber, SAP, Microsoft, Oracle, Blue Yonder, Infor, and Manhattan Associates. They can compete with the Company in some applications but are most often commercial partners in the solution. The Company will act as an edge module that is integrated into their platform for enhanced visibility, safety, assurance, or execution in the system.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and Integrator Vendor Consultants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IBM, Cisco, Juniper Networks, JMA, Sierra Wireless, Dell, Arista, HPE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Workflow Automation, Integration &amp; AI Vendor Consultants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 IoT system.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Competitive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in the markets in which we operate include: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Implementation </w:t>
      </w:r>
      <w:r>
        <w:rPr>
          <w:rFonts w:ascii="Times New Roman" w:cs="Times New Roman" w:eastAsia="Times New Roman" w:hAnsi="Times New Roman"/>
          <w:sz w:val="18"/>
          <w:szCs w:val="18"/>
          <w:color w:val="auto"/>
        </w:rPr>
        <w:t>— while this is an emerging area, we are investing heavily in this battleground feature. We believe that soon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aspect of the buying decision will be the extent to which AI has been implemented to simplify the complex logistics processes and intervene when needed to enable greater enterprise performance.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TCO (Total Cost of Ownership) </w:t>
      </w:r>
      <w:r>
        <w:rPr>
          <w:rFonts w:ascii="Times New Roman" w:cs="Times New Roman" w:eastAsia="Times New Roman" w:hAnsi="Times New Roman"/>
          <w:sz w:val="18"/>
          <w:szCs w:val="18"/>
          <w:color w:val="auto"/>
        </w:rPr>
        <w:t>— Our systems are intended to run for decades in an enterprise, with costs over that time playing a key role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buying decision. The ability for the customer to extend the system easily, not be subject to custom programming charges, avoid proprietary devices and keep pace with data structure and security changes is an important competitive advantage.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ROI (Return on Investment) </w:t>
      </w:r>
      <w:r>
        <w:rPr>
          <w:rFonts w:ascii="Times New Roman" w:cs="Times New Roman" w:eastAsia="Times New Roman" w:hAnsi="Times New Roman"/>
          <w:sz w:val="18"/>
          <w:szCs w:val="18"/>
          <w:color w:val="auto"/>
        </w:rPr>
        <w:t>— Our value to the enterprise vs the benefit is part of every buy decision. This includes the total cost of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Accuracy and Reliability </w:t>
      </w:r>
      <w:r>
        <w:rPr>
          <w:rFonts w:ascii="Times New Roman" w:cs="Times New Roman" w:eastAsia="Times New Roman" w:hAnsi="Times New Roman"/>
          <w:sz w:val="18"/>
          <w:szCs w:val="18"/>
          <w:color w:val="auto"/>
        </w:rPr>
        <w:t>— many competitors advertise pinpoint location accuracy to win customers. However, most processes do not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Services </w:t>
      </w:r>
      <w:r>
        <w:rPr>
          <w:rFonts w:ascii="Times New Roman" w:cs="Times New Roman" w:eastAsia="Times New Roman" w:hAnsi="Times New Roman"/>
          <w:sz w:val="18"/>
          <w:szCs w:val="18"/>
          <w:color w:val="auto"/>
        </w:rPr>
        <w:t>— The processes that we impact are critical to the functioning of an enterprise. To commit to this new technology, users need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Friendly country sourcing </w:t>
      </w:r>
      <w:r>
        <w:rPr>
          <w:rFonts w:ascii="Times New Roman" w:cs="Times New Roman" w:eastAsia="Times New Roman" w:hAnsi="Times New Roman"/>
          <w:sz w:val="18"/>
          <w:szCs w:val="18"/>
          <w:color w:val="auto"/>
        </w:rPr>
        <w:t>— So many competitors rely on Chinese or Taiwan sourcing, excluding them from consideration for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Military contracts and making them less desirable for private sector selection. Sourcing from DFAR compliant countries and making our core components in the USA positions us particularly well for the crucial US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Focused Customer Acquisition: </w:t>
      </w:r>
      <w:r>
        <w:rPr>
          <w:rFonts w:ascii="Times New Roman" w:cs="Times New Roman" w:eastAsia="Times New Roman" w:hAnsi="Times New Roman"/>
          <w:sz w:val="18"/>
          <w:szCs w:val="18"/>
          <w:color w:val="auto"/>
        </w:rPr>
        <w:t>With a rapidly digitizing market, we believe that there is a significant opportunity to continue to grow our customer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 promote our capabilities. We plan to continually invest in our sales and marketing coverage, including channel partners, and leverage our go-to-market model to continue acquiring new customers.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Within Our Existing Customer Base. </w:t>
      </w:r>
      <w:r>
        <w:rPr>
          <w:rFonts w:ascii="Times New Roman" w:cs="Times New Roman" w:eastAsia="Times New Roman" w:hAnsi="Times New Roman"/>
          <w:sz w:val="18"/>
          <w:szCs w:val="18"/>
          <w:color w:val="auto"/>
        </w:rPr>
        <w:t>Once we solve the first problem for our customers, we see a significant opportunity to expand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within that same account. This includes increasing the number of physical assets enrolled as well as expanding across our customers’ multiple sites and divisions.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9" w:name="page70"/>
    <w:bookmarkEnd w:id="6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Customer-centric Innovation and Rapid Product Releases. </w:t>
      </w:r>
      <w:r>
        <w:rPr>
          <w:rFonts w:ascii="Times New Roman" w:cs="Times New Roman" w:eastAsia="Times New Roman" w:hAnsi="Times New Roman"/>
          <w:sz w:val="18"/>
          <w:szCs w:val="18"/>
          <w:color w:val="auto"/>
        </w:rPr>
        <w:t>Our architecture was designed as a platform from the beginning to enable fast 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Channel development. </w:t>
      </w:r>
      <w:r>
        <w:rPr>
          <w:rFonts w:ascii="Times New Roman" w:cs="Times New Roman" w:eastAsia="Times New Roman" w:hAnsi="Times New Roman"/>
          <w:sz w:val="18"/>
          <w:szCs w:val="18"/>
          <w:color w:val="auto"/>
        </w:rPr>
        <w:t>Our vision is to be a channel focused company. Rapid acquisition of targeted channel partners in all of the global markets will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metric. Our unique technology, very attractive commercial model, as well as the training and support capability we offer will drive channel acquisition.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Expand Technology Partnerships and Integrations. </w:t>
      </w:r>
      <w:r>
        <w:rPr>
          <w:rFonts w:ascii="Times New Roman" w:cs="Times New Roman" w:eastAsia="Times New Roman" w:hAnsi="Times New Roman"/>
          <w:sz w:val="18"/>
          <w:szCs w:val="18"/>
          <w:color w:val="auto"/>
        </w:rPr>
        <w:t>Our use of COTS devices and integration with existing software for many of our solutions makes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Expand Internationally. </w:t>
      </w:r>
      <w:r>
        <w:rPr>
          <w:rFonts w:ascii="Times New Roman" w:cs="Times New Roman" w:eastAsia="Times New Roman" w:hAnsi="Times New Roman"/>
          <w:sz w:val="18"/>
          <w:szCs w:val="18"/>
          <w:color w:val="auto"/>
        </w:rPr>
        <w:t>A key focus of our company is to continue to expand our global reach. In the short term we are already expanding channel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and expect to form a sales company in Southern Germany or Northern Switzerland next year. To support our offshore engineering team, add customer support capability and some sales opportunities already emerging in the region, we also plan to form an Indian subsidiary in 2026. Note that our product platforms were designed from the outset to meet international standards and regulations.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Monetizing data streams. </w:t>
      </w:r>
      <w:r>
        <w:rPr>
          <w:rFonts w:ascii="Times New Roman" w:cs="Times New Roman" w:eastAsia="Times New Roman" w:hAnsi="Times New Roman"/>
          <w:sz w:val="18"/>
          <w:szCs w:val="18"/>
          <w:color w:val="auto"/>
        </w:rPr>
        <w:t>As a data producer, the Company has access to valuable data that is of interest to industry analysts, financial markets,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Note that it is likely that we will also look to accelerate growth by acquisition. Potential targets are being evaluated based on the extent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they can help us in one or more of the strategies’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Supply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agreements in place with Wiliot, the company which provides our chip and passive labels for tracking and Arshon Technology Inc.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 order chips from Wiliot and from Identiv. Identiv is recognized as one of the world’s largest producers of specialty RFID tags, inlays and labels. In fact, Identiv is the main supplier for Wiliot.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(the “Arshon Agreement”) between CID Holdco, Inc. (Client) and Arshon (Contractor) outlines several material terms, including the rights and obligations of both parties, as well as termination and payment provisions. Arshon is responsible for providing services such as designing and developing Perth PCBs, including schematics, prototypes, production boards, and test jigs. Deliverables include Gerber files, BOM, schematics, and PCBs. These services are to be performed independently, with Arshon taking responsibility for reporting compensation as income and complying with all applicable laws. We are obligated to provide payments as outlined in the Statement of Work (SOW) and reimburse pre-approved travel and related expenses. Intellectual property rights for all deliverables created during the performance of services are assigned to the Company, and Arshon is required to maintain confidentiality of all information we provide, and to return or destroy such information upon termination of the Arshon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The Arshon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Arshon is required to return all work products and confidential information, while we must pay any accrued but unpaid fees.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 terms of the agreement (the “Wiliot Agreement”) between Wiliot Ltd. and CID Holdco Inc. dba Dot AI Corporation include key rights, obligations, termination provisions, and payment terms. Under the Wiliot Agreement, Wiliot grants the Company non-exclusive rights to promote, market, and resell Wiliot’s IoT Pixels, Hardware, and Cloud subscriptions as part of an Integrated Solution. The Company also has the right to provide professional services related to Wiliot’s products. The Company is required to maintain certification and compliance with integration requirements while ensuring customer relationships align with the agreement’s terms. Intellectual property rights remain with Wiliot for its products and solutions, while the Company retains rights to its own developments based on Wiliot’s intellectual property with proper attribution.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Wiliot Agreement can be terminated under several conditions, including mutual convenience with 90 days’ notice, material breach not remedied within 30 days, insolvency, or bankruptcy. Upon termination, the Company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Wiliot Agreement emphasizes a collaborative yet clearly delineated partnership, protecting both parties’ intellectual property and operational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Wiliot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Assembly &amp;</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EU</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India</w:t>
            </w:r>
          </w:p>
        </w:tc>
      </w:tr>
      <w:tr>
        <w:trPr>
          <w:trHeight w:val="245"/>
        </w:trPr>
        <w:tc>
          <w:tcPr>
            <w:tcW w:w="980" w:type="dxa"/>
            <w:vAlign w:val="bottom"/>
          </w:tcPr>
          <w:p>
            <w:pPr>
              <w:spacing w:after="0"/>
              <w:rPr>
                <w:sz w:val="21"/>
                <w:szCs w:val="21"/>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Admin</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Corporate HQ</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Systems Lab</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r>
      <w:tr>
        <w:trPr>
          <w:trHeight w:val="198"/>
        </w:trPr>
        <w:tc>
          <w:tcPr>
            <w:tcW w:w="9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17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Bethesda, Maryland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Las Vegas,</w:t>
            </w:r>
          </w:p>
        </w:tc>
        <w:tc>
          <w:tcPr>
            <w:tcW w:w="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Worcester,</w:t>
            </w:r>
          </w:p>
        </w:tc>
        <w:tc>
          <w:tcPr>
            <w:tcW w:w="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Manati,</w:t>
            </w:r>
          </w:p>
        </w:tc>
        <w:tc>
          <w:tcPr>
            <w:tcW w:w="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Germany or</w:t>
            </w:r>
          </w:p>
        </w:tc>
        <w:tc>
          <w:tcPr>
            <w:tcW w:w="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Bangalore, India</w:t>
            </w:r>
          </w:p>
        </w:tc>
      </w:tr>
      <w:tr>
        <w:trPr>
          <w:trHeight w:val="234"/>
        </w:trPr>
        <w:tc>
          <w:tcPr>
            <w:tcW w:w="9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Massachusetts</w:t>
            </w:r>
          </w:p>
        </w:tc>
        <w:tc>
          <w:tcPr>
            <w:tcW w:w="1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Puerto Rico</w:t>
            </w:r>
          </w:p>
        </w:tc>
        <w:tc>
          <w:tcPr>
            <w:tcW w:w="1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Switzerland</w:t>
            </w:r>
          </w:p>
        </w:tc>
        <w:tc>
          <w:tcPr>
            <w:tcW w:w="1460" w:type="dxa"/>
            <w:vAlign w:val="bottom"/>
            <w:shd w:val="clear" w:color="auto" w:fill="CCEEFF"/>
          </w:tcPr>
          <w:p>
            <w:pPr>
              <w:spacing w:after="0"/>
              <w:rPr>
                <w:sz w:val="20"/>
                <w:szCs w:val="20"/>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8"/>
                <w:szCs w:val="18"/>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1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63 months</w:t>
            </w:r>
          </w:p>
        </w:tc>
        <w:tc>
          <w:tcPr>
            <w:tcW w:w="1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annual sub-lease</w:t>
            </w:r>
          </w:p>
        </w:tc>
        <w:tc>
          <w:tcPr>
            <w:tcW w:w="1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monthly lease</w:t>
            </w:r>
          </w:p>
        </w:tc>
        <w:tc>
          <w:tcPr>
            <w:tcW w:w="1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monthly lease</w:t>
            </w:r>
          </w:p>
        </w:tc>
        <w:tc>
          <w:tcPr>
            <w:tcW w:w="1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TBD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Lessor</w:t>
            </w:r>
          </w:p>
        </w:tc>
        <w:tc>
          <w:tcPr>
            <w:tcW w:w="188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IN-REL 7500 OGR,</w:t>
            </w:r>
          </w:p>
        </w:tc>
        <w:tc>
          <w:tcPr>
            <w:tcW w:w="17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POPE</w:t>
            </w:r>
          </w:p>
        </w:tc>
        <w:tc>
          <w:tcPr>
            <w:tcW w:w="17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18 Phoenix Park LLC</w:t>
            </w:r>
          </w:p>
        </w:tc>
        <w:tc>
          <w:tcPr>
            <w:tcW w:w="17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Cruce Davila</w:t>
            </w: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LLC</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TECHNOLOGIES</w:t>
            </w: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Development LLC</w:t>
            </w: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4"/>
        </w:trPr>
        <w:tc>
          <w:tcPr>
            <w:tcW w:w="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Monthly</w:t>
            </w:r>
          </w:p>
        </w:tc>
        <w:tc>
          <w:tcPr>
            <w:tcW w:w="1760" w:type="dxa"/>
            <w:vAlign w:val="bottom"/>
            <w:shd w:val="clear" w:color="auto" w:fill="CCEEFF"/>
          </w:tcPr>
          <w:p>
            <w:pPr>
              <w:jc w:val="right"/>
              <w:ind w:right="510"/>
              <w:spacing w:after="0" w:line="194" w:lineRule="exact"/>
              <w:rPr>
                <w:sz w:val="20"/>
                <w:szCs w:val="20"/>
                <w:color w:val="auto"/>
              </w:rPr>
            </w:pPr>
            <w:r>
              <w:rPr>
                <w:rFonts w:ascii="Times New Roman" w:cs="Times New Roman" w:eastAsia="Times New Roman" w:hAnsi="Times New Roman"/>
                <w:sz w:val="18"/>
                <w:szCs w:val="18"/>
                <w:color w:val="auto"/>
              </w:rPr>
              <w:t>$7,263</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90"/>
              <w:spacing w:after="0" w:line="194" w:lineRule="exact"/>
              <w:rPr>
                <w:sz w:val="20"/>
                <w:szCs w:val="20"/>
                <w:color w:val="auto"/>
              </w:rPr>
            </w:pPr>
            <w:r>
              <w:rPr>
                <w:rFonts w:ascii="Times New Roman" w:cs="Times New Roman" w:eastAsia="Times New Roman" w:hAnsi="Times New Roman"/>
                <w:sz w:val="18"/>
                <w:szCs w:val="18"/>
                <w:color w:val="auto"/>
              </w:rPr>
              <w:t>$1,280</w:t>
            </w:r>
          </w:p>
        </w:tc>
        <w:tc>
          <w:tcPr>
            <w:tcW w:w="6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510"/>
              <w:spacing w:after="0" w:line="194" w:lineRule="exact"/>
              <w:rPr>
                <w:sz w:val="20"/>
                <w:szCs w:val="20"/>
                <w:color w:val="auto"/>
              </w:rPr>
            </w:pPr>
            <w:r>
              <w:rPr>
                <w:rFonts w:ascii="Times New Roman" w:cs="Times New Roman" w:eastAsia="Times New Roman" w:hAnsi="Times New Roman"/>
                <w:sz w:val="18"/>
                <w:szCs w:val="18"/>
                <w:color w:val="auto"/>
              </w:rPr>
              <w:t>$2,060</w:t>
            </w:r>
          </w:p>
        </w:tc>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rPr>
              <w:t>$9,333</w:t>
            </w:r>
          </w:p>
        </w:tc>
        <w:tc>
          <w:tcPr>
            <w:tcW w:w="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8"/>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 Intellectual Property” for a discussion of 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other jurisdictions and devote considerable resources to compliance with these laws and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Government Regulation” for additional information about the laws and regulations to which we are subject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dedicated to protecting and securing the data of our customers as part of our overall data protection and privacy program. 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Government Regulation” for additional information about the laws and regulations to which we are subject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been made aware of a complaint (the “Complaint”) filed by William Reny (“Plaintiff”), a greater than five percent (5%) holder of the Company’s outstanding common stock, par value $0.0001 per share, against SEE ID, Charles Maddox and Ed Nabrotzky, each a director of SEE ID, and Does 1-20 (collectively with SEE ID, Mr. Maddox and Mr. Nabrotzky, the “Defendants”), in the District Court of Clark County, Nevada.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 Except as required by law, the Company does not intend to comment further on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the closing of the PIPE Financing. The PIPE Financing closed substantially concurrently with the closing of the Business Combination (the “Closing”).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to approve the Business Combination, holders of 2,000 shares of SUAC’s Class A Common Stock sold in its initial public offering exercised their right to redeem those shares for cash at a price of approximately $11.00 per share, for an aggregate of approximately $22,000. The per share redemption price of approximately $11.00 for public shareholders electing redemption was paid out of SUAC’s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Circle Equity Line of Credit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the Company entered into a Share Purchase Agreement (the “ELOC Agreement”) with New Circle Principal Investments LLC, a Delaware limited liability company (“New Circle”), pursuant to which New Circle has committed to purchase, subject to certain limitations, up to $50 million shares of the Company’s Common Stock. In connection with the ELOC Agreement, the Company also entered into a registration rights agreement with New Circle and previously filed a separate resale registration statement covering up to 5,524,624 shares issuable under the ELOC Agreement. 3,868,242 shares remain issuable under the ELOC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use of the ELOC Agreement will depend on market conditions, our trading price and volume, and our liquidity needs, and could be dilutive to existing stockholders and place downward pressure on our stock price. Only 3,868,242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will be used for working capital and general corporate purposes, including the repayment of debt.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delivered purchase notices for 30,000, 500,000, and 1,000,000 shares at settlement prices of $2.62, $0.32, and $0.32 per share, respectively, resulting in gross cash proceeds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 Subsequent to December 31, 2025, on February 10, 2026, the Company delivered a purchase notice for 20,000 shares at a settlement price of $0.26 per share, resulting in gross cash proceeds of $5,164. Similar to the purchase notices described above, because these shares were issued to New Circle at a price determined using a discounted VWAP formula, the cash proceeds received were below the fair value of the shares on the respective issuance 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Loan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34"/>
        </w:trPr>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 (Class 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Ed Nabrotzky, age 59, </w:t>
      </w:r>
      <w:r>
        <w:rPr>
          <w:rFonts w:ascii="Times New Roman" w:cs="Times New Roman" w:eastAsia="Times New Roman" w:hAnsi="Times New Roman"/>
          <w:sz w:val="18"/>
          <w:szCs w:val="18"/>
          <w:color w:val="auto"/>
        </w:rPr>
        <w:t>has served as a director of CID Holdco since 2025 and as Chief Executive Officer of the Company since its formation in 2020.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Nabrotzky is a co-founder of the Company. Prior to co-founding the Company, Mr. Nabrotzky served as President of Litum from January 2022 to August 2022. From December 2019 to June 2022, he served as an Adjunct Faculty Member at the Simon Business School, University of Rochester. From January 2019 to October 2021, he served as Director, Sales &amp; Strategy at Panasonic North America. From September 2011 to January 2019, he served as Chief Solutions Officer at Omni-ID. Earlier in his career, Mr. Nabrotzky served as President of Dynamic e-Horizons Inc. from August 2009 to March 2012, held product marketing leadership roles at Molex from January 2006 to December 2009, and served as Vice President &amp; General Manager at Woodhead Industries Inc. from April 1998 to December 2006. Mr. Nabrotzky has more than 25 years of experience in technology development, industrial communications, software systems and executive leadership. He has held executive leadership roles in both public and private companies with responsibility spanning sales, marketing, operations, engineering and strategy. Mr. Nabrotzky is listed as an inventor on five patents in related technologies and has international management experience across Europe, India, Singapore, China and Japan. He has also served on executive teams involved in four prior successful acquisitions in the industrial communications and software systems sectors. Mr. Nabrotzky holds a B. Sc. in Computer Science from Western University and an MBA from the Ivey Business School at Western University. He is currently a Doctoral Candidate in Technology Management at Indiana State University and has completed executive post-graduate studies at the Center for Creative Leadership, Harvard and MIT.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Charlie Maddox, age 44, </w:t>
      </w:r>
      <w:r>
        <w:rPr>
          <w:rFonts w:ascii="Times New Roman" w:cs="Times New Roman" w:eastAsia="Times New Roman" w:hAnsi="Times New Roman"/>
          <w:sz w:val="18"/>
          <w:szCs w:val="18"/>
          <w:color w:val="auto"/>
        </w:rPr>
        <w:t>has served as the Company’s Chief Operating and Chief Financial Officer since April 2024. He previously was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 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Vijayan Nambiar, age 48, </w:t>
      </w:r>
      <w:r>
        <w:rPr>
          <w:rFonts w:ascii="Times New Roman" w:cs="Times New Roman" w:eastAsia="Times New Roman" w:hAnsi="Times New Roman"/>
          <w:sz w:val="18"/>
          <w:szCs w:val="18"/>
          <w:color w:val="auto"/>
        </w:rPr>
        <w:t>has served as Chief Technology Officer of CID Holdco since May 2022. Prior to joining the Company, Mr. Nambiar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Jeff Saling, age 68, </w:t>
      </w:r>
      <w:r>
        <w:rPr>
          <w:rFonts w:ascii="Times New Roman" w:cs="Times New Roman" w:eastAsia="Times New Roman" w:hAnsi="Times New Roman"/>
          <w:sz w:val="18"/>
          <w:szCs w:val="18"/>
          <w:color w:val="auto"/>
        </w:rPr>
        <w:t>has served as a member of the Board since June 2025. Mr. Saling is a serial entrepreneur, seasoned executive, and prolific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over 30 years of experience in launching, scaling, and exiting startups in the SaaS and cloud domains. He serves as currently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Janice Bryant Howroyd, age 72, </w:t>
      </w:r>
      <w:r>
        <w:rPr>
          <w:rFonts w:ascii="Times New Roman" w:cs="Times New Roman" w:eastAsia="Times New Roman" w:hAnsi="Times New Roman"/>
          <w:sz w:val="18"/>
          <w:szCs w:val="18"/>
          <w:color w:val="auto"/>
        </w:rPr>
        <w:t>has served as a member of the Board since August 2025. Ms. Howroyd has more than 40 years of experience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David Carlson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DO, MBA, age 66, </w:t>
      </w:r>
      <w:r>
        <w:rPr>
          <w:rFonts w:ascii="Times New Roman" w:cs="Times New Roman" w:eastAsia="Times New Roman" w:hAnsi="Times New Roman"/>
          <w:sz w:val="18"/>
          <w:szCs w:val="18"/>
          <w:color w:val="auto"/>
        </w:rPr>
        <w:t>has served as a member of the Board since June 2025. Dr. Carlson has been the Chief Medical Officer in South 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Walter Skowronski, age 77, </w:t>
      </w:r>
      <w:r>
        <w:rPr>
          <w:rFonts w:ascii="Times New Roman" w:cs="Times New Roman" w:eastAsia="Times New Roman" w:hAnsi="Times New Roman"/>
          <w:sz w:val="18"/>
          <w:szCs w:val="18"/>
          <w:color w:val="auto"/>
        </w:rPr>
        <w:t>has served as a member of the Board since August 2025. Mr. Skowronski has more than 40 years of experience as a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Phyllis Newhouse, age 62, </w:t>
      </w:r>
      <w:r>
        <w:rPr>
          <w:rFonts w:ascii="Times New Roman" w:cs="Times New Roman" w:eastAsia="Times New Roman" w:hAnsi="Times New Roman"/>
          <w:sz w:val="18"/>
          <w:szCs w:val="18"/>
          <w:color w:val="auto"/>
        </w:rPr>
        <w:t>has served as a member of the Board since June 2025. Ms. Newhouse previously served as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Our Board currently consists of seven members. The primary responsibilities of our Board are to provide oversight, strategic guidance, counseling and direction to our management. Our Board meets on a regular basis and additionally as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line="282" w:lineRule="auto"/>
        <w:rPr>
          <w:sz w:val="20"/>
          <w:szCs w:val="20"/>
          <w:color w:val="auto"/>
        </w:rPr>
      </w:pPr>
      <w:r>
        <w:rPr>
          <w:rFonts w:ascii="Times New Roman" w:cs="Times New Roman" w:eastAsia="Times New Roman" w:hAnsi="Times New Roman"/>
          <w:sz w:val="18"/>
          <w:szCs w:val="18"/>
          <w:color w:val="auto"/>
        </w:rPr>
        <w:t>Our Board is divided into three classes, Class I, Class II and Class III, with members of each class serving staggered three-year terms. Currently, our Board is divided into the following classes: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Phyllis Newhouse, whose term will expire at the first annual meeting of stockholders to be held in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Janice Bryant Howroyd and Walter Skowronski whose term will expire at the Company’s second annual meeting of stockholders to be held in 2027;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Edmund Nabrotzky, Dr. David Carlson and Jeff Saling, whose terms will expire at the Company’s third annual meeting of stockholders to be held in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 Cybersecurity &amp; Technology Committee and a Nominating and Corporate Governance Committee, each of which has the composition and responsibilities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Walter Skowronski, Phyllis Newhouse and Dr. David Carlson, with Walter Skowronski serving as the Audit Committee chair. The Board has affirmatively determined that Walter Skowronski, Phyllis Newhouse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Jeff Saling, Janice Bryant Howroyd and Dr. David Carlson, with Jeff Saling serving as chairman. Our Board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&amp; Technology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&amp; Technology Committee is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cybersecurity threat landscape, policies, controls and incident response preparedness, including escalation procedures to the Board, tabletop exercise testing, and periodic simulations;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metrics on cybersecurity incidents, breaches (actual or attempted), and the Company’s response thereto;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compliance with cybersecurity and data privacy laws, including SEC, state, and international regulations, and industry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technology architecture, platforms and operational resilience;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major technology-related projects, digital initiatives, and infrastructure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disaster recovery, business infrastructure, and data backup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the Company’s cyber insurance coverage and reviewing its adequacy;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Audit Committee with respect to any matters that may impact internal controls, financial reporting, or cybersecurity disclosures;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cybersecurity workforce, training programs (including executive and board-level cybersecurity education), budget,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 and supply chain risk management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for oversight of risks arising from use of AI, machine learning, and other emerging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appropriate disclosures are made in public filings relating to cybersecurity oversight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Board approval updates to the Cybersecurity &amp; Technology Committee’s charter on an annual basis;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compliance with cybersecurity disclosure obligations under SEC Regulation S-K Item 106 and Form 8-K Item 1.05, including timely disclosure of material cybersecurity incidents and governance structures;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third-party risk management practices, including risk assessment and monitoring of key technology vendors and supply chain cybersecurity vulnerabilities;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training programs and culture-building efforts relating to cybersecurity awareness, including for executives and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&amp; Technology Committee consists of Phyllis Newhouse and Edmund Nabrotzky, with Phyllis Newhouse serving as chairman. The Board has adopted a written charter for the Cybersecurity &amp; Technology Committee, which is available on our corporate website. The information contained on our website is not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9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Business Ethics for Employees, Executive Officers, and Directors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service agreements with each of our non-employee directors pursuant to which they are eligible to receive the following cash and equity incentive payments.</w:t>
      </w:r>
    </w:p>
    <w:p>
      <w:pPr>
        <w:spacing w:after="0" w:line="8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Fee: Each non-employee director receives an annual cash fee of $50,000, payable quarterly in arrears.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 We will reimburse all of our non-employee directors for all reasonable business expenses incurred in in the performance of their services in accordance with our expense reimbursement guidelines.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grant any option awards to our non-employee directors during 2025. The following table provides information related to the compensation of each of our non-employee directors during the year ended December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($)(1)</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xml:space="preserve">Awards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Sheldon Paul, M.D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Carlson, D.O.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the annual retainers payable to our non-employee directors.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earned, we did not grant any option awards to our non-employee directors during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executives are our Named Executive Officers: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Nabrotzky,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SEE ID’s named executive officers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285,384</w:t>
            </w:r>
          </w:p>
        </w:tc>
        <w:tc>
          <w:tcPr>
            <w:tcW w:w="2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357,500(1)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642,884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235,821</w:t>
            </w:r>
          </w:p>
        </w:tc>
        <w:tc>
          <w:tcPr>
            <w:tcW w:w="0" w:type="dxa"/>
            <w:vAlign w:val="bottom"/>
          </w:tcPr>
          <w:p>
            <w:pPr>
              <w:spacing w:after="0"/>
              <w:rPr>
                <w:sz w:val="1"/>
                <w:szCs w:val="1"/>
                <w:color w:val="auto"/>
              </w:rPr>
            </w:pPr>
          </w:p>
        </w:tc>
      </w:tr>
      <w:tr>
        <w:trPr>
          <w:trHeight w:val="196"/>
        </w:trPr>
        <w:tc>
          <w:tcPr>
            <w:tcW w:w="2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Charles Maddox</w:t>
            </w:r>
          </w:p>
        </w:tc>
        <w:tc>
          <w:tcPr>
            <w:tcW w:w="98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263,958</w:t>
            </w:r>
          </w:p>
        </w:tc>
        <w:tc>
          <w:tcPr>
            <w:tcW w:w="12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04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600</w:t>
            </w:r>
          </w:p>
        </w:tc>
        <w:tc>
          <w:tcPr>
            <w:tcW w:w="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250,000(2)</w:t>
            </w:r>
          </w:p>
        </w:tc>
        <w:tc>
          <w:tcPr>
            <w:tcW w:w="2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514,558</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Officer/Chief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Operations Officer</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276,154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476,154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$320,000 transaction bonus paid in connection with the closing of the Business Combination, and $37,500 in fees for service as a member of the Board of Directors.</w:t>
      </w: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transaction bonuses paid in connection with the Business Combination.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each of our Named Executive Officers, each of which provides for at-will employment and provides for no specified term of employment. The employment agreements are described more fully below under the heading entitled “- </w:t>
      </w:r>
      <w:r>
        <w:rPr>
          <w:rFonts w:ascii="Times New Roman" w:cs="Times New Roman" w:eastAsia="Times New Roman" w:hAnsi="Times New Roman"/>
          <w:sz w:val="18"/>
          <w:szCs w:val="18"/>
          <w:i w:val="1"/>
          <w:iCs w:val="1"/>
          <w:color w:val="auto"/>
        </w:rPr>
        <w:t>Employment 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Bonus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Change of Control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recognition of their efforts on the Business Compensation, the Board approved the following change in control transaction bonuses, which were paid to our Named Executive Officers during 2025, subject to the closing of the Business Combination. The actual cash bonuses awarded to the Named Executive Officers in respect of 2025 are set forth in the “All Other Compensation” column of the Summary Compensation Table above.</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Edmund Nabrotzky (Chief Executive Officer): $320,000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$250,000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 $200,000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do not maintain a 401(k) or any other retirement savings plan for our 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Termination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employment agreements with the NEOs during 2025. Each employment agreement does not have a specific term and provides that the applicable named executive officer is an at-will employee.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Edmund Nabrotzky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 Holding Corp</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Nabrotzky, dated September 5, 2025, for the position of Chief Executive Officer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Maddox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 Holding Corp</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Vijayan Nambiar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 Holding Corp</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option awards held by the Company’s named executive officers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438"/>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438"/>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right"/>
              <w:ind w:right="480"/>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7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5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Price ($)</w:t>
            </w:r>
            <w:r>
              <w:rPr>
                <w:rFonts w:ascii="Times New Roman" w:cs="Times New Roman" w:eastAsia="Times New Roman" w:hAnsi="Times New Roman"/>
                <w:sz w:val="29"/>
                <w:szCs w:val="29"/>
                <w:b w:val="1"/>
                <w:bCs w:val="1"/>
                <w:color w:val="auto"/>
                <w:w w:val="93"/>
                <w:vertAlign w:val="superscript"/>
              </w:rPr>
              <w:t>(1)</w:t>
            </w:r>
          </w:p>
        </w:tc>
        <w:tc>
          <w:tcPr>
            <w:tcW w:w="2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9/1/2021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136,572</w:t>
            </w:r>
          </w:p>
        </w:tc>
        <w:tc>
          <w:tcPr>
            <w:tcW w:w="5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w w:val="97"/>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0.1758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9/1/2031</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Chales Maddox</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9/1/2021</w:t>
            </w:r>
          </w:p>
        </w:tc>
        <w:tc>
          <w:tcPr>
            <w:tcW w:w="100" w:type="dxa"/>
            <w:vAlign w:val="bottom"/>
          </w:tcPr>
          <w:p>
            <w:pPr>
              <w:spacing w:after="0"/>
              <w:rPr>
                <w:sz w:val="22"/>
                <w:szCs w:val="22"/>
                <w:color w:val="auto"/>
              </w:rPr>
            </w:pPr>
          </w:p>
        </w:tc>
        <w:tc>
          <w:tcPr>
            <w:tcW w:w="1620" w:type="dxa"/>
            <w:vAlign w:val="bottom"/>
            <w:gridSpan w:val="2"/>
          </w:tcPr>
          <w:p>
            <w:pPr>
              <w:ind w:left="520"/>
              <w:spacing w:after="0" w:line="256" w:lineRule="exact"/>
              <w:rPr>
                <w:sz w:val="20"/>
                <w:szCs w:val="20"/>
                <w:color w:val="auto"/>
              </w:rPr>
            </w:pPr>
            <w:r>
              <w:rPr>
                <w:rFonts w:ascii="Times New Roman" w:cs="Times New Roman" w:eastAsia="Times New Roman" w:hAnsi="Times New Roman"/>
                <w:sz w:val="18"/>
                <w:szCs w:val="18"/>
                <w:color w:val="auto"/>
              </w:rPr>
              <w:t>136,572</w:t>
            </w:r>
            <w:r>
              <w:rPr>
                <w:rFonts w:ascii="Times New Roman" w:cs="Times New Roman" w:eastAsia="Times New Roman" w:hAnsi="Times New Roman"/>
                <w:sz w:val="29"/>
                <w:szCs w:val="29"/>
                <w:color w:val="auto"/>
                <w:vertAlign w:val="superscript"/>
              </w:rPr>
              <w:t>(1)(2)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0.1758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518,242</w:t>
            </w:r>
            <w:r>
              <w:rPr>
                <w:rFonts w:ascii="Times New Roman" w:cs="Times New Roman" w:eastAsia="Times New Roman" w:hAnsi="Times New Roman"/>
                <w:sz w:val="14"/>
                <w:szCs w:val="14"/>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5/7/2032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5/7/2022</w:t>
            </w:r>
          </w:p>
        </w:tc>
        <w:tc>
          <w:tcPr>
            <w:tcW w:w="100" w:type="dxa"/>
            <w:vAlign w:val="bottom"/>
          </w:tcPr>
          <w:p>
            <w:pPr>
              <w:spacing w:after="0"/>
              <w:rPr>
                <w:sz w:val="18"/>
                <w:szCs w:val="18"/>
                <w:color w:val="auto"/>
              </w:rPr>
            </w:pP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518,242</w:t>
            </w:r>
            <w:r>
              <w:rPr>
                <w:rFonts w:ascii="Times New Roman" w:cs="Times New Roman" w:eastAsia="Times New Roman" w:hAnsi="Times New Roman"/>
                <w:sz w:val="14"/>
                <w:szCs w:val="14"/>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0.0516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5/7/2032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11/21/2023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359,721</w:t>
            </w:r>
            <w:r>
              <w:rPr>
                <w:rFonts w:ascii="Times New Roman" w:cs="Times New Roman" w:eastAsia="Times New Roman" w:hAnsi="Times New Roman"/>
                <w:sz w:val="14"/>
                <w:szCs w:val="14"/>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shares subject to the option vest on each of the five anniversaries of the grant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Bylaws, each of which became effective upon the Closing, provide that we will indemnify our directors and officers, and may indemnify our employees and other agents, to the fullest extent permitted by Delaware law. Delaware law prohibits our Charter from limiting the liability of our directors for the following:</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Charter does not eliminate a director’s duty of care and, in appropriate circumstances, equitable remedies, such as injunctive or other forms of non-monetary relief, remain available under Delaware law.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provision also does not affect a director’s responsibilities under any other laws, such as the federal securities laws or other state or federal laws. Under our Bylaws, we are also empowered to purchase insurance on behalf of any person whom we are required or permitted to indemnify.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required in our Charter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Assumption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Business Combination, Continental, as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years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the Company as of April 6, 2026 by:</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Common Stock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the Company’s Common Stock beneficially owned by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Common Stock is based on 29,293,322 shares of our Common Stock issued and outstanding as of April 6,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9"/>
                <w:szCs w:val="29"/>
                <w:b w:val="1"/>
                <w:bCs w:val="1"/>
                <w:i w:val="1"/>
                <w:iCs w:val="1"/>
                <w:color w:val="auto"/>
                <w:vertAlign w:val="superscript"/>
              </w:rPr>
              <w:t>(1)</w:t>
            </w:r>
          </w:p>
        </w:tc>
        <w:tc>
          <w:tcPr>
            <w:tcW w:w="120" w:type="dxa"/>
            <w:vAlign w:val="bottom"/>
            <w:vMerge w:val="restart"/>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3,571,614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Janice Bryant Howroyd </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32,983</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Phyllis Newhouse </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2,574,494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7"/>
        </w:trPr>
        <w:tc>
          <w:tcPr>
            <w:tcW w:w="8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263"/>
        </w:trPr>
        <w:tc>
          <w:tcPr>
            <w:tcW w:w="8640" w:type="dxa"/>
            <w:vAlign w:val="bottom"/>
            <w:gridSpan w:val="2"/>
            <w:vMerge w:val="continue"/>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8,231,879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1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640" w:type="dxa"/>
            <w:vAlign w:val="bottom"/>
            <w:gridSpan w:val="2"/>
            <w:vMerge w:val="continue"/>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Tremaine Reny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2,470,060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Jeffery Andersen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1,524,924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ShoulderUp 2021 Trust </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1,551,180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ShoulderUp 2021 Trust. The address of the principal business office of ShoulderUp 2021 Trust is 2291 Loring Oak PL NW Marietta, GA 30064.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listed in the table below may from time to time offer and sell any or all of the shares of Common Stock and Warrants set forth below pursuant to the Prospectus. When we refer to the “Selling Securityholders” in the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w:t>
      </w:r>
    </w:p>
    <w:p>
      <w:pPr>
        <w:spacing w:after="0" w:line="15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Securityholders for whom we are registering shares of Common Stock for resale to the public,</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the Selling Securityholders beneficially owned prior to the offering for resale of the securities under this prospectus,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may be offered from time to time for resale for the account of the Selling Securityholders pursuant to this prospectus,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to be beneficially owned by the Selling Securityholders after the offering of the resale securities (assuming all of the offered shares of Common Stock are sold by the Selling Securityholders).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the Prospectus.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K Maddox</w:t>
            </w:r>
            <w:r>
              <w:rPr>
                <w:rFonts w:ascii="Times New Roman" w:cs="Times New Roman" w:eastAsia="Times New Roman" w:hAnsi="Times New Roman"/>
                <w:sz w:val="29"/>
                <w:szCs w:val="29"/>
                <w:color w:val="auto"/>
                <w:vertAlign w:val="superscript"/>
              </w:rPr>
              <w:t>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2,052,788</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2,052,788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Edmund S Nabrotzky</w:t>
            </w:r>
            <w:r>
              <w:rPr>
                <w:rFonts w:ascii="Times New Roman" w:cs="Times New Roman" w:eastAsia="Times New Roman" w:hAnsi="Times New Roman"/>
                <w:sz w:val="29"/>
                <w:szCs w:val="29"/>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3,571,614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SJP Investments, LLC</w:t>
            </w:r>
            <w:r>
              <w:rPr>
                <w:rFonts w:ascii="Times New Roman" w:cs="Times New Roman" w:eastAsia="Times New Roman" w:hAnsi="Times New Roman"/>
                <w:sz w:val="29"/>
                <w:szCs w:val="29"/>
                <w:color w:val="auto"/>
                <w:vertAlign w:val="superscript"/>
              </w:rPr>
              <w:t>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SSP Technology Holdings, LLC</w:t>
            </w:r>
            <w:r>
              <w:rPr>
                <w:rFonts w:ascii="Times New Roman" w:cs="Times New Roman" w:eastAsia="Times New Roman" w:hAnsi="Times New Roman"/>
                <w:sz w:val="29"/>
                <w:szCs w:val="2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112,842</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a percent</w:t>
      </w:r>
    </w:p>
    <w:p>
      <w:pPr>
        <w:spacing w:after="0" w:line="168" w:lineRule="exact"/>
        <w:rPr>
          <w:sz w:val="20"/>
          <w:szCs w:val="20"/>
          <w:color w:val="auto"/>
        </w:rPr>
      </w:pPr>
    </w:p>
    <w:p>
      <w:pPr>
        <w:ind w:left="380" w:hanging="345"/>
        <w:spacing w:after="0"/>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141" w:lineRule="exact"/>
        <w:rPr>
          <w:sz w:val="20"/>
          <w:szCs w:val="20"/>
          <w:color w:val="auto"/>
        </w:rPr>
      </w:pPr>
    </w:p>
    <w:p>
      <w:pPr>
        <w:ind w:left="380" w:hanging="345"/>
        <w:spacing w:after="0"/>
        <w:tabs>
          <w:tab w:leader="none" w:pos="38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Maddox is the Chief Financial Officer and Chief Operating Officer of the Company.</w:t>
      </w:r>
    </w:p>
    <w:p>
      <w:pPr>
        <w:spacing w:after="0" w:line="141" w:lineRule="exact"/>
        <w:rPr>
          <w:sz w:val="20"/>
          <w:szCs w:val="20"/>
          <w:color w:val="auto"/>
        </w:rPr>
      </w:pPr>
    </w:p>
    <w:p>
      <w:pPr>
        <w:ind w:left="380" w:hanging="345"/>
        <w:spacing w:after="0"/>
        <w:tabs>
          <w:tab w:leader="none" w:pos="38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Nabrotzky is the Chief Executive Officer and a director of the Company.</w:t>
      </w:r>
    </w:p>
    <w:p>
      <w:pPr>
        <w:spacing w:after="0" w:line="252" w:lineRule="exact"/>
        <w:rPr>
          <w:sz w:val="20"/>
          <w:szCs w:val="20"/>
          <w:color w:val="auto"/>
        </w:rPr>
      </w:pPr>
    </w:p>
    <w:p>
      <w:pPr>
        <w:ind w:left="380" w:right="20" w:hanging="345"/>
        <w:spacing w:after="0" w:line="195" w:lineRule="auto"/>
        <w:tabs>
          <w:tab w:leader="none" w:pos="38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SJP Investments, LLC. Steven Paul is the managing member of SJP Investments, LLC. The address of the principal business office of SJP Investments, LLC is 1000 N Green Valley Pkwy, Ste 440-350, Henderson, NV 89074.</w:t>
      </w:r>
    </w:p>
    <w:p>
      <w:pPr>
        <w:spacing w:after="0" w:line="254" w:lineRule="exact"/>
        <w:rPr>
          <w:sz w:val="20"/>
          <w:szCs w:val="20"/>
          <w:color w:val="auto"/>
        </w:rPr>
      </w:pPr>
    </w:p>
    <w:p>
      <w:pPr>
        <w:jc w:val="both"/>
        <w:ind w:left="380" w:right="40" w:hanging="345"/>
        <w:spacing w:after="0" w:line="210" w:lineRule="auto"/>
        <w:tabs>
          <w:tab w:leader="none" w:pos="38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SSP Technology Holdings, LLC. Sheldon Paul is the managing member of SSP Technology Holdings, LLC. Mr. Paul is a former director of the Company. The address of the principal business office of SSP Technology Holdings, LLC is 1000 N Green Valley Pkwy, Ste 440-350, Henderson, NV 89074.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45"/>
        </w:trPr>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20" w:type="dxa"/>
            <w:vAlign w:val="bottom"/>
            <w:gridSpan w:val="10"/>
          </w:tcPr>
          <w:p>
            <w:pPr>
              <w:ind w:lef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4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27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22"/>
                <w:szCs w:val="22"/>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1"/>
        </w:trPr>
        <w:tc>
          <w:tcPr>
            <w:tcW w:w="27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Paul Family Trust dated June 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2005</w:t>
            </w:r>
            <w:r>
              <w:rPr>
                <w:rFonts w:ascii="Times New Roman" w:cs="Times New Roman" w:eastAsia="Times New Roman" w:hAnsi="Times New Roman"/>
                <w:sz w:val="29"/>
                <w:szCs w:val="29"/>
                <w:color w:val="auto"/>
                <w:vertAlign w:val="superscript"/>
              </w:rPr>
              <w:t>6</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478,094</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478,094</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The Sheldon Paul IT</w:t>
            </w:r>
            <w:r>
              <w:rPr>
                <w:rFonts w:ascii="Times New Roman" w:cs="Times New Roman" w:eastAsia="Times New Roman" w:hAnsi="Times New Roman"/>
                <w:sz w:val="29"/>
                <w:szCs w:val="29"/>
                <w:color w:val="auto"/>
                <w:vertAlign w:val="superscript"/>
              </w:rPr>
              <w:t>7</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118,781</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118,781</w:t>
            </w:r>
          </w:p>
        </w:tc>
        <w:tc>
          <w:tcPr>
            <w:tcW w:w="100" w:type="dxa"/>
            <w:vAlign w:val="bottom"/>
          </w:tcPr>
          <w:p>
            <w:pPr>
              <w:spacing w:after="0"/>
              <w:rPr>
                <w:sz w:val="22"/>
                <w:szCs w:val="22"/>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9"/>
              </w:rPr>
              <w:t>Tracking Technology Holdings, LLC</w:t>
            </w:r>
            <w:r>
              <w:rPr>
                <w:rFonts w:ascii="Times New Roman" w:cs="Times New Roman" w:eastAsia="Times New Roman" w:hAnsi="Times New Roman"/>
                <w:sz w:val="29"/>
                <w:szCs w:val="29"/>
                <w:color w:val="auto"/>
                <w:w w:val="99"/>
                <w:vertAlign w:val="superscript"/>
              </w:rPr>
              <w:t>8</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410,000</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William Tremaine Reny</w:t>
            </w:r>
            <w:r>
              <w:rPr>
                <w:rFonts w:ascii="Times New Roman" w:cs="Times New Roman" w:eastAsia="Times New Roman" w:hAnsi="Times New Roman"/>
                <w:sz w:val="29"/>
                <w:szCs w:val="29"/>
                <w:color w:val="auto"/>
                <w:vertAlign w:val="superscript"/>
              </w:rPr>
              <w:t>9(a)</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2,470,060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2,470,060</w:t>
            </w:r>
          </w:p>
        </w:tc>
        <w:tc>
          <w:tcPr>
            <w:tcW w:w="100" w:type="dxa"/>
            <w:vAlign w:val="bottom"/>
          </w:tcPr>
          <w:p>
            <w:pPr>
              <w:spacing w:after="0"/>
              <w:rPr>
                <w:sz w:val="22"/>
                <w:szCs w:val="22"/>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8"/>
              </w:rPr>
              <w:t>American Endowment Foundation</w:t>
            </w:r>
            <w:r>
              <w:rPr>
                <w:rFonts w:ascii="Times New Roman" w:cs="Times New Roman" w:eastAsia="Times New Roman" w:hAnsi="Times New Roman"/>
                <w:sz w:val="29"/>
                <w:szCs w:val="29"/>
                <w:color w:val="auto"/>
                <w:w w:val="98"/>
                <w:vertAlign w:val="superscript"/>
              </w:rPr>
              <w:t>9(b)</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 Kent Greene Traditional IRA</w:t>
            </w:r>
            <w:r>
              <w:rPr>
                <w:rFonts w:ascii="Times New Roman" w:cs="Times New Roman" w:eastAsia="Times New Roman" w:hAnsi="Times New Roman"/>
                <w:sz w:val="29"/>
                <w:szCs w:val="29"/>
                <w:color w:val="auto"/>
                <w:vertAlign w:val="superscript"/>
              </w:rPr>
              <w:t>10</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Adam S Creer &amp; Susanne H Creer JT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11</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 Boyack &amp; L Boyack TTEE,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Boyack Family TST, U/A DTD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7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08/17/2011</w:t>
            </w:r>
            <w:r>
              <w:rPr>
                <w:rFonts w:ascii="Times New Roman" w:cs="Times New Roman" w:eastAsia="Times New Roman" w:hAnsi="Times New Roman"/>
                <w:sz w:val="29"/>
                <w:szCs w:val="29"/>
                <w:color w:val="auto"/>
                <w:vertAlign w:val="superscript"/>
              </w:rPr>
              <w:t>12</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Brent Gordon Bergquist</w:t>
            </w:r>
            <w:r>
              <w:rPr>
                <w:rFonts w:ascii="Times New Roman" w:cs="Times New Roman" w:eastAsia="Times New Roman" w:hAnsi="Times New Roman"/>
                <w:sz w:val="29"/>
                <w:szCs w:val="29"/>
                <w:color w:val="auto"/>
                <w:vertAlign w:val="superscript"/>
              </w:rPr>
              <w:t>13</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380" w:right="40" w:hanging="345"/>
        <w:spacing w:after="0" w:line="210" w:lineRule="auto"/>
        <w:tabs>
          <w:tab w:leader="none" w:pos="38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Paul Family Trust dated June 3, 2005. Sheldon Paul is the sole trustee of The Paul Family Trust dated June 3, 2005. Mr. Paul is a former director of the Company. The address of the principal business office of The Paul Family Trust dated June 3, 2005 is 8671 Golden Canyon, Las Vegas, NV 89129.</w:t>
      </w:r>
    </w:p>
    <w:p>
      <w:pPr>
        <w:spacing w:after="0" w:line="254" w:lineRule="exact"/>
        <w:rPr>
          <w:sz w:val="20"/>
          <w:szCs w:val="20"/>
          <w:color w:val="auto"/>
        </w:rPr>
      </w:pPr>
    </w:p>
    <w:p>
      <w:pPr>
        <w:ind w:left="380" w:right="20" w:hanging="345"/>
        <w:spacing w:after="0" w:line="195" w:lineRule="auto"/>
        <w:tabs>
          <w:tab w:leader="none" w:pos="38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Sheldon Paul IT. Sheldon Paul is the sole trustee of The Sheldon Paul IT. Mr. Paul is a former director of the Company. The address of the principal business office of The Sheldon Paul IT is 333 N Rancho Drive, Ste 730, Las Vegas, NV 89106.</w:t>
      </w:r>
    </w:p>
    <w:p>
      <w:pPr>
        <w:spacing w:after="0" w:line="254" w:lineRule="exact"/>
        <w:rPr>
          <w:sz w:val="20"/>
          <w:szCs w:val="20"/>
          <w:color w:val="auto"/>
        </w:rPr>
      </w:pPr>
    </w:p>
    <w:p>
      <w:pPr>
        <w:ind w:left="380" w:right="40" w:hanging="345"/>
        <w:spacing w:after="0" w:line="195" w:lineRule="auto"/>
        <w:tabs>
          <w:tab w:leader="none" w:pos="38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p>
      <w:pPr>
        <w:spacing w:after="0" w:line="254" w:lineRule="exact"/>
        <w:rPr>
          <w:sz w:val="20"/>
          <w:szCs w:val="20"/>
          <w:color w:val="auto"/>
        </w:rPr>
      </w:pPr>
    </w:p>
    <w:p>
      <w:pPr>
        <w:jc w:val="both"/>
        <w:ind w:left="380" w:right="20" w:hanging="339"/>
        <w:spacing w:after="0" w:line="195" w:lineRule="auto"/>
        <w:tabs>
          <w:tab w:leader="none" w:pos="360" w:val="left"/>
        </w:tabs>
        <w:rPr>
          <w:sz w:val="20"/>
          <w:szCs w:val="20"/>
          <w:color w:val="auto"/>
        </w:rPr>
      </w:pPr>
      <w:r>
        <w:rPr>
          <w:rFonts w:ascii="Times New Roman" w:cs="Times New Roman" w:eastAsia="Times New Roman" w:hAnsi="Times New Roman"/>
          <w:sz w:val="30"/>
          <w:szCs w:val="30"/>
          <w:color w:val="auto"/>
          <w:vertAlign w:val="superscript"/>
        </w:rPr>
        <w:t>9(a)</w:t>
      </w:r>
      <w:r>
        <w:rPr>
          <w:sz w:val="20"/>
          <w:szCs w:val="20"/>
          <w:color w:val="auto"/>
        </w:rPr>
        <w:tab/>
      </w:r>
      <w:r>
        <w:rPr>
          <w:rFonts w:ascii="Times New Roman" w:cs="Times New Roman" w:eastAsia="Times New Roman" w:hAnsi="Times New Roman"/>
          <w:sz w:val="18"/>
          <w:szCs w:val="18"/>
          <w:color w:val="auto"/>
        </w:rPr>
        <w:t>Represents shares directly held by William Tremaine Reny. Mr. Renny was the Founder and CEO of SEE ID prior to the closing of the Business Combination. The address of the principal business office of William Tremaine Reny is 9 Hawk Ridge Drive, Las Vegas, NV 89135.</w:t>
      </w:r>
    </w:p>
    <w:p>
      <w:pPr>
        <w:spacing w:after="0" w:line="254" w:lineRule="exact"/>
        <w:rPr>
          <w:sz w:val="20"/>
          <w:szCs w:val="20"/>
          <w:color w:val="auto"/>
        </w:rPr>
      </w:pPr>
    </w:p>
    <w:p>
      <w:pPr>
        <w:jc w:val="both"/>
        <w:ind w:left="380" w:right="40" w:hanging="339"/>
        <w:spacing w:after="0" w:line="210" w:lineRule="auto"/>
        <w:tabs>
          <w:tab w:leader="none" w:pos="360" w:val="left"/>
        </w:tabs>
        <w:rPr>
          <w:sz w:val="20"/>
          <w:szCs w:val="20"/>
          <w:color w:val="auto"/>
        </w:rPr>
      </w:pPr>
      <w:r>
        <w:rPr>
          <w:rFonts w:ascii="Times New Roman" w:cs="Times New Roman" w:eastAsia="Times New Roman" w:hAnsi="Times New Roman"/>
          <w:sz w:val="30"/>
          <w:szCs w:val="30"/>
          <w:color w:val="auto"/>
          <w:vertAlign w:val="superscript"/>
        </w:rPr>
        <w:t>9(b)</w:t>
      </w:r>
      <w:r>
        <w:rPr>
          <w:sz w:val="20"/>
          <w:szCs w:val="20"/>
          <w:color w:val="auto"/>
        </w:rPr>
        <w:tab/>
      </w:r>
      <w:r>
        <w:rPr>
          <w:rFonts w:ascii="Times New Roman" w:cs="Times New Roman" w:eastAsia="Times New Roman" w:hAnsi="Times New Roman"/>
          <w:sz w:val="18"/>
          <w:szCs w:val="18"/>
          <w:color w:val="auto"/>
        </w:rPr>
        <w:t>Represents shares directly held by American Endowment Foundation that were donated by Mr. Reny. Mr. Reny was the Founder and CEO of SEE ID prior to the closing of the Business Combination. The address of the principal business office of American Endowment Foundation is 5700 Darrow RD, Suite 118, Hudson, OH 44236-5026.</w:t>
      </w:r>
    </w:p>
    <w:p>
      <w:pPr>
        <w:spacing w:after="0" w:line="254" w:lineRule="exact"/>
        <w:rPr>
          <w:sz w:val="20"/>
          <w:szCs w:val="20"/>
          <w:color w:val="auto"/>
        </w:rPr>
      </w:pPr>
    </w:p>
    <w:p>
      <w:pPr>
        <w:ind w:left="380" w:right="2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 Kent Greene Traditional IRA. The address of the principal business office of A. Kent Green Traditional IRA is 40 Daisy Meadow Terrace, Henderson, NV 89074.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S. Creer &amp; Susanne H. Creer JT TEN. The address of the principal business office of Adam S. Creer &amp; Susanne H. Creer JT TEN is 8028 South Big Spring Drive, west Jordan, UT 84081.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 Boyack &amp; L. Boyack TTEE, Boyack Family TST, U/A DTD 08/17/2011. The address of the principal business office of N. Boyack &amp; L. Boyack TTEE, Boyack Family TST, U/A DTD 08/17/2011 is 4325 Jerdon Court,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Gordon Bergquist. The address of the principal business office of Brent Gordon Bergquist is 2056 Sapphire Valley Avenue, Henderson, NV 89074.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Freeman</w:t>
            </w:r>
            <w:r>
              <w:rPr>
                <w:rFonts w:ascii="Times New Roman" w:cs="Times New Roman" w:eastAsia="Times New Roman" w:hAnsi="Times New Roman"/>
                <w:sz w:val="29"/>
                <w:szCs w:val="29"/>
                <w:color w:val="auto"/>
                <w:vertAlign w:val="superscript"/>
              </w:rPr>
              <w:t>14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Charlene Denise Hanna</w:t>
            </w:r>
            <w:r>
              <w:rPr>
                <w:rFonts w:ascii="Times New Roman" w:cs="Times New Roman" w:eastAsia="Times New Roman" w:hAnsi="Times New Roman"/>
                <w:sz w:val="29"/>
                <w:szCs w:val="29"/>
                <w:color w:val="auto"/>
                <w:vertAlign w:val="superscript"/>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Neilson Kenworthy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Julie Edwards Kenworthy</w:t>
            </w:r>
            <w:r>
              <w:rPr>
                <w:rFonts w:ascii="Times New Roman" w:cs="Times New Roman" w:eastAsia="Times New Roman" w:hAnsi="Times New Roman"/>
                <w:sz w:val="29"/>
                <w:szCs w:val="29"/>
                <w:color w:val="auto"/>
                <w:vertAlign w:val="superscript"/>
              </w:rPr>
              <w:t>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Conner Paul and Sage Paul</w:t>
            </w:r>
            <w:r>
              <w:rPr>
                <w:rFonts w:ascii="Times New Roman" w:cs="Times New Roman" w:eastAsia="Times New Roman" w:hAnsi="Times New Roman"/>
                <w:sz w:val="29"/>
                <w:szCs w:val="29"/>
                <w:color w:val="auto"/>
                <w:vertAlign w:val="superscript"/>
              </w:rPr>
              <w:t>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Darcy Alan Stewart &amp; Colleen Stewart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Douglas L Glenn</w:t>
            </w:r>
            <w:r>
              <w:rPr>
                <w:rFonts w:ascii="Times New Roman" w:cs="Times New Roman" w:eastAsia="Times New Roman" w:hAnsi="Times New Roman"/>
                <w:sz w:val="29"/>
                <w:szCs w:val="29"/>
                <w:color w:val="auto"/>
                <w:vertAlign w:val="superscript"/>
              </w:rPr>
              <w:t>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Kazuyoshi Hayashi &amp; Diana J Hayashi,</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TTEES, U/A DTD 08/03/2023</w:t>
            </w:r>
          </w:p>
        </w:tc>
        <w:tc>
          <w:tcPr>
            <w:tcW w:w="10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Hayashi Revocable Trust</w:t>
            </w:r>
            <w:r>
              <w:rPr>
                <w:rFonts w:ascii="Times New Roman" w:cs="Times New Roman" w:eastAsia="Times New Roman" w:hAnsi="Times New Roman"/>
                <w:sz w:val="29"/>
                <w:szCs w:val="29"/>
                <w:color w:val="auto"/>
                <w:vertAlign w:val="superscript"/>
              </w:rPr>
              <w:t>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Reynolds</w:t>
            </w:r>
            <w:r>
              <w:rPr>
                <w:rFonts w:ascii="Times New Roman" w:cs="Times New Roman" w:eastAsia="Times New Roman" w:hAnsi="Times New Roman"/>
                <w:sz w:val="29"/>
                <w:szCs w:val="29"/>
                <w:color w:val="auto"/>
                <w:vertAlign w:val="superscript"/>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Freeman. The address of the principal business office of Brian Freeman is 8929 Monte Oro Drive,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Charlene Denise Hanna. The address of the principal business office of Charlene Denise Hanna is 8012 Funny Cide Street,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Neilson Kenworthy and Julie Edwards Kenworthy. The address of the principal business office of Christopher Neilson Kenworthy and Julie Edwards Kenworthy is 13438 South Corner Bridge Lane, Draper, UT 84020.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Conner Paul and Sage Paul. The address of the principal business office of Conner Paul and Sage Paul is 1800 Remembrance Hill Street, Las Vegas, NV 89144.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Darcy Alan Stewart &amp; Colleen Stewart JT Ten. The address of the principal business office of Darcy Alan Stewart &amp; Colleen Stewart JT Ten is 5048 North Long Sky Drive, St. George, UT 84770.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Douglas L. Glenn. The address of the principal business office of Douglas L. Glenn is 5818 Toofer Winds Court, Las Vegas, NV 89131.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Kazuyoshi Hayashi &amp; Diana J. Hayashi, TTEES U/A DTD 08/03/2023 Hayashi Revocable Trust. The address of the principal business office of Kazuyoshi Hayashi &amp; Diana J. Hayashi, TTEES U/A DTD 08/03/2023 Hayashi Revocable Trust is 943 South Signal Hill, Fruit Heights, UT 84037.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Reynolds. The address of the principal business office of Jacob Reynolds is 8544 Verde Park Circle, Las Vegas, NV 89129.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Stewart and Melanie Stewart</w:t>
            </w:r>
            <w:r>
              <w:rPr>
                <w:rFonts w:ascii="Times New Roman" w:cs="Times New Roman" w:eastAsia="Times New Roman" w:hAnsi="Times New Roman"/>
                <w:sz w:val="29"/>
                <w:szCs w:val="29"/>
                <w:color w:val="auto"/>
                <w:vertAlign w:val="superscript"/>
              </w:rPr>
              <w:t>22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Kathryn J Skaggs</w:t>
            </w:r>
            <w:r>
              <w:rPr>
                <w:rFonts w:ascii="Times New Roman" w:cs="Times New Roman" w:eastAsia="Times New Roman" w:hAnsi="Times New Roman"/>
                <w:sz w:val="29"/>
                <w:szCs w:val="29"/>
                <w:color w:val="auto"/>
                <w:vertAlign w:val="superscript"/>
              </w:rPr>
              <w:t>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Kelly Robb Thomas</w:t>
            </w:r>
            <w:r>
              <w:rPr>
                <w:rFonts w:ascii="Times New Roman" w:cs="Times New Roman" w:eastAsia="Times New Roman" w:hAnsi="Times New Roman"/>
                <w:sz w:val="29"/>
                <w:szCs w:val="29"/>
                <w:color w:val="auto"/>
                <w:vertAlign w:val="superscript"/>
              </w:rPr>
              <w:t>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Mahlon B Edwards</w:t>
            </w:r>
            <w:r>
              <w:rPr>
                <w:rFonts w:ascii="Times New Roman" w:cs="Times New Roman" w:eastAsia="Times New Roman" w:hAnsi="Times New Roman"/>
                <w:sz w:val="29"/>
                <w:szCs w:val="29"/>
                <w:color w:val="auto"/>
                <w:vertAlign w:val="superscript"/>
              </w:rPr>
              <w:t>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R Bawden &amp; Trisha L Bawden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Com Pro</w:t>
            </w:r>
            <w:r>
              <w:rPr>
                <w:rFonts w:ascii="Times New Roman" w:cs="Times New Roman" w:eastAsia="Times New Roman" w:hAnsi="Times New Roman"/>
                <w:sz w:val="29"/>
                <w:szCs w:val="29"/>
                <w:color w:val="auto"/>
                <w:vertAlign w:val="superscript"/>
              </w:rPr>
              <w:t>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Matthew K Nielsen and Brandi Nielsen</w:t>
            </w:r>
            <w:r>
              <w:rPr>
                <w:rFonts w:ascii="Times New Roman" w:cs="Times New Roman" w:eastAsia="Times New Roman" w:hAnsi="Times New Roman"/>
                <w:sz w:val="29"/>
                <w:szCs w:val="29"/>
                <w:color w:val="auto"/>
                <w:vertAlign w:val="superscript"/>
              </w:rPr>
              <w:t>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Michael and Meagan Shaw Brokerage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Account</w:t>
            </w:r>
            <w:r>
              <w:rPr>
                <w:rFonts w:ascii="Times New Roman" w:cs="Times New Roman" w:eastAsia="Times New Roman" w:hAnsi="Times New Roman"/>
                <w:sz w:val="29"/>
                <w:szCs w:val="29"/>
                <w:color w:val="auto"/>
                <w:vertAlign w:val="superscript"/>
              </w:rPr>
              <w:t>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Peter Winston Debry</w:t>
            </w:r>
            <w:r>
              <w:rPr>
                <w:rFonts w:ascii="Times New Roman" w:cs="Times New Roman" w:eastAsia="Times New Roman" w:hAnsi="Times New Roman"/>
                <w:sz w:val="29"/>
                <w:szCs w:val="29"/>
                <w:color w:val="auto"/>
                <w:vertAlign w:val="superscript"/>
              </w:rPr>
              <w:t>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Freeman</w:t>
            </w:r>
            <w:r>
              <w:rPr>
                <w:rFonts w:ascii="Times New Roman" w:cs="Times New Roman" w:eastAsia="Times New Roman" w:hAnsi="Times New Roman"/>
                <w:sz w:val="29"/>
                <w:szCs w:val="29"/>
                <w:color w:val="auto"/>
                <w:vertAlign w:val="superscript"/>
              </w:rPr>
              <w:t>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Revocable Trust</w:t>
            </w:r>
            <w:r>
              <w:rPr>
                <w:rFonts w:ascii="Times New Roman" w:cs="Times New Roman" w:eastAsia="Times New Roman" w:hAnsi="Times New Roman"/>
                <w:sz w:val="29"/>
                <w:szCs w:val="29"/>
                <w:color w:val="auto"/>
                <w:vertAlign w:val="superscript"/>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Randall Scott Thomas</w:t>
            </w:r>
            <w:r>
              <w:rPr>
                <w:rFonts w:ascii="Times New Roman" w:cs="Times New Roman" w:eastAsia="Times New Roman" w:hAnsi="Times New Roman"/>
                <w:sz w:val="29"/>
                <w:szCs w:val="29"/>
                <w:color w:val="auto"/>
                <w:vertAlign w:val="superscript"/>
              </w:rPr>
              <w:t>32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Allen</w:t>
            </w:r>
            <w:r>
              <w:rPr>
                <w:rFonts w:ascii="Times New Roman" w:cs="Times New Roman" w:eastAsia="Times New Roman" w:hAnsi="Times New Roman"/>
                <w:sz w:val="29"/>
                <w:szCs w:val="29"/>
                <w:color w:val="auto"/>
                <w:vertAlign w:val="superscript"/>
              </w:rPr>
              <w:t>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Stewart and Melanie Stewart. The address of the principal business office of Jacob Stewart and Melanie Stewart is 7866 Morning Gallop Court,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Kathryn J. Skaggs. The address of the principal business office of Kathryn J. Skaggs is 40502 Corte De Opalo, Murrieta, CA 92562.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Kelly Robb Thomas. The address of the principal business office of Kelly Robb Thomas is 2000 Silverton Drive, Henderson, NV 89074.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Mahlon B. Edwards. The address of the principal business office of Mahlon B. Edwards is 1056 Oilipuu Place, Honolulu, HI 96825.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R. Bawden &amp; Trisha L. Bawden Com Pro. The address of the principal business office of Marc R. Bawden &amp; Trisha L. Bawden Com Pro is 5835 Angelic Dreams Court, Las Vegas, NV 89149.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K. Nielsen and Brandi Nielsen. The address of the principal business office of Matthew K. Nielsen and Brandi Nielsen is 1108 Emerald Tint Court, Las Vegas, NV 89144.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and Meagan Shaw Brokerage Account. The address of the principal business office of Michael and Meagan Shaw Brokerage Account is 7361 Dazzle Point Street, Las Vegas, NV 89084.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Peter Winston Debry. The address of the principal business office of Peter Winston Debry is 10025 Robin Oaks Drive, Las Vegas, NV 89117.</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Freeman. The address of the principal business office of Paul Freeman is 7900 Orchard Port Avenue,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Revocable Trust. The address of the principal business office of Paul Revocable Trust is 189 South 1210 West, St. George, UT 84770.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Randall Scott Thomas. The address of the principal business office of Randall Scott Thomas is 1655 Shootout Place, Henderson, NV 89002.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Allen. The address of the principal business office of Ryan Allen is 1474 East Toliman Way, Washington, UT 84780.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Samuel Lee Richardson</w:t>
            </w:r>
            <w:r>
              <w:rPr>
                <w:rFonts w:ascii="Times New Roman" w:cs="Times New Roman" w:eastAsia="Times New Roman" w:hAnsi="Times New Roman"/>
                <w:sz w:val="29"/>
                <w:szCs w:val="29"/>
                <w:color w:val="auto"/>
                <w:vertAlign w:val="superscript"/>
              </w:rPr>
              <w:t>34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Young Irrevocable TR Scott V Young</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TTEE Christine Young TTEE U/A</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DTD 6/10/02</w:t>
            </w:r>
            <w:r>
              <w:rPr>
                <w:rFonts w:ascii="Times New Roman" w:cs="Times New Roman" w:eastAsia="Times New Roman" w:hAnsi="Times New Roman"/>
                <w:sz w:val="29"/>
                <w:szCs w:val="29"/>
                <w:color w:val="auto"/>
                <w:vertAlign w:val="superscript"/>
              </w:rPr>
              <w:t>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Steven and Jennette Paul Rev Living</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36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Susan Polley &amp; James Polley</w:t>
            </w:r>
            <w:r>
              <w:rPr>
                <w:rFonts w:ascii="Times New Roman" w:cs="Times New Roman" w:eastAsia="Times New Roman" w:hAnsi="Times New Roman"/>
                <w:sz w:val="29"/>
                <w:szCs w:val="29"/>
                <w:color w:val="auto"/>
                <w:vertAlign w:val="superscript"/>
              </w:rPr>
              <w:t>37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1997 Edwards Trust Trustee Keith 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Edwards</w:t>
            </w:r>
            <w:r>
              <w:rPr>
                <w:rFonts w:ascii="Times New Roman" w:cs="Times New Roman" w:eastAsia="Times New Roman" w:hAnsi="Times New Roman"/>
                <w:sz w:val="29"/>
                <w:szCs w:val="29"/>
                <w:color w:val="auto"/>
                <w:vertAlign w:val="superscript"/>
              </w:rPr>
              <w:t>38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GSKHO, LLC</w:t>
            </w:r>
            <w:r>
              <w:rPr>
                <w:rFonts w:ascii="Times New Roman" w:cs="Times New Roman" w:eastAsia="Times New Roman" w:hAnsi="Times New Roman"/>
                <w:sz w:val="29"/>
                <w:szCs w:val="29"/>
                <w:color w:val="auto"/>
                <w:vertAlign w:val="superscript"/>
              </w:rPr>
              <w:t>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and Amy Walker</w:t>
            </w:r>
            <w:r>
              <w:rPr>
                <w:rFonts w:ascii="Times New Roman" w:cs="Times New Roman" w:eastAsia="Times New Roman" w:hAnsi="Times New Roman"/>
                <w:sz w:val="29"/>
                <w:szCs w:val="29"/>
                <w:color w:val="auto"/>
                <w:vertAlign w:val="superscript"/>
              </w:rPr>
              <w:t>40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A Hammack</w:t>
            </w:r>
            <w:r>
              <w:rPr>
                <w:rFonts w:ascii="Times New Roman" w:cs="Times New Roman" w:eastAsia="Times New Roman" w:hAnsi="Times New Roman"/>
                <w:sz w:val="29"/>
                <w:szCs w:val="29"/>
                <w:color w:val="auto"/>
                <w:vertAlign w:val="superscript"/>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Dudley &amp; Loryn Dudley</w:t>
            </w:r>
            <w:r>
              <w:rPr>
                <w:rFonts w:ascii="Times New Roman" w:cs="Times New Roman" w:eastAsia="Times New Roman" w:hAnsi="Times New Roman"/>
                <w:sz w:val="29"/>
                <w:szCs w:val="29"/>
                <w:color w:val="auto"/>
                <w:vertAlign w:val="superscript"/>
              </w:rPr>
              <w:t>42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Ryan Spencer Stephens</w:t>
            </w:r>
            <w:r>
              <w:rPr>
                <w:rFonts w:ascii="Times New Roman" w:cs="Times New Roman" w:eastAsia="Times New Roman" w:hAnsi="Times New Roman"/>
                <w:sz w:val="29"/>
                <w:szCs w:val="29"/>
                <w:color w:val="auto"/>
                <w:vertAlign w:val="superscript"/>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Raymond Mark Turner &amp; Virginia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Turner TTEES The Turner Family</w:t>
            </w:r>
          </w:p>
        </w:tc>
        <w:tc>
          <w:tcPr>
            <w:tcW w:w="10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 DTD 10/21/2016</w:t>
            </w:r>
            <w:r>
              <w:rPr>
                <w:rFonts w:ascii="Times New Roman" w:cs="Times New Roman" w:eastAsia="Times New Roman" w:hAnsi="Times New Roman"/>
                <w:sz w:val="29"/>
                <w:szCs w:val="29"/>
                <w:color w:val="auto"/>
                <w:vertAlign w:val="superscript"/>
              </w:rPr>
              <w:t>44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2" w:lineRule="exact"/>
        <w:rPr>
          <w:sz w:val="20"/>
          <w:szCs w:val="20"/>
          <w:color w:val="auto"/>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Lee Richardson. The address of the principal business office of Samuel Lee Richardson is 8720 Melissa Meadows Street, Las Vegas, NV 89131.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Young Irrevocable TR Scott V Young TTEE Christine Young TTEE U/A DTD 6/10/02. The address of the principal business office of Young Irrevocable TR Scott V Young TTEE Christine Young TTEE U/A DTD 6/10/02 is 30 Sankaty Circle,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Steven and Jennette Paul Rev Living Trust. The address of the principal business office of The Steven and Jennette Paul Rev Living Trust is 31871 Paseo Monte Vista, San Juan Capistrano, CA 92675.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Susan Polley &amp; James Polley. The address of the principal business office of Susan Polley &amp; James Polley is 8647 Golden Canyon Road,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1997 Edwards Trust Trustee Keith R. Edwards. The address of the principal business office of 1997 Edwards Trust Trustee Keith R. Edwards is 1512 Homecoming Ave., South Jordan, UT 84095.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GSKHO, LLC. The address of the principal business office of GSKHO, LLC is 1165 Grove Creek Dr., Pleasant Grove, UT 84062.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and Amy Walker. The address of the principal business office of James and Amy Walker is P.O. Box 1290, Logandale, NV 89021.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A. Hammack. The address of the principal business office of Jeffrey A. Hammack is 7731 Mojave Yucca Court,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Dudley &amp; Loryn Dudley. The address of the principal business office of Ryan Dudley &amp; Loryn Dudley is 2649 S. Fairmont Estates Dr., Greenacres, Was 99016.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Spencer Stephens. The address of the principal business office of Ryan Spencer Stephens is 3128 Swiss Drive, Santa Clara, UT 84765.</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Raymond Mark Turner &amp; Virginia Turner TTEES The Turner Family Trust DTD 10/21/2016. The address of the principal business office of Raymond Mark Turner &amp; Virginia Turner TTEES The Turner Family Trust DTD 10/21/2016 is 923 Konga Drive, Las Vegas, NV 89123.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987"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Johnathan Jerotz &amp; Sarah Jerotz JT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45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121,250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Kory Coleman</w:t>
            </w:r>
            <w:r>
              <w:rPr>
                <w:rFonts w:ascii="Times New Roman" w:cs="Times New Roman" w:eastAsia="Times New Roman" w:hAnsi="Times New Roman"/>
                <w:sz w:val="29"/>
                <w:szCs w:val="29"/>
                <w:color w:val="auto"/>
                <w:vertAlign w:val="superscript"/>
              </w:rPr>
              <w:t>46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Phillips Shackelford Jr.</w:t>
            </w:r>
            <w:r>
              <w:rPr>
                <w:rFonts w:ascii="Times New Roman" w:cs="Times New Roman" w:eastAsia="Times New Roman" w:hAnsi="Times New Roman"/>
                <w:sz w:val="29"/>
                <w:szCs w:val="29"/>
                <w:color w:val="auto"/>
                <w:vertAlign w:val="superscript"/>
              </w:rPr>
              <w:t>47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Aaron Nemec</w:t>
            </w:r>
            <w:r>
              <w:rPr>
                <w:rFonts w:ascii="Times New Roman" w:cs="Times New Roman" w:eastAsia="Times New Roman" w:hAnsi="Times New Roman"/>
                <w:sz w:val="29"/>
                <w:szCs w:val="29"/>
                <w:color w:val="auto"/>
                <w:vertAlign w:val="superscript"/>
              </w:rPr>
              <w:t>48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Just</w:t>
            </w:r>
            <w:r>
              <w:rPr>
                <w:rFonts w:ascii="Times New Roman" w:cs="Times New Roman" w:eastAsia="Times New Roman" w:hAnsi="Times New Roman"/>
                <w:sz w:val="29"/>
                <w:szCs w:val="29"/>
                <w:color w:val="auto"/>
                <w:vertAlign w:val="superscript"/>
              </w:rPr>
              <w:t>49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S. Rodgers</w:t>
            </w:r>
            <w:r>
              <w:rPr>
                <w:rFonts w:ascii="Times New Roman" w:cs="Times New Roman" w:eastAsia="Times New Roman" w:hAnsi="Times New Roman"/>
                <w:sz w:val="29"/>
                <w:szCs w:val="29"/>
                <w:color w:val="auto"/>
                <w:vertAlign w:val="superscript"/>
              </w:rPr>
              <w:t>50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John Winspear &amp; Gina</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Gilbert Winspear JT</w:t>
            </w:r>
            <w:r>
              <w:rPr>
                <w:rFonts w:ascii="Times New Roman" w:cs="Times New Roman" w:eastAsia="Times New Roman" w:hAnsi="Times New Roman"/>
                <w:sz w:val="29"/>
                <w:szCs w:val="29"/>
                <w:color w:val="auto"/>
                <w:vertAlign w:val="superscript"/>
              </w:rPr>
              <w:t>51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Trent Stimpson</w:t>
            </w:r>
            <w:r>
              <w:rPr>
                <w:rFonts w:ascii="Times New Roman" w:cs="Times New Roman" w:eastAsia="Times New Roman" w:hAnsi="Times New Roman"/>
                <w:sz w:val="29"/>
                <w:szCs w:val="29"/>
                <w:color w:val="auto"/>
                <w:vertAlign w:val="superscript"/>
              </w:rPr>
              <w:t>52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Jacob Porter</w:t>
            </w:r>
            <w:r>
              <w:rPr>
                <w:rFonts w:ascii="Times New Roman" w:cs="Times New Roman" w:eastAsia="Times New Roman" w:hAnsi="Times New Roman"/>
                <w:sz w:val="29"/>
                <w:szCs w:val="29"/>
                <w:color w:val="auto"/>
                <w:vertAlign w:val="superscript"/>
              </w:rPr>
              <w:t>53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Christy Nichol Nemec</w:t>
            </w:r>
            <w:r>
              <w:rPr>
                <w:rFonts w:ascii="Times New Roman" w:cs="Times New Roman" w:eastAsia="Times New Roman" w:hAnsi="Times New Roman"/>
                <w:sz w:val="29"/>
                <w:szCs w:val="29"/>
                <w:color w:val="auto"/>
                <w:vertAlign w:val="superscript"/>
              </w:rPr>
              <w:t>54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Bryson T. Smith</w:t>
            </w:r>
            <w:r>
              <w:rPr>
                <w:rFonts w:ascii="Times New Roman" w:cs="Times New Roman" w:eastAsia="Times New Roman" w:hAnsi="Times New Roman"/>
                <w:sz w:val="29"/>
                <w:szCs w:val="29"/>
                <w:color w:val="auto"/>
                <w:vertAlign w:val="superscript"/>
              </w:rPr>
              <w:t>55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Davies Brothers, LLC</w:t>
            </w:r>
            <w:r>
              <w:rPr>
                <w:rFonts w:ascii="Times New Roman" w:cs="Times New Roman" w:eastAsia="Times New Roman" w:hAnsi="Times New Roman"/>
                <w:sz w:val="29"/>
                <w:szCs w:val="29"/>
                <w:color w:val="auto"/>
                <w:vertAlign w:val="superscript"/>
              </w:rPr>
              <w:t>56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Johnathan Jerotz &amp; Sarah Jerotz JT Ten. The address of the principal business office of Johnathan Jerotz &amp; Sarah Jerotz JT Ten is 3304 Lone Hill Ln, Encinitas, CA 92024.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Kory Coleman. The address of the principal business office of Kory Coleman is 529 E. Oak Hollow Ct., Bountiful, UT 84010.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Phillips Shackelford Jr. The address of the principal business office of John Phillips Shackelford Jr. is 2100 S. Ocean Dr., Apt. 17K, Fort Lauderdale, FL 33316.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Aaron Nemec. The address of the principal business office of Aaron Nemec is 1783 E.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Just. The address of the principal business office of Steven Just is 3179 S. Cobble Way,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S. Rodgers. The address of the principal business office of Michael S. Rodgers is P.O. Box 891, Meridian, ID 83680.</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John Winspear &amp; Gina Gilbert Winspear JT. The address of the principal business office of Christopher John Winspear &amp; Gina Gilbert Winspear JT is 4776 Barcelona Ridge Ct.,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Trent Simpson. The address of the principal business office of Trent Simpson is 6667 Trinity Creek Ln,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Jacob Porter. The address of the principal business office of James Jacob Porter, 5 The Ests, Dorado, PR 00646.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Christy Nichol Nemec. The address of the principal business office of Christy Nichol Nemec is 1783 E. Lone Shore Ln,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Bryson T. Smith. The address of the principal business office of Bryson T. Smith is 4622 N. Arches Ave.,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Davies Brothers, LLC. The address of the principal business office of Davies Brothers, LLC is 2305 W. Boulder Bar Dr.,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Logan Properties, LLC</w:t>
            </w:r>
            <w:r>
              <w:rPr>
                <w:rFonts w:ascii="Times New Roman" w:cs="Times New Roman" w:eastAsia="Times New Roman" w:hAnsi="Times New Roman"/>
                <w:sz w:val="29"/>
                <w:szCs w:val="29"/>
                <w:color w:val="auto"/>
                <w:vertAlign w:val="superscript"/>
              </w:rPr>
              <w:t>57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Jewell James</w:t>
            </w:r>
            <w:r>
              <w:rPr>
                <w:rFonts w:ascii="Times New Roman" w:cs="Times New Roman" w:eastAsia="Times New Roman" w:hAnsi="Times New Roman"/>
                <w:sz w:val="29"/>
                <w:szCs w:val="29"/>
                <w:color w:val="auto"/>
                <w:vertAlign w:val="superscript"/>
              </w:rPr>
              <w:t>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PRK Investments, LLC</w:t>
            </w:r>
            <w:r>
              <w:rPr>
                <w:rFonts w:ascii="Times New Roman" w:cs="Times New Roman" w:eastAsia="Times New Roman" w:hAnsi="Times New Roman"/>
                <w:sz w:val="29"/>
                <w:szCs w:val="29"/>
                <w:color w:val="auto"/>
                <w:vertAlign w:val="superscript"/>
              </w:rPr>
              <w:t>59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20,591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 Shockley</w:t>
            </w:r>
            <w:r>
              <w:rPr>
                <w:rFonts w:ascii="Times New Roman" w:cs="Times New Roman" w:eastAsia="Times New Roman" w:hAnsi="Times New Roman"/>
                <w:sz w:val="29"/>
                <w:szCs w:val="29"/>
                <w:color w:val="auto"/>
                <w:vertAlign w:val="superscript"/>
              </w:rPr>
              <w:t>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Ty Snyder</w:t>
            </w:r>
            <w:r>
              <w:rPr>
                <w:rFonts w:ascii="Times New Roman" w:cs="Times New Roman" w:eastAsia="Times New Roman" w:hAnsi="Times New Roman"/>
                <w:sz w:val="29"/>
                <w:szCs w:val="29"/>
                <w:color w:val="auto"/>
                <w:vertAlign w:val="superscript"/>
              </w:rPr>
              <w:t>61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Ray Olson</w:t>
            </w:r>
            <w:r>
              <w:rPr>
                <w:rFonts w:ascii="Times New Roman" w:cs="Times New Roman" w:eastAsia="Times New Roman" w:hAnsi="Times New Roman"/>
                <w:sz w:val="29"/>
                <w:szCs w:val="29"/>
                <w:color w:val="auto"/>
                <w:vertAlign w:val="superscript"/>
              </w:rPr>
              <w:t>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Majerus</w:t>
            </w:r>
            <w:r>
              <w:rPr>
                <w:rFonts w:ascii="Times New Roman" w:cs="Times New Roman" w:eastAsia="Times New Roman" w:hAnsi="Times New Roman"/>
                <w:sz w:val="29"/>
                <w:szCs w:val="29"/>
                <w:color w:val="auto"/>
                <w:vertAlign w:val="superscript"/>
              </w:rPr>
              <w:t>63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Bradley Chatlin</w:t>
            </w:r>
            <w:r>
              <w:rPr>
                <w:rFonts w:ascii="Times New Roman" w:cs="Times New Roman" w:eastAsia="Times New Roman" w:hAnsi="Times New Roman"/>
                <w:sz w:val="29"/>
                <w:szCs w:val="29"/>
                <w:color w:val="auto"/>
                <w:vertAlign w:val="superscript"/>
              </w:rPr>
              <w:t>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Darin Ball</w:t>
            </w:r>
            <w:r>
              <w:rPr>
                <w:rFonts w:ascii="Times New Roman" w:cs="Times New Roman" w:eastAsia="Times New Roman" w:hAnsi="Times New Roman"/>
                <w:sz w:val="29"/>
                <w:szCs w:val="29"/>
                <w:color w:val="auto"/>
                <w:vertAlign w:val="superscript"/>
              </w:rPr>
              <w:t>65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Ibos</w:t>
            </w:r>
            <w:r>
              <w:rPr>
                <w:rFonts w:ascii="Times New Roman" w:cs="Times New Roman" w:eastAsia="Times New Roman" w:hAnsi="Times New Roman"/>
                <w:sz w:val="29"/>
                <w:szCs w:val="29"/>
                <w:color w:val="auto"/>
                <w:vertAlign w:val="superscript"/>
              </w:rPr>
              <w:t>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Wendy Foster</w:t>
            </w:r>
            <w:r>
              <w:rPr>
                <w:rFonts w:ascii="Times New Roman" w:cs="Times New Roman" w:eastAsia="Times New Roman" w:hAnsi="Times New Roman"/>
                <w:sz w:val="29"/>
                <w:szCs w:val="29"/>
                <w:color w:val="auto"/>
                <w:vertAlign w:val="superscript"/>
              </w:rPr>
              <w:t>67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Logan Properties, LLC. John R. Logan is the sole member of Logan Properties, LLC. The address of the principal business office of Logan Properties is 1105 W. Jackson, Tupelo, MS 38804.</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Jewell James. The address of the principal business office of Jewell James is P.O. Box 2727, Pearland, TX 77588.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PRK Investments, LLC. Richard Pinol and David Kracke are the managing members of PRK Investments, LLC. The address of the principal business office of PRK Investments is 1487 S. David Lane,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Shockley. The address of the principal business office of Rob Shockley is 1313 S. Watermark Ave.,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Ty Snyder. The address of the principal business office of Ty Snyder is 2855 W. Torana Dr., Meridian, ID 83646.</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Ray Olson. The address of the principal business office of James Ray Olson is 5660 E. Franklin Rd., Suite 321, Nampa, ID 83687.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Majerus. The address of the principal business office of Steve Majerus is 7737 Camino Sin Puente, Rancho Santa Fe, CA 92607.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Bradley Chatlin. The address of the principal business office of Bradley Chatlin is 2387 N. Stonecrest Place,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Darin Ball. The address of the principal business office of Darin Ball is 2605 S. Arthur St., Spokane, WA 99203.</w:t>
      </w:r>
    </w:p>
    <w:p>
      <w:pPr>
        <w:spacing w:after="0" w:line="163"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Ibos. The address of the principal business office of Jeffrey Ibos is P.O. Box 2084, Covington, LA 70434.</w:t>
      </w:r>
    </w:p>
    <w:p>
      <w:pPr>
        <w:spacing w:after="0" w:line="252"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Foster. The address of the principal business office of Wendy Foster is 13403 Stockton Creek Rd., Preston, ID 83263.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Price and Judy Price JT Ten</w:t>
            </w:r>
            <w:r>
              <w:rPr>
                <w:rFonts w:ascii="Times New Roman" w:cs="Times New Roman" w:eastAsia="Times New Roman" w:hAnsi="Times New Roman"/>
                <w:sz w:val="29"/>
                <w:szCs w:val="29"/>
                <w:color w:val="auto"/>
                <w:vertAlign w:val="superscript"/>
              </w:rPr>
              <w:t>68</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Lloyd</w:t>
            </w:r>
            <w:r>
              <w:rPr>
                <w:rFonts w:ascii="Times New Roman" w:cs="Times New Roman" w:eastAsia="Times New Roman" w:hAnsi="Times New Roman"/>
                <w:sz w:val="29"/>
                <w:szCs w:val="29"/>
                <w:color w:val="auto"/>
                <w:vertAlign w:val="superscript"/>
              </w:rPr>
              <w:t>69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Kristopher Townsend &amp; Amanda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Townsend JT Ten</w:t>
            </w:r>
            <w:r>
              <w:rPr>
                <w:rFonts w:ascii="Times New Roman" w:cs="Times New Roman" w:eastAsia="Times New Roman" w:hAnsi="Times New Roman"/>
                <w:sz w:val="29"/>
                <w:szCs w:val="29"/>
                <w:color w:val="auto"/>
                <w:vertAlign w:val="superscript"/>
              </w:rPr>
              <w:t>70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DDJ Investments, LLC</w:t>
            </w:r>
            <w:r>
              <w:rPr>
                <w:rFonts w:ascii="Times New Roman" w:cs="Times New Roman" w:eastAsia="Times New Roman" w:hAnsi="Times New Roman"/>
                <w:sz w:val="29"/>
                <w:szCs w:val="29"/>
                <w:color w:val="auto"/>
                <w:vertAlign w:val="superscript"/>
              </w:rPr>
              <w:t>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 Hardee</w:t>
            </w:r>
            <w:r>
              <w:rPr>
                <w:rFonts w:ascii="Times New Roman" w:cs="Times New Roman" w:eastAsia="Times New Roman" w:hAnsi="Times New Roman"/>
                <w:sz w:val="29"/>
                <w:szCs w:val="29"/>
                <w:color w:val="auto"/>
                <w:vertAlign w:val="superscript"/>
              </w:rPr>
              <w:t>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Thompson</w:t>
            </w:r>
            <w:r>
              <w:rPr>
                <w:rFonts w:ascii="Times New Roman" w:cs="Times New Roman" w:eastAsia="Times New Roman" w:hAnsi="Times New Roman"/>
                <w:sz w:val="29"/>
                <w:szCs w:val="29"/>
                <w:color w:val="auto"/>
                <w:vertAlign w:val="superscript"/>
              </w:rPr>
              <w:t>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 R. Stegner &amp; Laurie K.E. Stegner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Payette Investments, LLC</w:t>
            </w:r>
            <w:r>
              <w:rPr>
                <w:rFonts w:ascii="Times New Roman" w:cs="Times New Roman" w:eastAsia="Times New Roman" w:hAnsi="Times New Roman"/>
                <w:sz w:val="29"/>
                <w:szCs w:val="29"/>
                <w:color w:val="auto"/>
                <w:vertAlign w:val="superscript"/>
              </w:rPr>
              <w:t>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 Lamm</w:t>
            </w:r>
            <w:r>
              <w:rPr>
                <w:rFonts w:ascii="Times New Roman" w:cs="Times New Roman" w:eastAsia="Times New Roman" w:hAnsi="Times New Roman"/>
                <w:sz w:val="29"/>
                <w:szCs w:val="29"/>
                <w:color w:val="auto"/>
                <w:vertAlign w:val="superscript"/>
              </w:rPr>
              <w:t>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Darren Davies</w:t>
            </w:r>
            <w:r>
              <w:rPr>
                <w:rFonts w:ascii="Times New Roman" w:cs="Times New Roman" w:eastAsia="Times New Roman" w:hAnsi="Times New Roman"/>
                <w:sz w:val="29"/>
                <w:szCs w:val="29"/>
                <w:color w:val="auto"/>
                <w:vertAlign w:val="superscript"/>
              </w:rPr>
              <w:t>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Hemanth Kumar</w:t>
            </w:r>
            <w:r>
              <w:rPr>
                <w:rFonts w:ascii="Times New Roman" w:cs="Times New Roman" w:eastAsia="Times New Roman" w:hAnsi="Times New Roman"/>
                <w:sz w:val="29"/>
                <w:szCs w:val="29"/>
                <w:color w:val="auto"/>
                <w:vertAlign w:val="superscript"/>
              </w:rPr>
              <w:t>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420" w:right="40" w:hanging="358"/>
        <w:spacing w:after="0" w:line="195" w:lineRule="auto"/>
        <w:tabs>
          <w:tab w:leader="none" w:pos="42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Charles Price and Judy Price JT Ten. The address of the principal business office of Charles Price and Judy Price JT Ten is 5001 W. Tia Inez St., Eagle, ID 83616.</w:t>
      </w:r>
    </w:p>
    <w:p>
      <w:pPr>
        <w:spacing w:after="0" w:line="254" w:lineRule="exact"/>
        <w:rPr>
          <w:sz w:val="20"/>
          <w:szCs w:val="20"/>
          <w:color w:val="auto"/>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Lloyd. The address of the principal business office of Steven Lloyd is 3505 N. Llama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Kristopher Townsend &amp; Amanda Townsend JT Ten. The address of the principal business office of Kristopher Townsend &amp; Amanda Townsend JT Ten is 3011 N. Merlot Place,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DDJ Investments, LLC. The address of the principal business office of DDJ Investments, LLC is 1487 S. David Lane,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Hardee. The address of the principal business office of Greg Hardee is 3371 E. Heartleaf Dr.,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Thompson. The address of the principal business office of Scott Thompson is 457 West Two Rivers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R. Stegner &amp; Laurie K.E. Stegner JT Ten. The address of the principal business office of John R. Stegner &amp; Laurie K.E. Stegner JT Ten is 420 W. Main St., Suite 403,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217"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Suite 300, Boise, ID 83702.</w:t>
      </w:r>
    </w:p>
    <w:p>
      <w:pPr>
        <w:spacing w:after="0" w:line="129"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 Lamm. The address of the principal business office of Scott C. Lamm is 1775 W. State St. #222,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Darren Davies. The address of the principal business office of Darren Davies is 3704 S. Riva Ridge Way, Boise, ID 83709.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Hemanth Kumar. The address of the principal business office of Hemanth Kumar is 2644 Rue Montpellier Ave, Henderson, NV 89044.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Clark Investments, LLC</w:t>
            </w:r>
            <w:r>
              <w:rPr>
                <w:rFonts w:ascii="Times New Roman" w:cs="Times New Roman" w:eastAsia="Times New Roman" w:hAnsi="Times New Roman"/>
                <w:sz w:val="29"/>
                <w:szCs w:val="29"/>
                <w:color w:val="auto"/>
                <w:vertAlign w:val="superscript"/>
              </w:rPr>
              <w:t>79</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Lance Churchill</w:t>
            </w:r>
            <w:r>
              <w:rPr>
                <w:rFonts w:ascii="Times New Roman" w:cs="Times New Roman" w:eastAsia="Times New Roman" w:hAnsi="Times New Roman"/>
                <w:sz w:val="29"/>
                <w:szCs w:val="29"/>
                <w:color w:val="auto"/>
                <w:vertAlign w:val="superscript"/>
              </w:rPr>
              <w:t>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and Valynn Price</w:t>
            </w:r>
            <w:r>
              <w:rPr>
                <w:rFonts w:ascii="Times New Roman" w:cs="Times New Roman" w:eastAsia="Times New Roman" w:hAnsi="Times New Roman"/>
                <w:sz w:val="29"/>
                <w:szCs w:val="29"/>
                <w:color w:val="auto"/>
                <w:vertAlign w:val="superscript"/>
              </w:rPr>
              <w:t>81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Luke Nemec</w:t>
            </w:r>
            <w:r>
              <w:rPr>
                <w:rFonts w:ascii="Times New Roman" w:cs="Times New Roman" w:eastAsia="Times New Roman" w:hAnsi="Times New Roman"/>
                <w:sz w:val="29"/>
                <w:szCs w:val="29"/>
                <w:color w:val="auto"/>
                <w:vertAlign w:val="superscript"/>
              </w:rPr>
              <w:t>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Jerry Lee Miles</w:t>
            </w:r>
            <w:r>
              <w:rPr>
                <w:rFonts w:ascii="Times New Roman" w:cs="Times New Roman" w:eastAsia="Times New Roman" w:hAnsi="Times New Roman"/>
                <w:sz w:val="29"/>
                <w:szCs w:val="29"/>
                <w:color w:val="auto"/>
                <w:vertAlign w:val="superscript"/>
              </w:rPr>
              <w:t>83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Timothy Smith &amp; Molly Smith JT Ten</w:t>
            </w:r>
            <w:r>
              <w:rPr>
                <w:rFonts w:ascii="Times New Roman" w:cs="Times New Roman" w:eastAsia="Times New Roman" w:hAnsi="Times New Roman"/>
                <w:sz w:val="29"/>
                <w:szCs w:val="29"/>
                <w:color w:val="auto"/>
                <w:vertAlign w:val="superscript"/>
              </w:rPr>
              <w:t>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Clausen Family Trust</w:t>
            </w:r>
            <w:r>
              <w:rPr>
                <w:rFonts w:ascii="Times New Roman" w:cs="Times New Roman" w:eastAsia="Times New Roman" w:hAnsi="Times New Roman"/>
                <w:sz w:val="29"/>
                <w:szCs w:val="29"/>
                <w:color w:val="auto"/>
                <w:vertAlign w:val="superscript"/>
              </w:rPr>
              <w:t>85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Tina Marie Slippy</w:t>
            </w:r>
            <w:r>
              <w:rPr>
                <w:rFonts w:ascii="Times New Roman" w:cs="Times New Roman" w:eastAsia="Times New Roman" w:hAnsi="Times New Roman"/>
                <w:sz w:val="29"/>
                <w:szCs w:val="29"/>
                <w:color w:val="auto"/>
                <w:vertAlign w:val="superscript"/>
              </w:rPr>
              <w:t>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Metcalf</w:t>
            </w:r>
            <w:r>
              <w:rPr>
                <w:rFonts w:ascii="Times New Roman" w:cs="Times New Roman" w:eastAsia="Times New Roman" w:hAnsi="Times New Roman"/>
                <w:sz w:val="29"/>
                <w:szCs w:val="29"/>
                <w:color w:val="auto"/>
                <w:vertAlign w:val="superscript"/>
              </w:rPr>
              <w:t>87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Gary Allen</w:t>
            </w:r>
            <w:r>
              <w:rPr>
                <w:rFonts w:ascii="Times New Roman" w:cs="Times New Roman" w:eastAsia="Times New Roman" w:hAnsi="Times New Roman"/>
                <w:sz w:val="29"/>
                <w:szCs w:val="29"/>
                <w:color w:val="auto"/>
                <w:vertAlign w:val="superscript"/>
              </w:rPr>
              <w:t>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E. Kulbe</w:t>
            </w:r>
            <w:r>
              <w:rPr>
                <w:rFonts w:ascii="Times New Roman" w:cs="Times New Roman" w:eastAsia="Times New Roman" w:hAnsi="Times New Roman"/>
                <w:sz w:val="29"/>
                <w:szCs w:val="29"/>
                <w:color w:val="auto"/>
                <w:vertAlign w:val="superscript"/>
              </w:rPr>
              <w:t>89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Linda M. Kulbe</w:t>
            </w:r>
            <w:r>
              <w:rPr>
                <w:rFonts w:ascii="Times New Roman" w:cs="Times New Roman" w:eastAsia="Times New Roman" w:hAnsi="Times New Roman"/>
                <w:sz w:val="29"/>
                <w:szCs w:val="29"/>
                <w:color w:val="auto"/>
                <w:vertAlign w:val="superscript"/>
              </w:rPr>
              <w:t>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Courtnie V. Kulbe</w:t>
            </w:r>
            <w:r>
              <w:rPr>
                <w:rFonts w:ascii="Times New Roman" w:cs="Times New Roman" w:eastAsia="Times New Roman" w:hAnsi="Times New Roman"/>
                <w:sz w:val="29"/>
                <w:szCs w:val="29"/>
                <w:color w:val="auto"/>
                <w:vertAlign w:val="superscript"/>
              </w:rPr>
              <w:t>91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Clark Investments, LLC. The address of the principal business office of Clark Investments, LLC is 710 Riverpoint Ct, Ste 100, West Sacramento, CA 95605.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Lance Churchill. The address of the principal business office of Lance Churchill is 967 E. Parkcenter Blvd. #302,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and Valynn Price. The address of the principal business office of David and Valynn Price is 2601 E. Picard Ct.,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Luke Nemec. The address of the principal business office of Luke Nemec is 1783 East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Lee Miles. The address of the principal business office of Jerry Lee Miles is 1661 East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Timothy Smith &amp; Molly Smith JT Ten. The address of the principal business office of Timothy Smith &amp; Molly Smith JT Ten is 3200 Birch Street, Baker City, OR 97814.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Clausen Family Trust. The address of the principal business office of The Clausen Family Trust is 1881 Heron Ridge Drive, Bloomfield Hills, MI 78302.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Tina Marie Slippy. The address of the principal business office of Tina Marie Slippy is 609 W. Colchester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Metcalf. The address of the principal business office of James Metcalf is 2415 Wild Eagle Ter., Reno, NV 89511.</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Gary Allen. The address of the principal business office of Gary Allen is 3819 N. 2300E, Filer, ID 83328.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Kulbe. The address of the principal business office of Eric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Linda M. Kulbe. The address of the principal business office of Linda M. Kulbe is 24577 County Road 50, Iliff, CO 80736.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Courtnie V. Kulbe. The address of the principal business office of Courtnie V. Kulbe is 10121 Crooked Stick Trail, Lone Tree, CO 80124.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041"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Callie V. Kulbe</w:t>
            </w:r>
            <w:r>
              <w:rPr>
                <w:rFonts w:ascii="Times New Roman" w:cs="Times New Roman" w:eastAsia="Times New Roman" w:hAnsi="Times New Roman"/>
                <w:sz w:val="29"/>
                <w:szCs w:val="29"/>
                <w:color w:val="auto"/>
                <w:vertAlign w:val="superscript"/>
              </w:rPr>
              <w:t>92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Charlsie V. Kulbe</w:t>
            </w:r>
            <w:r>
              <w:rPr>
                <w:rFonts w:ascii="Times New Roman" w:cs="Times New Roman" w:eastAsia="Times New Roman" w:hAnsi="Times New Roman"/>
                <w:sz w:val="29"/>
                <w:szCs w:val="29"/>
                <w:color w:val="auto"/>
                <w:vertAlign w:val="superscript"/>
              </w:rPr>
              <w:t>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Jackie K. Kulbe</w:t>
            </w:r>
            <w:r>
              <w:rPr>
                <w:rFonts w:ascii="Times New Roman" w:cs="Times New Roman" w:eastAsia="Times New Roman" w:hAnsi="Times New Roman"/>
                <w:sz w:val="29"/>
                <w:szCs w:val="29"/>
                <w:color w:val="auto"/>
                <w:vertAlign w:val="superscript"/>
              </w:rPr>
              <w:t>94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Conklin</w:t>
            </w:r>
            <w:r>
              <w:rPr>
                <w:rFonts w:ascii="Times New Roman" w:cs="Times New Roman" w:eastAsia="Times New Roman" w:hAnsi="Times New Roman"/>
                <w:sz w:val="29"/>
                <w:szCs w:val="29"/>
                <w:color w:val="auto"/>
                <w:vertAlign w:val="superscript"/>
              </w:rPr>
              <w:t>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Royce Chigbrow</w:t>
            </w:r>
            <w:r>
              <w:rPr>
                <w:rFonts w:ascii="Times New Roman" w:cs="Times New Roman" w:eastAsia="Times New Roman" w:hAnsi="Times New Roman"/>
                <w:sz w:val="29"/>
                <w:szCs w:val="29"/>
                <w:color w:val="auto"/>
                <w:vertAlign w:val="superscript"/>
              </w:rPr>
              <w:t>96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Carley Mings</w:t>
            </w:r>
            <w:r>
              <w:rPr>
                <w:rFonts w:ascii="Times New Roman" w:cs="Times New Roman" w:eastAsia="Times New Roman" w:hAnsi="Times New Roman"/>
                <w:sz w:val="29"/>
                <w:szCs w:val="29"/>
                <w:color w:val="auto"/>
                <w:vertAlign w:val="superscript"/>
              </w:rPr>
              <w:t>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Nead</w:t>
            </w:r>
            <w:r>
              <w:rPr>
                <w:rFonts w:ascii="Times New Roman" w:cs="Times New Roman" w:eastAsia="Times New Roman" w:hAnsi="Times New Roman"/>
                <w:sz w:val="29"/>
                <w:szCs w:val="29"/>
                <w:color w:val="auto"/>
                <w:vertAlign w:val="superscript"/>
              </w:rPr>
              <w:t>98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RMO Ventures</w:t>
            </w:r>
            <w:r>
              <w:rPr>
                <w:rFonts w:ascii="Times New Roman" w:cs="Times New Roman" w:eastAsia="Times New Roman" w:hAnsi="Times New Roman"/>
                <w:sz w:val="29"/>
                <w:szCs w:val="29"/>
                <w:color w:val="auto"/>
                <w:vertAlign w:val="superscript"/>
              </w:rPr>
              <w:t>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Maxemilian Gilman</w:t>
            </w:r>
            <w:r>
              <w:rPr>
                <w:rFonts w:ascii="Times New Roman" w:cs="Times New Roman" w:eastAsia="Times New Roman" w:hAnsi="Times New Roman"/>
                <w:sz w:val="29"/>
                <w:szCs w:val="29"/>
                <w:color w:val="auto"/>
                <w:vertAlign w:val="superscript"/>
              </w:rPr>
              <w:t>100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Casey Oiness</w:t>
            </w:r>
            <w:r>
              <w:rPr>
                <w:rFonts w:ascii="Times New Roman" w:cs="Times New Roman" w:eastAsia="Times New Roman" w:hAnsi="Times New Roman"/>
                <w:sz w:val="29"/>
                <w:szCs w:val="29"/>
                <w:color w:val="auto"/>
                <w:vertAlign w:val="superscript"/>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Wendy Zolezzi</w:t>
            </w:r>
            <w:r>
              <w:rPr>
                <w:rFonts w:ascii="Times New Roman" w:cs="Times New Roman" w:eastAsia="Times New Roman" w:hAnsi="Times New Roman"/>
                <w:sz w:val="29"/>
                <w:szCs w:val="29"/>
                <w:color w:val="auto"/>
                <w:vertAlign w:val="superscript"/>
              </w:rPr>
              <w:t>102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Brooks Kochvar</w:t>
            </w:r>
            <w:r>
              <w:rPr>
                <w:rFonts w:ascii="Times New Roman" w:cs="Times New Roman" w:eastAsia="Times New Roman" w:hAnsi="Times New Roman"/>
                <w:sz w:val="29"/>
                <w:szCs w:val="29"/>
                <w:color w:val="auto"/>
                <w:vertAlign w:val="superscript"/>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Gilman</w:t>
            </w:r>
            <w:r>
              <w:rPr>
                <w:rFonts w:ascii="Times New Roman" w:cs="Times New Roman" w:eastAsia="Times New Roman" w:hAnsi="Times New Roman"/>
                <w:sz w:val="29"/>
                <w:szCs w:val="29"/>
                <w:color w:val="auto"/>
                <w:vertAlign w:val="superscript"/>
              </w:rPr>
              <w:t>104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Callie V. Kulbe. The address of the principal business office of Callie V.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Charlsie V. Kulbe. The address of the principal business office of Charlsie V.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Jackie K. Kulbe. The address of the principal business office of Jackie K.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Conklin. The address of the principal business office of Michael Conklin is 2030 S. Hills Ave, Meridian, ID 83642.</w:t>
      </w:r>
    </w:p>
    <w:p>
      <w:pPr>
        <w:spacing w:after="0" w:line="257"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Royce Chigbrow. The address of the principal business office of Royce Chigbrow is 412 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 Apt. 521,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Carley Mings. The address of the principal business office of Carley Mings is 381 W. Ridgeline Dr.,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Nead. The address of the principal business office of Spencer Nead is 187 S. Steel Farm Ave.,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RMO Ventures. The address of the principal business office of RMO Ventures is 530 South Robinson Blvd, Nampa, ID 83687.</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Maxemilian Gilman. The address of the principal business office of Maxemilian Gilman is 3700 Clawson Rd, Apt. 121, Austin, TX 78704.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Casey Oiness. The address of the principal business office of Casey Oiness is 3430 Evergreen Point Road, Medina, WA 98039.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Zolezzi. The address of the principal business office of Wendy Zolezzi is 2660 Bad Rock Cir,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Brooks Kochvar. The address of the principal business office of Brooks Kochvar is 4327 N. Nines Ridge Ln, Boise, ID 83702.</w:t>
      </w:r>
    </w:p>
    <w:p>
      <w:pPr>
        <w:spacing w:after="0" w:line="257"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Gilman. The address of the principal business office of Steven Gilman is 1201 N.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Boise, ID 83702.</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96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Mings</w:t>
            </w:r>
            <w:r>
              <w:rPr>
                <w:rFonts w:ascii="Times New Roman" w:cs="Times New Roman" w:eastAsia="Times New Roman" w:hAnsi="Times New Roman"/>
                <w:sz w:val="29"/>
                <w:szCs w:val="29"/>
                <w:color w:val="auto"/>
                <w:vertAlign w:val="superscript"/>
              </w:rPr>
              <w:t>105</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Bethany Anderson</w:t>
            </w:r>
            <w:r>
              <w:rPr>
                <w:rFonts w:ascii="Times New Roman" w:cs="Times New Roman" w:eastAsia="Times New Roman" w:hAnsi="Times New Roman"/>
                <w:sz w:val="29"/>
                <w:szCs w:val="29"/>
                <w:color w:val="auto"/>
                <w:vertAlign w:val="superscript"/>
              </w:rPr>
              <w:t>106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Brent Robinson</w:t>
            </w:r>
            <w:r>
              <w:rPr>
                <w:rFonts w:ascii="Times New Roman" w:cs="Times New Roman" w:eastAsia="Times New Roman" w:hAnsi="Times New Roman"/>
                <w:sz w:val="29"/>
                <w:szCs w:val="29"/>
                <w:color w:val="auto"/>
                <w:vertAlign w:val="superscript"/>
              </w:rPr>
              <w:t>107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Doug French</w:t>
            </w:r>
            <w:r>
              <w:rPr>
                <w:rFonts w:ascii="Times New Roman" w:cs="Times New Roman" w:eastAsia="Times New Roman" w:hAnsi="Times New Roman"/>
                <w:sz w:val="29"/>
                <w:szCs w:val="29"/>
                <w:color w:val="auto"/>
                <w:vertAlign w:val="superscript"/>
              </w:rPr>
              <w:t>108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Karie Beyer</w:t>
            </w:r>
            <w:r>
              <w:rPr>
                <w:rFonts w:ascii="Times New Roman" w:cs="Times New Roman" w:eastAsia="Times New Roman" w:hAnsi="Times New Roman"/>
                <w:sz w:val="29"/>
                <w:szCs w:val="29"/>
                <w:color w:val="auto"/>
                <w:vertAlign w:val="superscript"/>
              </w:rPr>
              <w:t>109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Richard Handke</w:t>
            </w:r>
            <w:r>
              <w:rPr>
                <w:rFonts w:ascii="Times New Roman" w:cs="Times New Roman" w:eastAsia="Times New Roman" w:hAnsi="Times New Roman"/>
                <w:sz w:val="29"/>
                <w:szCs w:val="29"/>
                <w:color w:val="auto"/>
                <w:vertAlign w:val="superscript"/>
              </w:rPr>
              <w:t>110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Erin and Jacob Hut JT Ten</w:t>
            </w:r>
            <w:r>
              <w:rPr>
                <w:rFonts w:ascii="Times New Roman" w:cs="Times New Roman" w:eastAsia="Times New Roman" w:hAnsi="Times New Roman"/>
                <w:sz w:val="29"/>
                <w:szCs w:val="29"/>
                <w:color w:val="auto"/>
                <w:vertAlign w:val="superscript"/>
              </w:rPr>
              <w:t>111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Steven D. Robinson &amp; Lori A. Robinson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Matthew Gustavel &amp; Molly Gustavel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113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Kenneth W. Stephens</w:t>
            </w:r>
            <w:r>
              <w:rPr>
                <w:rFonts w:ascii="Times New Roman" w:cs="Times New Roman" w:eastAsia="Times New Roman" w:hAnsi="Times New Roman"/>
                <w:sz w:val="29"/>
                <w:szCs w:val="29"/>
                <w:color w:val="auto"/>
                <w:vertAlign w:val="superscript"/>
              </w:rPr>
              <w:t>114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Roger P. Scala</w:t>
            </w:r>
            <w:r>
              <w:rPr>
                <w:rFonts w:ascii="Times New Roman" w:cs="Times New Roman" w:eastAsia="Times New Roman" w:hAnsi="Times New Roman"/>
                <w:sz w:val="29"/>
                <w:szCs w:val="29"/>
                <w:color w:val="auto"/>
                <w:vertAlign w:val="superscript"/>
              </w:rPr>
              <w:t>115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Sullivan</w:t>
            </w:r>
            <w:r>
              <w:rPr>
                <w:rFonts w:ascii="Times New Roman" w:cs="Times New Roman" w:eastAsia="Times New Roman" w:hAnsi="Times New Roman"/>
                <w:sz w:val="29"/>
                <w:szCs w:val="29"/>
                <w:color w:val="auto"/>
                <w:vertAlign w:val="superscript"/>
              </w:rPr>
              <w:t>116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Mings. The address of the principal business office of Steven Mings is 750 W. Bannock, Unit 1958, Boise, ID 83701.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Bethany Anderson. The address of the principal business office of Bethany Anderson is 10432 W. Milclay St., Boise, ID 83704.</w:t>
      </w:r>
    </w:p>
    <w:p>
      <w:pPr>
        <w:spacing w:after="0" w:line="257" w:lineRule="exact"/>
        <w:rPr>
          <w:rFonts w:ascii="Times New Roman" w:cs="Times New Roman" w:eastAsia="Times New Roman" w:hAnsi="Times New Roman"/>
          <w:sz w:val="30"/>
          <w:szCs w:val="30"/>
          <w:color w:val="auto"/>
          <w:vertAlign w:val="superscript"/>
        </w:rPr>
      </w:pPr>
    </w:p>
    <w:p>
      <w:pPr>
        <w:ind w:left="380" w:right="20" w:hanging="345"/>
        <w:spacing w:after="0" w:line="211"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Robinson. The address of the principal business office of Brent Robinson is 926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Ave., Seattle, WA 98122.</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 French. The address of the principal business office of Doug French is 3918 N. Whitehead St.</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Karie Beyer. The address of the principal business office of Karie Beyer is 515 North Henry St, Kaysville, UT 84037.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Richard Handke. The address of the principal business office of Richard Handke is 3565 W. Muirfield,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Erin and Jacob Hut JT Ten. The address of the principal business office of Erin &amp; Jacob Hut JT Ten is 6811 S. Granite Mountain Ln, Spokane, WA 99223.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217"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D. Robinson &amp; Lori A. Robinson JT Ten. The address of the principal business office of Steven D. Robinson &amp; Lori A. Robinson JT Ten is 4535 NE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Seattle, WA 98105.</w:t>
      </w:r>
    </w:p>
    <w:p>
      <w:pPr>
        <w:spacing w:after="0" w:line="129"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Gustavel &amp; Molly Gustavel JT Ten. The address of the principal business office of Matthew Gustavel &amp; Molly Gustavel JT Ten is 655 E. Orion Dr.,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W. Stephens. The address of the principal business office of Kenneth W. Stephens is 918 N. Eagle Hills Way,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Roger P. Scala. The address of the principal business office of Roger P. Scala is 4925 Icaria Way, Oceanside, CA 92056.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Sullivan. The address of the principal business office of Cameron Sullivan is 2864 N. Chancery Pl.,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Dominic Quilici</w:t>
            </w:r>
            <w:r>
              <w:rPr>
                <w:rFonts w:ascii="Times New Roman" w:cs="Times New Roman" w:eastAsia="Times New Roman" w:hAnsi="Times New Roman"/>
                <w:sz w:val="29"/>
                <w:szCs w:val="29"/>
                <w:color w:val="auto"/>
                <w:vertAlign w:val="superscript"/>
              </w:rPr>
              <w:t>117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Duskin Terteling</w:t>
            </w:r>
            <w:r>
              <w:rPr>
                <w:rFonts w:ascii="Times New Roman" w:cs="Times New Roman" w:eastAsia="Times New Roman" w:hAnsi="Times New Roman"/>
                <w:sz w:val="29"/>
                <w:szCs w:val="29"/>
                <w:color w:val="auto"/>
                <w:vertAlign w:val="superscript"/>
              </w:rPr>
              <w:t>118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Russell Kawano</w:t>
            </w:r>
            <w:r>
              <w:rPr>
                <w:rFonts w:ascii="Times New Roman" w:cs="Times New Roman" w:eastAsia="Times New Roman" w:hAnsi="Times New Roman"/>
                <w:sz w:val="29"/>
                <w:szCs w:val="29"/>
                <w:color w:val="auto"/>
                <w:vertAlign w:val="superscript"/>
              </w:rPr>
              <w:t>119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Shanna Vincent</w:t>
            </w:r>
            <w:r>
              <w:rPr>
                <w:rFonts w:ascii="Times New Roman" w:cs="Times New Roman" w:eastAsia="Times New Roman" w:hAnsi="Times New Roman"/>
                <w:sz w:val="29"/>
                <w:szCs w:val="29"/>
                <w:color w:val="auto"/>
                <w:vertAlign w:val="superscript"/>
              </w:rPr>
              <w:t>120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 Johnson</w:t>
            </w:r>
            <w:r>
              <w:rPr>
                <w:rFonts w:ascii="Times New Roman" w:cs="Times New Roman" w:eastAsia="Times New Roman" w:hAnsi="Times New Roman"/>
                <w:sz w:val="29"/>
                <w:szCs w:val="29"/>
                <w:color w:val="auto"/>
                <w:vertAlign w:val="superscript"/>
              </w:rPr>
              <w:t>121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J. Neville</w:t>
            </w:r>
            <w:r>
              <w:rPr>
                <w:rFonts w:ascii="Times New Roman" w:cs="Times New Roman" w:eastAsia="Times New Roman" w:hAnsi="Times New Roman"/>
                <w:sz w:val="29"/>
                <w:szCs w:val="29"/>
                <w:color w:val="auto"/>
                <w:vertAlign w:val="superscript"/>
              </w:rPr>
              <w:t>122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G. Grigg &amp; Debora A. Grigg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Jessica Clow</w:t>
            </w:r>
            <w:r>
              <w:rPr>
                <w:rFonts w:ascii="Times New Roman" w:cs="Times New Roman" w:eastAsia="Times New Roman" w:hAnsi="Times New Roman"/>
                <w:sz w:val="29"/>
                <w:szCs w:val="29"/>
                <w:color w:val="auto"/>
                <w:vertAlign w:val="superscript"/>
              </w:rPr>
              <w:t>124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Jake Conklin</w:t>
            </w:r>
            <w:r>
              <w:rPr>
                <w:rFonts w:ascii="Times New Roman" w:cs="Times New Roman" w:eastAsia="Times New Roman" w:hAnsi="Times New Roman"/>
                <w:sz w:val="29"/>
                <w:szCs w:val="29"/>
                <w:color w:val="auto"/>
                <w:vertAlign w:val="superscript"/>
              </w:rPr>
              <w:t>125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Tucker Allen</w:t>
            </w:r>
            <w:r>
              <w:rPr>
                <w:rFonts w:ascii="Times New Roman" w:cs="Times New Roman" w:eastAsia="Times New Roman" w:hAnsi="Times New Roman"/>
                <w:sz w:val="29"/>
                <w:szCs w:val="29"/>
                <w:color w:val="auto"/>
                <w:vertAlign w:val="superscript"/>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Dominic Quilici. The address of the principal business office of Dominic Quilici is 4441 E. Parkcenter Blvd.,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Duskin Terteling. The address of the principal business office of Duskin Terteling is 6985 E. LaCuesta St.,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Russell Kawano. The address of the principal business office of Russell Kawano is 2171 Crosscreek Ln.,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Shanna Vincent. The address of the principal business office of Shanna Vincent is 1064 Don Vincent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 Johnson. The address of the principal business office of Sam Johnson is 3312 W. Bluecanyon St.,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J. Neville. The address of the principal business office of Brian J. Neville is 2016 W. Winterwood Ct.,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G. Grigg &amp; Debora A. Grigg JT Ten. The address of the principal business office of Mark G. Grigg &amp; Debora A. Grigg JT Ten is 949 S. 1050 East, Albion, ID 83311.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Jessica Clow. The address of the principal business office of Jessica Clow is 13893 W. Woodspring Dr.,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Jake Conklin. The address of the principal business office of Jake Conklin is 11347 West Dallan Ct.,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Tucker Allen. The address of the principal business office of Tucker Allen is 1660 Hidden Way, Malvern, PA 19355.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Jordan Buich</w:t>
            </w:r>
            <w:r>
              <w:rPr>
                <w:rFonts w:ascii="Times New Roman" w:cs="Times New Roman" w:eastAsia="Times New Roman" w:hAnsi="Times New Roman"/>
                <w:sz w:val="29"/>
                <w:szCs w:val="29"/>
                <w:color w:val="auto"/>
                <w:vertAlign w:val="superscript"/>
              </w:rPr>
              <w:t>127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Suzanne McKinney &amp; Richard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McKinney JT Ten</w:t>
            </w:r>
            <w:r>
              <w:rPr>
                <w:rFonts w:ascii="Times New Roman" w:cs="Times New Roman" w:eastAsia="Times New Roman" w:hAnsi="Times New Roman"/>
                <w:sz w:val="29"/>
                <w:szCs w:val="29"/>
                <w:color w:val="auto"/>
                <w:vertAlign w:val="superscript"/>
              </w:rPr>
              <w:t>128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Skelton &amp; Rochelle Skelton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Mary Vincent</w:t>
            </w:r>
            <w:r>
              <w:rPr>
                <w:rFonts w:ascii="Times New Roman" w:cs="Times New Roman" w:eastAsia="Times New Roman" w:hAnsi="Times New Roman"/>
                <w:sz w:val="29"/>
                <w:szCs w:val="29"/>
                <w:color w:val="auto"/>
                <w:vertAlign w:val="superscript"/>
              </w:rPr>
              <w:t>130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Buich</w:t>
            </w:r>
            <w:r>
              <w:rPr>
                <w:rFonts w:ascii="Times New Roman" w:cs="Times New Roman" w:eastAsia="Times New Roman" w:hAnsi="Times New Roman"/>
                <w:sz w:val="29"/>
                <w:szCs w:val="29"/>
                <w:color w:val="auto"/>
                <w:vertAlign w:val="superscript"/>
              </w:rPr>
              <w:t>131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Gina M. Stantucci</w:t>
            </w:r>
            <w:r>
              <w:rPr>
                <w:rFonts w:ascii="Times New Roman" w:cs="Times New Roman" w:eastAsia="Times New Roman" w:hAnsi="Times New Roman"/>
                <w:sz w:val="29"/>
                <w:szCs w:val="29"/>
                <w:color w:val="auto"/>
                <w:vertAlign w:val="superscript"/>
              </w:rPr>
              <w:t>132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Marcus Stuart</w:t>
            </w:r>
            <w:r>
              <w:rPr>
                <w:rFonts w:ascii="Times New Roman" w:cs="Times New Roman" w:eastAsia="Times New Roman" w:hAnsi="Times New Roman"/>
                <w:sz w:val="29"/>
                <w:szCs w:val="29"/>
                <w:color w:val="auto"/>
                <w:vertAlign w:val="superscript"/>
              </w:rPr>
              <w:t>133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 Gale</w:t>
            </w:r>
            <w:r>
              <w:rPr>
                <w:rFonts w:ascii="Times New Roman" w:cs="Times New Roman" w:eastAsia="Times New Roman" w:hAnsi="Times New Roman"/>
                <w:sz w:val="29"/>
                <w:szCs w:val="29"/>
                <w:color w:val="auto"/>
                <w:vertAlign w:val="superscript"/>
              </w:rPr>
              <w:t>134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Monica L. Davis</w:t>
            </w:r>
            <w:r>
              <w:rPr>
                <w:rFonts w:ascii="Times New Roman" w:cs="Times New Roman" w:eastAsia="Times New Roman" w:hAnsi="Times New Roman"/>
                <w:sz w:val="29"/>
                <w:szCs w:val="29"/>
                <w:color w:val="auto"/>
                <w:vertAlign w:val="superscript"/>
              </w:rPr>
              <w:t>135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T. Stockham</w:t>
            </w:r>
            <w:r>
              <w:rPr>
                <w:rFonts w:ascii="Times New Roman" w:cs="Times New Roman" w:eastAsia="Times New Roman" w:hAnsi="Times New Roman"/>
                <w:sz w:val="29"/>
                <w:szCs w:val="29"/>
                <w:color w:val="auto"/>
                <w:vertAlign w:val="superscript"/>
              </w:rPr>
              <w:t>136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Nikolas A. Buich</w:t>
            </w:r>
            <w:r>
              <w:rPr>
                <w:rFonts w:ascii="Times New Roman" w:cs="Times New Roman" w:eastAsia="Times New Roman" w:hAnsi="Times New Roman"/>
                <w:sz w:val="29"/>
                <w:szCs w:val="29"/>
                <w:color w:val="auto"/>
                <w:vertAlign w:val="superscript"/>
              </w:rPr>
              <w:t>137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Dylan Rodgers</w:t>
            </w:r>
            <w:r>
              <w:rPr>
                <w:rFonts w:ascii="Times New Roman" w:cs="Times New Roman" w:eastAsia="Times New Roman" w:hAnsi="Times New Roman"/>
                <w:sz w:val="29"/>
                <w:szCs w:val="29"/>
                <w:color w:val="auto"/>
                <w:vertAlign w:val="superscript"/>
              </w:rPr>
              <w:t>138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Jeremy Palmerton &amp; Wendy Palmerton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139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Jordan Buich. The address of the principal business office of Jordan Buich is 132 Monarch Bay Dr., Dana Point, CA 92629.</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Suzanne McKinney &amp; Richard McKinney JT Ten. The address of the principal business office of Suzanne McKinney &amp; Richard McKinney JT Ten is 1331 E. Lone Creek Dr., Eagle, ID 83616.</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Skelton &amp; Rochelle Skelton JT Ten. The address of the principal business office of Mark Skelton &amp; Rochelle Skelton JT Ten is 3846 S. Baja Way, Boise, ID 83709.</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Vincent. The address of the principal business office of Mary Vincent is 2291 Bensley St., Henderson, NV 89044.</w:t>
      </w:r>
    </w:p>
    <w:p>
      <w:pPr>
        <w:spacing w:after="0" w:line="129"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Buich. The address of the principal business office of David Buich is PO Box 516, Eagle, ID 83616.</w:t>
      </w:r>
    </w:p>
    <w:p>
      <w:pPr>
        <w:spacing w:after="0" w:line="241"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Gina M. Stantucci. The address of the principal business office of Gina M. Stantucci is 1837B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North, Nashville, TN 37208.</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Marcus Stuart. The address of the principal business office of Marcus Stuart is 5298 N. Hickory Tree Way, Boise, ID 83713.</w:t>
      </w:r>
    </w:p>
    <w:p>
      <w:pPr>
        <w:spacing w:after="0" w:line="243"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Gale. The address of the principal business office of Greg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Scottsdale, AZ 85254.</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Monica L. Davis. The address of the principal business office of Monica L. Davis is 998 E. Winding Creek Dr., Eagle, ID 83616.</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T. Stockham. The address of the principal business office of Robert T. Stockham is 3608 S. Julianite Ave., Nampa, ID 83686.</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Nikolas A. Buich. The address of the principal business office of Nikolas A. Buich is 1064 S. Don Vincent Lane, Eagle, ID 83616.</w:t>
      </w:r>
    </w:p>
    <w:p>
      <w:pPr>
        <w:spacing w:after="0" w:line="129"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Dylan Rodgers. The address of the principal business office of Dylan Rodgers is PO Box 891, Meridian, ID 83680.</w:t>
      </w:r>
    </w:p>
    <w:p>
      <w:pPr>
        <w:spacing w:after="0" w:line="238"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Palmerton &amp; Wendy Palmerton JT Ten. The address of the principal business office of Jeremy Palmerton &amp; Wendy Palmerton JT Ten is 3458 N. Weston Way,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17"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Marshburn</w:t>
            </w:r>
            <w:r>
              <w:rPr>
                <w:rFonts w:ascii="Times New Roman" w:cs="Times New Roman" w:eastAsia="Times New Roman" w:hAnsi="Times New Roman"/>
                <w:sz w:val="29"/>
                <w:szCs w:val="29"/>
                <w:color w:val="auto"/>
                <w:vertAlign w:val="superscript"/>
              </w:rPr>
              <w:t>140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Danible Realty LLC</w:t>
            </w:r>
            <w:r>
              <w:rPr>
                <w:rFonts w:ascii="Times New Roman" w:cs="Times New Roman" w:eastAsia="Times New Roman" w:hAnsi="Times New Roman"/>
                <w:sz w:val="29"/>
                <w:szCs w:val="29"/>
                <w:color w:val="auto"/>
                <w:vertAlign w:val="superscript"/>
              </w:rPr>
              <w:t>141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Kyle Delorey</w:t>
            </w:r>
            <w:r>
              <w:rPr>
                <w:rFonts w:ascii="Times New Roman" w:cs="Times New Roman" w:eastAsia="Times New Roman" w:hAnsi="Times New Roman"/>
                <w:sz w:val="29"/>
                <w:szCs w:val="29"/>
                <w:color w:val="auto"/>
                <w:vertAlign w:val="superscript"/>
              </w:rPr>
              <w:t>142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Melhorn &amp; Stephanie Melhorn JT Ten</w:t>
            </w:r>
            <w:r>
              <w:rPr>
                <w:rFonts w:ascii="Times New Roman" w:cs="Times New Roman" w:eastAsia="Times New Roman" w:hAnsi="Times New Roman"/>
                <w:sz w:val="29"/>
                <w:szCs w:val="29"/>
                <w:color w:val="auto"/>
                <w:vertAlign w:val="superscript"/>
              </w:rPr>
              <w:t>143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Randall Moss</w:t>
            </w:r>
            <w:r>
              <w:rPr>
                <w:rFonts w:ascii="Times New Roman" w:cs="Times New Roman" w:eastAsia="Times New Roman" w:hAnsi="Times New Roman"/>
                <w:sz w:val="29"/>
                <w:szCs w:val="29"/>
                <w:color w:val="auto"/>
                <w:vertAlign w:val="superscript"/>
              </w:rPr>
              <w:t>144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Nathan Smith</w:t>
            </w:r>
            <w:r>
              <w:rPr>
                <w:rFonts w:ascii="Times New Roman" w:cs="Times New Roman" w:eastAsia="Times New Roman" w:hAnsi="Times New Roman"/>
                <w:sz w:val="29"/>
                <w:szCs w:val="29"/>
                <w:color w:val="auto"/>
                <w:vertAlign w:val="superscript"/>
              </w:rPr>
              <w:t>145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Neal Stuart</w:t>
            </w:r>
            <w:r>
              <w:rPr>
                <w:rFonts w:ascii="Times New Roman" w:cs="Times New Roman" w:eastAsia="Times New Roman" w:hAnsi="Times New Roman"/>
                <w:sz w:val="29"/>
                <w:szCs w:val="29"/>
                <w:color w:val="auto"/>
                <w:vertAlign w:val="superscript"/>
              </w:rPr>
              <w:t>146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Clinton Christensen</w:t>
            </w:r>
            <w:r>
              <w:rPr>
                <w:rFonts w:ascii="Times New Roman" w:cs="Times New Roman" w:eastAsia="Times New Roman" w:hAnsi="Times New Roman"/>
                <w:sz w:val="29"/>
                <w:szCs w:val="29"/>
                <w:color w:val="auto"/>
                <w:vertAlign w:val="superscript"/>
              </w:rPr>
              <w:t>147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Kelsie Nalder</w:t>
            </w:r>
            <w:r>
              <w:rPr>
                <w:rFonts w:ascii="Times New Roman" w:cs="Times New Roman" w:eastAsia="Times New Roman" w:hAnsi="Times New Roman"/>
                <w:sz w:val="29"/>
                <w:szCs w:val="29"/>
                <w:color w:val="auto"/>
                <w:vertAlign w:val="superscript"/>
              </w:rPr>
              <w:t>148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D. Barnes</w:t>
            </w:r>
            <w:r>
              <w:rPr>
                <w:rFonts w:ascii="Times New Roman" w:cs="Times New Roman" w:eastAsia="Times New Roman" w:hAnsi="Times New Roman"/>
                <w:sz w:val="29"/>
                <w:szCs w:val="29"/>
                <w:color w:val="auto"/>
                <w:vertAlign w:val="superscript"/>
              </w:rPr>
              <w:t>149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Jack Lunsford &amp; Katie Lunsford JT Ten</w:t>
            </w:r>
            <w:r>
              <w:rPr>
                <w:rFonts w:ascii="Times New Roman" w:cs="Times New Roman" w:eastAsia="Times New Roman" w:hAnsi="Times New Roman"/>
                <w:sz w:val="29"/>
                <w:szCs w:val="29"/>
                <w:color w:val="auto"/>
                <w:vertAlign w:val="superscript"/>
              </w:rPr>
              <w:t>150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Garn</w:t>
            </w:r>
            <w:r>
              <w:rPr>
                <w:rFonts w:ascii="Times New Roman" w:cs="Times New Roman" w:eastAsia="Times New Roman" w:hAnsi="Times New Roman"/>
                <w:sz w:val="29"/>
                <w:szCs w:val="29"/>
                <w:color w:val="auto"/>
                <w:vertAlign w:val="superscript"/>
              </w:rPr>
              <w:t>151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Garrett Jones</w:t>
            </w:r>
            <w:r>
              <w:rPr>
                <w:rFonts w:ascii="Times New Roman" w:cs="Times New Roman" w:eastAsia="Times New Roman" w:hAnsi="Times New Roman"/>
                <w:sz w:val="29"/>
                <w:szCs w:val="29"/>
                <w:color w:val="auto"/>
                <w:vertAlign w:val="superscript"/>
              </w:rPr>
              <w:t>152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Marshburn. The address of the principal business office of Mark Marshburn is 7135 N. Spurwing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Danible Realty LLC. Alexis Danible is the sole member of Danible Realty LLC. The address of the principal business office of Danible Realty LLC is 10907 W. Annafaye St.,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Kyle Delorey. The address of the principal business office of Kyle Delorey 6807 W. Los Flores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Melhorn &amp; Stephanie Melhorn JT Ten. The address of the principal business office of Michael Melhorn &amp; Stephanie Melhorn JT Ten is 5130 W. Tia Inez St.,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 Randall Moss. The address of the principal business office of J. Randall Moss is 1930 N. Wind Cave Way,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Nathan Smith. The address of the principal business office of Nathan Smith is 6864 N. Pira, Meridian, ID 83646.</w:t>
      </w:r>
    </w:p>
    <w:p>
      <w:pPr>
        <w:spacing w:after="0" w:line="251"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Neal Stuart. The address of the principal business office of Neal Stuart is 2148 W. Three Lakes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Clinton Christensen. The address of the principal business office of Clinton Christensen is 3817 B North 2300 East, Filer, ID 83328.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Kelsie Nalder. The address of the principal business office of Kelsie Nalder is 946 Applewood Dr., Buhl, ID 83316.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Joshua D. Barnes. The address of the principal business office of Joshua D. Barnes is 3681 N. 2500 East, Twin Falls, ID 83301.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 Lunsford &amp; Katie Lunsford JT Ten. The address of the principal business office of Jack Lunsford &amp; Katie Lunsford JT Ten is 6560 N. Big Cedar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Garn. The address of the principal business office of Paul Garn is 1059 Pinewood Circle, Twin Falls, ID 83301.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Garrett Jones. The address of the principal business office of Garrett Jones is 3949 S. Northbridge Way, Boise, ID 83706.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041"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Leuzinger</w:t>
            </w:r>
            <w:r>
              <w:rPr>
                <w:rFonts w:ascii="Times New Roman" w:cs="Times New Roman" w:eastAsia="Times New Roman" w:hAnsi="Times New Roman"/>
                <w:sz w:val="29"/>
                <w:szCs w:val="29"/>
                <w:color w:val="auto"/>
                <w:vertAlign w:val="superscript"/>
              </w:rPr>
              <w:t>158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Holly Kawano</w:t>
            </w:r>
            <w:r>
              <w:rPr>
                <w:rFonts w:ascii="Times New Roman" w:cs="Times New Roman" w:eastAsia="Times New Roman" w:hAnsi="Times New Roman"/>
                <w:sz w:val="29"/>
                <w:szCs w:val="29"/>
                <w:color w:val="auto"/>
                <w:vertAlign w:val="superscript"/>
              </w:rPr>
              <w:t>159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Papineau Boyd</w:t>
            </w:r>
            <w:r>
              <w:rPr>
                <w:rFonts w:ascii="Times New Roman" w:cs="Times New Roman" w:eastAsia="Times New Roman" w:hAnsi="Times New Roman"/>
                <w:sz w:val="29"/>
                <w:szCs w:val="29"/>
                <w:color w:val="auto"/>
                <w:vertAlign w:val="superscript"/>
              </w:rPr>
              <w:t>160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Louis Piccioni &amp; Nita Piccioni JT Ten</w:t>
            </w:r>
            <w:r>
              <w:rPr>
                <w:rFonts w:ascii="Times New Roman" w:cs="Times New Roman" w:eastAsia="Times New Roman" w:hAnsi="Times New Roman"/>
                <w:sz w:val="29"/>
                <w:szCs w:val="29"/>
                <w:color w:val="auto"/>
                <w:vertAlign w:val="superscript"/>
              </w:rPr>
              <w:t>161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Beattie</w:t>
            </w:r>
            <w:r>
              <w:rPr>
                <w:rFonts w:ascii="Times New Roman" w:cs="Times New Roman" w:eastAsia="Times New Roman" w:hAnsi="Times New Roman"/>
                <w:sz w:val="29"/>
                <w:szCs w:val="29"/>
                <w:color w:val="auto"/>
                <w:vertAlign w:val="superscript"/>
              </w:rPr>
              <w:t>162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Stone</w:t>
            </w:r>
            <w:r>
              <w:rPr>
                <w:rFonts w:ascii="Times New Roman" w:cs="Times New Roman" w:eastAsia="Times New Roman" w:hAnsi="Times New Roman"/>
                <w:sz w:val="29"/>
                <w:szCs w:val="29"/>
                <w:color w:val="auto"/>
                <w:vertAlign w:val="superscript"/>
              </w:rPr>
              <w:t>163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Rory Jones</w:t>
            </w:r>
            <w:r>
              <w:rPr>
                <w:rFonts w:ascii="Times New Roman" w:cs="Times New Roman" w:eastAsia="Times New Roman" w:hAnsi="Times New Roman"/>
                <w:sz w:val="29"/>
                <w:szCs w:val="29"/>
                <w:color w:val="auto"/>
                <w:vertAlign w:val="superscript"/>
              </w:rPr>
              <w:t>164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Riley Jones</w:t>
            </w:r>
            <w:r>
              <w:rPr>
                <w:rFonts w:ascii="Times New Roman" w:cs="Times New Roman" w:eastAsia="Times New Roman" w:hAnsi="Times New Roman"/>
                <w:sz w:val="29"/>
                <w:szCs w:val="29"/>
                <w:color w:val="auto"/>
                <w:vertAlign w:val="superscript"/>
              </w:rPr>
              <w:t>165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Richard E. O’Bringer Revokable Living Trust</w:t>
            </w:r>
            <w:r>
              <w:rPr>
                <w:rFonts w:ascii="Times New Roman" w:cs="Times New Roman" w:eastAsia="Times New Roman" w:hAnsi="Times New Roman"/>
                <w:sz w:val="29"/>
                <w:szCs w:val="29"/>
                <w:color w:val="auto"/>
                <w:vertAlign w:val="superscript"/>
              </w:rPr>
              <w:t>166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Jeffery Pender</w:t>
            </w:r>
            <w:r>
              <w:rPr>
                <w:rFonts w:ascii="Times New Roman" w:cs="Times New Roman" w:eastAsia="Times New Roman" w:hAnsi="Times New Roman"/>
                <w:sz w:val="29"/>
                <w:szCs w:val="29"/>
                <w:color w:val="auto"/>
                <w:vertAlign w:val="superscript"/>
              </w:rPr>
              <w:t>167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Coronet &amp; Ken Coronet JT Ten</w:t>
            </w:r>
            <w:r>
              <w:rPr>
                <w:rFonts w:ascii="Times New Roman" w:cs="Times New Roman" w:eastAsia="Times New Roman" w:hAnsi="Times New Roman"/>
                <w:sz w:val="29"/>
                <w:szCs w:val="29"/>
                <w:color w:val="auto"/>
                <w:vertAlign w:val="superscript"/>
              </w:rPr>
              <w:t>168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Louise Buich</w:t>
            </w:r>
            <w:r>
              <w:rPr>
                <w:rFonts w:ascii="Times New Roman" w:cs="Times New Roman" w:eastAsia="Times New Roman" w:hAnsi="Times New Roman"/>
                <w:sz w:val="29"/>
                <w:szCs w:val="29"/>
                <w:color w:val="auto"/>
                <w:vertAlign w:val="superscript"/>
              </w:rPr>
              <w:t>169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6,007</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6,007</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Jared Leuzinger. The address of the principal business office of Jared Leuzinger is 1390 N. Deep Creek Way, Meridian, ID 83642-4215.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Holly Kawano. The address of the principal business office of Holly Kawano is 2484 Sunshine Dr., Boise, ID 83712.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Sean Papineau Boyd. The address of the principal business office of Sean Papineau Boyd is 838 Bryant Ave., Walla Walla, WA 99362.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Louis Piccioni &amp; Nita Piccioni JT Ten. The address of the principal business office of Louis Piccioni &amp; Nita Piccioni JT Ten is 1217 E. Lone Creek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Beattie. The address of the principal business office of Ryan Beattie is 11497 W. Blackmoor St., Boise, ID 83709.</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Stone. The address of the principal business office of Eric Stone is 1082 E. Tuttle St., Meridian, ID 83646.</w:t>
      </w:r>
    </w:p>
    <w:p>
      <w:pPr>
        <w:spacing w:after="0" w:line="163"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Rory Jones. The address of the principal business office of Rory Jones is 910 E. Curling Dr., Boise, ID 83702.</w:t>
      </w:r>
    </w:p>
    <w:p>
      <w:pPr>
        <w:spacing w:after="0" w:line="164"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Riley Jones. The address of the principal business office of Riley Jones is 1641 S. Annett, Boise, ID 83705.</w:t>
      </w:r>
    </w:p>
    <w:p>
      <w:pPr>
        <w:spacing w:after="0" w:line="252"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Richard E. O’Bringer Revokable Living Trust. Richard O’Bringer is the sole trustee. The address of the principal business office of the Richard E. O’Bringer Revokable Living Trust is 11413 Perugino Dr., Las Vegas, NV 89138.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Jeffery Pender. The address of the principal business office of Jeffery Pender is Calcada Marques Abrantes 95, RC ESQ Lisbon, Portugal 1200-718.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Coronet &amp; Ken Coronet JT Ten. The address of the principal business office of Scott Coronet &amp; Ken Coronet JT Ten is 15006 Alexander, Huntersville, NC 28078.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Karen Louise Buich. The address of the principal business office of Karen Louise Buich is 1109 S. Renovare Lane, Eagle, ID 83616.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Laurie S. Forster</w:t>
            </w:r>
            <w:r>
              <w:rPr>
                <w:rFonts w:ascii="Times New Roman" w:cs="Times New Roman" w:eastAsia="Times New Roman" w:hAnsi="Times New Roman"/>
                <w:sz w:val="29"/>
                <w:szCs w:val="29"/>
                <w:color w:val="auto"/>
                <w:vertAlign w:val="superscript"/>
              </w:rPr>
              <w:t>170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Kalisa Houdek</w:t>
            </w:r>
            <w:r>
              <w:rPr>
                <w:rFonts w:ascii="Times New Roman" w:cs="Times New Roman" w:eastAsia="Times New Roman" w:hAnsi="Times New Roman"/>
                <w:sz w:val="29"/>
                <w:szCs w:val="29"/>
                <w:color w:val="auto"/>
                <w:vertAlign w:val="superscript"/>
              </w:rPr>
              <w:t>171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Ray</w:t>
            </w:r>
            <w:r>
              <w:rPr>
                <w:rFonts w:ascii="Times New Roman" w:cs="Times New Roman" w:eastAsia="Times New Roman" w:hAnsi="Times New Roman"/>
                <w:sz w:val="29"/>
                <w:szCs w:val="29"/>
                <w:color w:val="auto"/>
                <w:vertAlign w:val="superscript"/>
              </w:rPr>
              <w:t>172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Darwin Chen</w:t>
            </w:r>
            <w:r>
              <w:rPr>
                <w:rFonts w:ascii="Times New Roman" w:cs="Times New Roman" w:eastAsia="Times New Roman" w:hAnsi="Times New Roman"/>
                <w:sz w:val="29"/>
                <w:szCs w:val="29"/>
                <w:color w:val="auto"/>
                <w:vertAlign w:val="superscript"/>
              </w:rPr>
              <w:t>173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Jami Vincent</w:t>
            </w:r>
            <w:r>
              <w:rPr>
                <w:rFonts w:ascii="Times New Roman" w:cs="Times New Roman" w:eastAsia="Times New Roman" w:hAnsi="Times New Roman"/>
                <w:sz w:val="29"/>
                <w:szCs w:val="29"/>
                <w:color w:val="auto"/>
                <w:vertAlign w:val="superscript"/>
              </w:rPr>
              <w:t>174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Jerry Nemec</w:t>
            </w:r>
            <w:r>
              <w:rPr>
                <w:rFonts w:ascii="Times New Roman" w:cs="Times New Roman" w:eastAsia="Times New Roman" w:hAnsi="Times New Roman"/>
                <w:sz w:val="29"/>
                <w:szCs w:val="29"/>
                <w:color w:val="auto"/>
                <w:vertAlign w:val="superscript"/>
              </w:rPr>
              <w:t>175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Gregory Goodman &amp; Laree Goodman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Kyle Nagy Trust</w:t>
            </w:r>
            <w:r>
              <w:rPr>
                <w:rFonts w:ascii="Times New Roman" w:cs="Times New Roman" w:eastAsia="Times New Roman" w:hAnsi="Times New Roman"/>
                <w:sz w:val="29"/>
                <w:szCs w:val="29"/>
                <w:color w:val="auto"/>
                <w:vertAlign w:val="superscript"/>
              </w:rPr>
              <w:t>177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Multipro Inc</w:t>
            </w:r>
            <w:r>
              <w:rPr>
                <w:rFonts w:ascii="Times New Roman" w:cs="Times New Roman" w:eastAsia="Times New Roman" w:hAnsi="Times New Roman"/>
                <w:sz w:val="29"/>
                <w:szCs w:val="29"/>
                <w:color w:val="auto"/>
                <w:vertAlign w:val="superscript"/>
              </w:rPr>
              <w:t>178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Hanson</w:t>
            </w:r>
            <w:r>
              <w:rPr>
                <w:rFonts w:ascii="Times New Roman" w:cs="Times New Roman" w:eastAsia="Times New Roman" w:hAnsi="Times New Roman"/>
                <w:sz w:val="29"/>
                <w:szCs w:val="29"/>
                <w:color w:val="auto"/>
                <w:vertAlign w:val="superscript"/>
              </w:rPr>
              <w:t>179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Laurie S. Forster. The address of the principal business office of Laurie S. Forster is 13005 Lake Shore Dr.,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Kalisa Houdek. The address of the principal business office of Kalisa Houdek is 9421 S. Palena Ave., Kuna, ID 83634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Ray. The address of the principal business office of William Ray is 5387 Rainbow Pkwy, Toomsuba, MS 39364.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Darwin Chen. The address of the principal business office of Darwin Chen is 18124 Wedge Pkwy #115, Reno, NV 89511.</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Jami Vincent. The address of the principal business office of Jami Vincent is 2436 E. Halsey, Eagle, ID 83616.</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Nemec. The address of the principal business office of Jerry Nemec is 609 W. Colchester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Gregory Goodman &amp; Laree Goodman JT Ten. The address of the principal business office of Gregory Goodman &amp; Laree Goodman JT Ten is 5064 W. Caragana St.,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Kyle Nagy Trust. The address of the principal business office of The Kyle Nagy Trust is 2634 Sunday Grace Drive,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Multipro Inc. The address of the principal business office of Multipro Inc. is 6315 W. Mesa Vista Ave., Las Vegas, NV 89118.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Hanson. The address of the principal business office of Paul Hanson is 300 N. Chief Garry Dr., Liberty Lake, WA 99019.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Excaliber Holdings Inc.</w:t>
            </w:r>
            <w:r>
              <w:rPr>
                <w:rFonts w:ascii="Times New Roman" w:cs="Times New Roman" w:eastAsia="Times New Roman" w:hAnsi="Times New Roman"/>
                <w:sz w:val="29"/>
                <w:szCs w:val="29"/>
                <w:color w:val="auto"/>
                <w:vertAlign w:val="superscript"/>
              </w:rPr>
              <w:t>180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Leslie D. Penney</w:t>
            </w:r>
            <w:r>
              <w:rPr>
                <w:rFonts w:ascii="Times New Roman" w:cs="Times New Roman" w:eastAsia="Times New Roman" w:hAnsi="Times New Roman"/>
                <w:sz w:val="29"/>
                <w:szCs w:val="29"/>
                <w:color w:val="auto"/>
                <w:vertAlign w:val="superscript"/>
              </w:rPr>
              <w:t>181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Tatum Gale</w:t>
            </w:r>
            <w:r>
              <w:rPr>
                <w:rFonts w:ascii="Times New Roman" w:cs="Times New Roman" w:eastAsia="Times New Roman" w:hAnsi="Times New Roman"/>
                <w:sz w:val="29"/>
                <w:szCs w:val="29"/>
                <w:color w:val="auto"/>
                <w:vertAlign w:val="superscript"/>
              </w:rPr>
              <w:t>182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Kai Gale</w:t>
            </w:r>
            <w:r>
              <w:rPr>
                <w:rFonts w:ascii="Times New Roman" w:cs="Times New Roman" w:eastAsia="Times New Roman" w:hAnsi="Times New Roman"/>
                <w:sz w:val="29"/>
                <w:szCs w:val="29"/>
                <w:color w:val="auto"/>
                <w:vertAlign w:val="superscript"/>
              </w:rPr>
              <w:t>183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Ryan Muckenthaler &amp; Tomasine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Sessions JT Ten</w:t>
            </w:r>
            <w:r>
              <w:rPr>
                <w:rFonts w:ascii="Times New Roman" w:cs="Times New Roman" w:eastAsia="Times New Roman" w:hAnsi="Times New Roman"/>
                <w:sz w:val="29"/>
                <w:szCs w:val="29"/>
                <w:color w:val="auto"/>
                <w:vertAlign w:val="superscript"/>
              </w:rPr>
              <w:t>184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Great North Capital Corp.</w:t>
            </w:r>
            <w:r>
              <w:rPr>
                <w:rFonts w:ascii="Times New Roman" w:cs="Times New Roman" w:eastAsia="Times New Roman" w:hAnsi="Times New Roman"/>
                <w:sz w:val="29"/>
                <w:szCs w:val="29"/>
                <w:color w:val="auto"/>
                <w:vertAlign w:val="superscript"/>
              </w:rPr>
              <w:t>185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O’Dwyer</w:t>
            </w:r>
            <w:r>
              <w:rPr>
                <w:rFonts w:ascii="Times New Roman" w:cs="Times New Roman" w:eastAsia="Times New Roman" w:hAnsi="Times New Roman"/>
                <w:sz w:val="29"/>
                <w:szCs w:val="29"/>
                <w:color w:val="auto"/>
                <w:vertAlign w:val="superscript"/>
              </w:rPr>
              <w:t>186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Zachery Nemec &amp; Carly Nemec JT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187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Gaworski</w:t>
            </w:r>
            <w:r>
              <w:rPr>
                <w:rFonts w:ascii="Times New Roman" w:cs="Times New Roman" w:eastAsia="Times New Roman" w:hAnsi="Times New Roman"/>
                <w:sz w:val="29"/>
                <w:szCs w:val="29"/>
                <w:color w:val="auto"/>
                <w:vertAlign w:val="superscript"/>
              </w:rPr>
              <w:t>188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Saumya Das</w:t>
            </w:r>
            <w:r>
              <w:rPr>
                <w:rFonts w:ascii="Times New Roman" w:cs="Times New Roman" w:eastAsia="Times New Roman" w:hAnsi="Times New Roman"/>
                <w:sz w:val="29"/>
                <w:szCs w:val="29"/>
                <w:color w:val="auto"/>
                <w:vertAlign w:val="superscript"/>
              </w:rPr>
              <w:t>189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 Dunn</w:t>
            </w:r>
            <w:r>
              <w:rPr>
                <w:rFonts w:ascii="Times New Roman" w:cs="Times New Roman" w:eastAsia="Times New Roman" w:hAnsi="Times New Roman"/>
                <w:sz w:val="29"/>
                <w:szCs w:val="29"/>
                <w:color w:val="auto"/>
                <w:vertAlign w:val="superscript"/>
              </w:rPr>
              <w:t>190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Patricia E. Dulaney</w:t>
            </w:r>
            <w:r>
              <w:rPr>
                <w:rFonts w:ascii="Times New Roman" w:cs="Times New Roman" w:eastAsia="Times New Roman" w:hAnsi="Times New Roman"/>
                <w:sz w:val="29"/>
                <w:szCs w:val="29"/>
                <w:color w:val="auto"/>
                <w:vertAlign w:val="superscript"/>
              </w:rPr>
              <w:t>191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Jeremy Terman</w:t>
            </w:r>
            <w:r>
              <w:rPr>
                <w:rFonts w:ascii="Times New Roman" w:cs="Times New Roman" w:eastAsia="Times New Roman" w:hAnsi="Times New Roman"/>
                <w:sz w:val="29"/>
                <w:szCs w:val="29"/>
                <w:color w:val="auto"/>
                <w:vertAlign w:val="superscript"/>
              </w:rPr>
              <w:t>192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Excaliber Holdings, Inc. Daniel Wright is the controlling shareholder of Excaliber Holdings, Inc. The address of the principal business office of Excaliber Holdings, Inc. is 4866 N. Maidstone Pl, Boise, ID 83713.</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Leslie D. Penney. The address of the principal business office of Leslie D. Penney is 34 S. Mesa Vista Dr., Boise, ID 83705.</w:t>
      </w:r>
    </w:p>
    <w:p>
      <w:pPr>
        <w:spacing w:after="0" w:line="243"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Tatum Gale. The address of the principal business office of Tatum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243"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Kai Gale. The address of the principal business office of Kai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164"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Muckenthaler &amp; Tomasine Sessions JT Ten. The address of the principal business office of Ryan Muckenthaler &amp; Tomasine Sessions JT Ten is 1676 S. Blacksmith Pl, Meridian, ID 83642.</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Great North Capital Corp. The address of the principal business office of Great North Capital Corp. is 4471 Dean Martin Dr., Unit 3102, Las Vegas, NV 89103.</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O’Dwyer. The address of the principal business office of Michael O’Dwyer is 7532 Toscana Blvd, Unit 524, Orlando, FL 32819.</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Zachery Nemec &amp; Carly Nemec JT Ten. The address of the principal business office of Zachery Nemec &amp; Carly Nemec JT Ten is 2416 W. Coneflower St., Nampa, ID 83686.</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Gaworski. The address of the principal business office of Matthew Gaworski is 11013 N. Pinto Dr., Fountain Hills, AZ 85268.</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Saumya Das. The address of the principal business office of Saumya Das is 42205 Dove Wing Ct., Ashburn, VA 20148.</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Dunn. The address of the principal business office of Rob Dunn is 651 East Gentlewind Court, Boise, ID 83706.</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Patricia E. Dulaney. The address of the principal business office of Patricia E. Dulaney is 3443 Modena Circle, Las Vegas, NV 89120.</w:t>
      </w:r>
    </w:p>
    <w:p>
      <w:pPr>
        <w:spacing w:after="0" w:line="243" w:lineRule="exact"/>
        <w:rPr>
          <w:rFonts w:ascii="Times New Roman" w:cs="Times New Roman" w:eastAsia="Times New Roman" w:hAnsi="Times New Roman"/>
          <w:sz w:val="30"/>
          <w:szCs w:val="30"/>
          <w:color w:val="auto"/>
          <w:vertAlign w:val="superscript"/>
        </w:rPr>
      </w:pPr>
    </w:p>
    <w:p>
      <w:pPr>
        <w:ind w:left="380" w:right="20" w:hanging="345"/>
        <w:spacing w:after="0" w:line="211"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Terman. The address of the principal business office of Jeremy Terman is 1201 West 86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Kansas City, MO 64114.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77"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Cucchiaro</w:t>
            </w:r>
            <w:r>
              <w:rPr>
                <w:rFonts w:ascii="Times New Roman" w:cs="Times New Roman" w:eastAsia="Times New Roman" w:hAnsi="Times New Roman"/>
                <w:sz w:val="29"/>
                <w:szCs w:val="29"/>
                <w:color w:val="auto"/>
                <w:vertAlign w:val="superscript"/>
              </w:rPr>
              <w:t>193</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Megan Warren</w:t>
            </w:r>
            <w:r>
              <w:rPr>
                <w:rFonts w:ascii="Times New Roman" w:cs="Times New Roman" w:eastAsia="Times New Roman" w:hAnsi="Times New Roman"/>
                <w:sz w:val="29"/>
                <w:szCs w:val="29"/>
                <w:color w:val="auto"/>
                <w:vertAlign w:val="superscript"/>
              </w:rPr>
              <w:t>194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Scott Spraker</w:t>
            </w:r>
            <w:r>
              <w:rPr>
                <w:rFonts w:ascii="Times New Roman" w:cs="Times New Roman" w:eastAsia="Times New Roman" w:hAnsi="Times New Roman"/>
                <w:sz w:val="29"/>
                <w:szCs w:val="29"/>
                <w:color w:val="auto"/>
                <w:vertAlign w:val="superscript"/>
              </w:rPr>
              <w:t>195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Rob Dickson</w:t>
            </w:r>
            <w:r>
              <w:rPr>
                <w:rFonts w:ascii="Times New Roman" w:cs="Times New Roman" w:eastAsia="Times New Roman" w:hAnsi="Times New Roman"/>
                <w:sz w:val="29"/>
                <w:szCs w:val="29"/>
                <w:color w:val="auto"/>
                <w:vertAlign w:val="superscript"/>
              </w:rPr>
              <w:t>196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Mari E. Dressen Churchill</w:t>
            </w:r>
            <w:r>
              <w:rPr>
                <w:rFonts w:ascii="Times New Roman" w:cs="Times New Roman" w:eastAsia="Times New Roman" w:hAnsi="Times New Roman"/>
                <w:sz w:val="29"/>
                <w:szCs w:val="29"/>
                <w:color w:val="auto"/>
                <w:vertAlign w:val="superscript"/>
              </w:rPr>
              <w:t>197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Joel Fish</w:t>
            </w:r>
            <w:r>
              <w:rPr>
                <w:rFonts w:ascii="Times New Roman" w:cs="Times New Roman" w:eastAsia="Times New Roman" w:hAnsi="Times New Roman"/>
                <w:sz w:val="29"/>
                <w:szCs w:val="29"/>
                <w:color w:val="auto"/>
                <w:vertAlign w:val="superscript"/>
              </w:rPr>
              <w:t>198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Lee Smith</w:t>
            </w:r>
            <w:r>
              <w:rPr>
                <w:rFonts w:ascii="Times New Roman" w:cs="Times New Roman" w:eastAsia="Times New Roman" w:hAnsi="Times New Roman"/>
                <w:sz w:val="29"/>
                <w:szCs w:val="29"/>
                <w:color w:val="auto"/>
                <w:vertAlign w:val="superscript"/>
              </w:rPr>
              <w:t>199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Adam Paul Esposito</w:t>
            </w:r>
            <w:r>
              <w:rPr>
                <w:rFonts w:ascii="Times New Roman" w:cs="Times New Roman" w:eastAsia="Times New Roman" w:hAnsi="Times New Roman"/>
                <w:sz w:val="29"/>
                <w:szCs w:val="29"/>
                <w:color w:val="auto"/>
                <w:vertAlign w:val="superscript"/>
              </w:rPr>
              <w:t>200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Samual Mallane</w:t>
            </w:r>
            <w:r>
              <w:rPr>
                <w:rFonts w:ascii="Times New Roman" w:cs="Times New Roman" w:eastAsia="Times New Roman" w:hAnsi="Times New Roman"/>
                <w:sz w:val="29"/>
                <w:szCs w:val="29"/>
                <w:color w:val="auto"/>
                <w:vertAlign w:val="superscript"/>
              </w:rPr>
              <w:t>201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Wright</w:t>
            </w:r>
            <w:r>
              <w:rPr>
                <w:rFonts w:ascii="Times New Roman" w:cs="Times New Roman" w:eastAsia="Times New Roman" w:hAnsi="Times New Roman"/>
                <w:sz w:val="29"/>
                <w:szCs w:val="29"/>
                <w:color w:val="auto"/>
                <w:vertAlign w:val="superscript"/>
              </w:rPr>
              <w:t>202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Alejandro Salinas</w:t>
            </w:r>
            <w:r>
              <w:rPr>
                <w:rFonts w:ascii="Times New Roman" w:cs="Times New Roman" w:eastAsia="Times New Roman" w:hAnsi="Times New Roman"/>
                <w:sz w:val="29"/>
                <w:szCs w:val="29"/>
                <w:color w:val="auto"/>
                <w:vertAlign w:val="superscript"/>
              </w:rPr>
              <w:t>203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Elisa R. Bilbao</w:t>
            </w:r>
            <w:r>
              <w:rPr>
                <w:rFonts w:ascii="Times New Roman" w:cs="Times New Roman" w:eastAsia="Times New Roman" w:hAnsi="Times New Roman"/>
                <w:sz w:val="29"/>
                <w:szCs w:val="29"/>
                <w:color w:val="auto"/>
                <w:vertAlign w:val="superscript"/>
              </w:rPr>
              <w:t>204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Christopher Boquette</w:t>
            </w:r>
            <w:r>
              <w:rPr>
                <w:rFonts w:ascii="Times New Roman" w:cs="Times New Roman" w:eastAsia="Times New Roman" w:hAnsi="Times New Roman"/>
                <w:sz w:val="29"/>
                <w:szCs w:val="29"/>
                <w:color w:val="auto"/>
                <w:vertAlign w:val="superscript"/>
              </w:rPr>
              <w:t>205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Cucchiaro. The address of the principal business office of Robert Cucchiaro is 360 W. Back Forty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Megan Warren. The address of the principal business office of Megan Warren is 3034 West Central Blvd., Cambridge, ID 83610.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Scott Spraker. The address of the principal business office of Kenneth Scott Spraker is 294 E. Whitespur St.,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Dickson. The address of the principal business office of Rob Dickson is 2434 East Garber,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Mari E. Dressen Churchill. The address of the principal business office of Mari E. Dressen Churchill is 967 E. Parkcenter #302, Boise, ID 83706.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Joel Fish. The address of the principal business office of Joel Fish is 4931 Morninggale Way, Boise, ID 83713.</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Lee Smith. The address of the principal business office of Spencer Lee Smith is 3200 Birch St., Baker City, OR 97814.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Paul Esposito. The address of the principal business office of Adam Paul Esposito is 11331 W. Brandi Ln, Nampa, ID 83651.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Mallane. The address of the principal business office of Samuel Mallane is 2324 W. Ona St.,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Wright. The address of the principal business office of Michael Wright is 5683 S. Alyssum Pl.,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Alejandro Salinas. The address of the principal business office of Alejandro Salinas is 3428 W. Star Hollow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Elisa Bilbao. The address of the principal business office of Elisa Bilbao is 3597 Cow Creek Rd., Cambridge, ID 83610.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Boquette. The address of the principal business office of Christopher Boquette is 7889 S. Indigo Ridge Ave., Boise, ID 83716.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041"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Michelmore</w:t>
            </w:r>
            <w:r>
              <w:rPr>
                <w:rFonts w:ascii="Times New Roman" w:cs="Times New Roman" w:eastAsia="Times New Roman" w:hAnsi="Times New Roman"/>
                <w:sz w:val="29"/>
                <w:szCs w:val="29"/>
                <w:color w:val="auto"/>
                <w:vertAlign w:val="superscript"/>
              </w:rPr>
              <w:t>206</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YanQiang Lu</w:t>
            </w:r>
            <w:r>
              <w:rPr>
                <w:rFonts w:ascii="Times New Roman" w:cs="Times New Roman" w:eastAsia="Times New Roman" w:hAnsi="Times New Roman"/>
                <w:sz w:val="29"/>
                <w:szCs w:val="29"/>
                <w:color w:val="auto"/>
                <w:vertAlign w:val="superscript"/>
              </w:rPr>
              <w:t>207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Najeeb Ahmed</w:t>
            </w:r>
            <w:r>
              <w:rPr>
                <w:rFonts w:ascii="Times New Roman" w:cs="Times New Roman" w:eastAsia="Times New Roman" w:hAnsi="Times New Roman"/>
                <w:sz w:val="29"/>
                <w:szCs w:val="29"/>
                <w:color w:val="auto"/>
                <w:vertAlign w:val="superscript"/>
              </w:rPr>
              <w:t>208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Jeffrey Weier</w:t>
            </w:r>
            <w:r>
              <w:rPr>
                <w:rFonts w:ascii="Times New Roman" w:cs="Times New Roman" w:eastAsia="Times New Roman" w:hAnsi="Times New Roman"/>
                <w:sz w:val="29"/>
                <w:szCs w:val="29"/>
                <w:color w:val="auto"/>
                <w:vertAlign w:val="superscript"/>
              </w:rPr>
              <w:t>209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StartUpNV</w:t>
            </w:r>
            <w:r>
              <w:rPr>
                <w:rFonts w:ascii="Times New Roman" w:cs="Times New Roman" w:eastAsia="Times New Roman" w:hAnsi="Times New Roman"/>
                <w:sz w:val="29"/>
                <w:szCs w:val="29"/>
                <w:color w:val="auto"/>
                <w:vertAlign w:val="superscript"/>
              </w:rPr>
              <w:t>210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Absolute Return Master Account,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9"/>
                <w:szCs w:val="29"/>
                <w:color w:val="auto"/>
                <w:vertAlign w:val="superscript"/>
              </w:rPr>
              <w:t>211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AQR Diversified Arbitrage Fund, 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series of AQR Funds</w:t>
            </w:r>
            <w:r>
              <w:rPr>
                <w:rFonts w:ascii="Times New Roman" w:cs="Times New Roman" w:eastAsia="Times New Roman" w:hAnsi="Times New Roman"/>
                <w:sz w:val="29"/>
                <w:szCs w:val="29"/>
                <w:color w:val="auto"/>
                <w:vertAlign w:val="superscript"/>
              </w:rPr>
              <w:t>212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Global Alternative Investment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Offshore Fund, L.P.</w:t>
            </w:r>
            <w:r>
              <w:rPr>
                <w:rFonts w:ascii="Times New Roman" w:cs="Times New Roman" w:eastAsia="Times New Roman" w:hAnsi="Times New Roman"/>
                <w:sz w:val="29"/>
                <w:szCs w:val="29"/>
                <w:color w:val="auto"/>
                <w:vertAlign w:val="superscript"/>
              </w:rPr>
              <w:t>213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Michelmore. The address of the principal business office of John Michelmore is 2749 Leolota Way, Carmichael, CA 95608.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YanQiang Lu. The address of the principal business office of YanQiang Lu is 11838 Bragno Ct., Las Vegas, NV 89138.</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Najeeb Ahmed. The address of the principal business office of Najeeb Ahmed is 425 S. Secratariat Dr., Springfield, OH 45503.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Weier. The address of the principal business office of Jeffrey Weier is 148 N. Harding Rd., Columbus, OH 43209.</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StartUpNV. The address of the principal business office of StartUpNV is 450 Sinclair St., Reno, NV 89503.</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20" w:hanging="345"/>
        <w:spacing w:after="0" w:line="231"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p>
      <w:pPr>
        <w:spacing w:after="0" w:line="281"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p>
      <w:pPr>
        <w:spacing w:after="0" w:line="255" w:lineRule="exact"/>
        <w:rPr>
          <w:rFonts w:ascii="Times New Roman" w:cs="Times New Roman" w:eastAsia="Times New Roman" w:hAnsi="Times New Roman"/>
          <w:sz w:val="30"/>
          <w:szCs w:val="30"/>
          <w:color w:val="auto"/>
          <w:vertAlign w:val="superscript"/>
        </w:rPr>
      </w:pPr>
    </w:p>
    <w:p>
      <w:pPr>
        <w:jc w:val="both"/>
        <w:ind w:left="380" w:right="40" w:hanging="345"/>
        <w:spacing w:after="0" w:line="231"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AQR TA Global Alpha Fund, L.P.</w:t>
            </w:r>
            <w:r>
              <w:rPr>
                <w:rFonts w:ascii="Times New Roman" w:cs="Times New Roman" w:eastAsia="Times New Roman" w:hAnsi="Times New Roman"/>
                <w:sz w:val="29"/>
                <w:szCs w:val="29"/>
                <w:color w:val="auto"/>
                <w:vertAlign w:val="superscript"/>
              </w:rPr>
              <w:t>214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Asif Ramji</w:t>
            </w:r>
            <w:r>
              <w:rPr>
                <w:rFonts w:ascii="Times New Roman" w:cs="Times New Roman" w:eastAsia="Times New Roman" w:hAnsi="Times New Roman"/>
                <w:sz w:val="29"/>
                <w:szCs w:val="29"/>
                <w:color w:val="auto"/>
                <w:vertAlign w:val="superscript"/>
              </w:rPr>
              <w:t>215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49,501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ASK, LLC</w:t>
            </w:r>
            <w:r>
              <w:rPr>
                <w:rFonts w:ascii="Times New Roman" w:cs="Times New Roman" w:eastAsia="Times New Roman" w:hAnsi="Times New Roman"/>
                <w:sz w:val="29"/>
                <w:szCs w:val="29"/>
                <w:color w:val="auto"/>
                <w:vertAlign w:val="superscript"/>
              </w:rPr>
              <w:t>216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Atlas Merchant Capital SPAC Fund I</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217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Betsy Cohen</w:t>
            </w:r>
            <w:r>
              <w:rPr>
                <w:rFonts w:ascii="Times New Roman" w:cs="Times New Roman" w:eastAsia="Times New Roman" w:hAnsi="Times New Roman"/>
                <w:sz w:val="29"/>
                <w:szCs w:val="29"/>
                <w:color w:val="auto"/>
                <w:vertAlign w:val="superscript"/>
              </w:rPr>
              <w:t>218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46,116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Boston Patriot Merrimack St, LLC</w:t>
            </w:r>
            <w:r>
              <w:rPr>
                <w:rFonts w:ascii="Times New Roman" w:cs="Times New Roman" w:eastAsia="Times New Roman" w:hAnsi="Times New Roman"/>
                <w:sz w:val="29"/>
                <w:szCs w:val="29"/>
                <w:color w:val="auto"/>
                <w:vertAlign w:val="superscript"/>
              </w:rPr>
              <w:t>219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Breoga Trust</w:t>
            </w:r>
            <w:r>
              <w:rPr>
                <w:rFonts w:ascii="Times New Roman" w:cs="Times New Roman" w:eastAsia="Times New Roman" w:hAnsi="Times New Roman"/>
                <w:sz w:val="29"/>
                <w:szCs w:val="29"/>
                <w:color w:val="auto"/>
                <w:vertAlign w:val="superscript"/>
              </w:rPr>
              <w:t>220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Balash</w:t>
            </w:r>
            <w:r>
              <w:rPr>
                <w:rFonts w:ascii="Times New Roman" w:cs="Times New Roman" w:eastAsia="Times New Roman" w:hAnsi="Times New Roman"/>
                <w:sz w:val="29"/>
                <w:szCs w:val="29"/>
                <w:color w:val="auto"/>
                <w:vertAlign w:val="superscript"/>
              </w:rPr>
              <w:t>221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20" w:hanging="345"/>
        <w:spacing w:after="0" w:line="231"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p>
      <w:pPr>
        <w:spacing w:after="0" w:line="144"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Asif Ramji. The address of the principal business office of Asif Ramji is 337 King Road NW, Atlanta, GA 30342.</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p>
      <w:pPr>
        <w:spacing w:after="0" w:line="280" w:lineRule="exact"/>
        <w:rPr>
          <w:rFonts w:ascii="Times New Roman" w:cs="Times New Roman" w:eastAsia="Times New Roman" w:hAnsi="Times New Roman"/>
          <w:sz w:val="30"/>
          <w:szCs w:val="30"/>
          <w:color w:val="auto"/>
          <w:vertAlign w:val="superscript"/>
        </w:rPr>
      </w:pPr>
    </w:p>
    <w:p>
      <w:pPr>
        <w:jc w:val="both"/>
        <w:ind w:left="380" w:right="20" w:hanging="345"/>
        <w:spacing w:after="0" w:line="22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NY 10022.</w:t>
      </w:r>
    </w:p>
    <w:p>
      <w:pPr>
        <w:spacing w:after="0" w:line="26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Betsy Cohen. The address of the principal business office of Betsy Cohen is 1240 N. Casey Key Rd, Osprey, FL 34229.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Balash. The address of the principal business office of Cameron Balash is 218 Le Starboard Dr., Pensacola Beach, FL 32561.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Cohen Sponsor LLC - V29 RS</w:t>
            </w:r>
            <w:r>
              <w:rPr>
                <w:rFonts w:ascii="Times New Roman" w:cs="Times New Roman" w:eastAsia="Times New Roman" w:hAnsi="Times New Roman"/>
                <w:sz w:val="29"/>
                <w:szCs w:val="29"/>
                <w:color w:val="auto"/>
                <w:vertAlign w:val="superscript"/>
              </w:rPr>
              <w:t>222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Crestline Summit APEX SP</w:t>
            </w:r>
            <w:r>
              <w:rPr>
                <w:rFonts w:ascii="Times New Roman" w:cs="Times New Roman" w:eastAsia="Times New Roman" w:hAnsi="Times New Roman"/>
                <w:sz w:val="29"/>
                <w:szCs w:val="29"/>
                <w:color w:val="auto"/>
                <w:vertAlign w:val="superscript"/>
              </w:rPr>
              <w:t>223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Peak</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SP</w:t>
            </w:r>
            <w:r>
              <w:rPr>
                <w:rFonts w:ascii="Times New Roman" w:cs="Times New Roman" w:eastAsia="Times New Roman" w:hAnsi="Times New Roman"/>
                <w:sz w:val="14"/>
                <w:szCs w:val="14"/>
                <w:color w:val="auto"/>
              </w:rPr>
              <w:t>224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Cyber Secure at Sea, LLC</w:t>
            </w:r>
            <w:r>
              <w:rPr>
                <w:rFonts w:ascii="Times New Roman" w:cs="Times New Roman" w:eastAsia="Times New Roman" w:hAnsi="Times New Roman"/>
                <w:sz w:val="29"/>
                <w:szCs w:val="29"/>
                <w:color w:val="auto"/>
                <w:vertAlign w:val="superscript"/>
              </w:rPr>
              <w:t>225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Cynosure Holdings, LLC</w:t>
            </w:r>
            <w:r>
              <w:rPr>
                <w:rFonts w:ascii="Times New Roman" w:cs="Times New Roman" w:eastAsia="Times New Roman" w:hAnsi="Times New Roman"/>
                <w:sz w:val="29"/>
                <w:szCs w:val="29"/>
                <w:color w:val="auto"/>
                <w:vertAlign w:val="superscript"/>
              </w:rPr>
              <w:t>226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Barbara Hutchinson</w:t>
            </w:r>
            <w:r>
              <w:rPr>
                <w:rFonts w:ascii="Times New Roman" w:cs="Times New Roman" w:eastAsia="Times New Roman" w:hAnsi="Times New Roman"/>
                <w:sz w:val="29"/>
                <w:szCs w:val="29"/>
                <w:color w:val="auto"/>
                <w:vertAlign w:val="superscript"/>
              </w:rPr>
              <w:t>227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Oruoele</w:t>
            </w:r>
            <w:r>
              <w:rPr>
                <w:rFonts w:ascii="Times New Roman" w:cs="Times New Roman" w:eastAsia="Times New Roman" w:hAnsi="Times New Roman"/>
                <w:sz w:val="29"/>
                <w:szCs w:val="29"/>
                <w:color w:val="auto"/>
                <w:vertAlign w:val="superscript"/>
              </w:rPr>
              <w:t>228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EVN 2021 Trust, Ezekiel V.</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Newhouse</w:t>
            </w:r>
            <w:r>
              <w:rPr>
                <w:rFonts w:ascii="Times New Roman" w:cs="Times New Roman" w:eastAsia="Times New Roman" w:hAnsi="Times New Roman"/>
                <w:sz w:val="29"/>
                <w:szCs w:val="29"/>
                <w:color w:val="auto"/>
                <w:vertAlign w:val="superscript"/>
              </w:rPr>
              <w:t>229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EXOS Collateralized SPAC Holdings</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230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F-Cubed Investments, LLC</w:t>
            </w:r>
            <w:r>
              <w:rPr>
                <w:rFonts w:ascii="Times New Roman" w:cs="Times New Roman" w:eastAsia="Times New Roman" w:hAnsi="Times New Roman"/>
                <w:sz w:val="29"/>
                <w:szCs w:val="29"/>
                <w:color w:val="auto"/>
                <w:vertAlign w:val="superscript"/>
              </w:rPr>
              <w:t>231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7830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 Crestline Summit APEX SP. The address of the principal business office of Crestline Summit Master, SPC - Crestline Summit APEX SP is 201 Main Street, Suite 2600, Fort Worth, TX 76102.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Peak SP. The address of the principal business office of Crestline Summit Master, SPC- Peak SP is 201 Main Street, Suite 2600, Fort Worth, TX 76102.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Dr. Barbara Hutchinson. The address of the principal business office of Dr. Barbara Hutchinson is 11906 Shady Stone Terr., Bowie, MD 20721.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Oruoele. The address of the principal business office of Eric Oruoele is 11180 State Bridge Road, Suite 203, Alpharetta, GA 30022.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9"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p>
      <w:pPr>
        <w:spacing w:after="0" w:line="252"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197"/>
        </w:trPr>
        <w:tc>
          <w:tcPr>
            <w:tcW w:w="23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380" w:type="dxa"/>
            <w:vAlign w:val="bottom"/>
            <w:gridSpan w:val="2"/>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29"/>
                <w:szCs w:val="29"/>
                <w:b w:val="1"/>
                <w:bCs w:val="1"/>
                <w:color w:val="auto"/>
                <w:vertAlign w:val="superscript"/>
              </w:rPr>
              <w:t>1</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 Tree Credit Opportunity</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Master Fund III, LP FKA: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 Tree Capital Opportunity</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Master Fund III, LP</w:t>
            </w:r>
            <w:r>
              <w:rPr>
                <w:rFonts w:ascii="Times New Roman" w:cs="Times New Roman" w:eastAsia="Times New Roman" w:hAnsi="Times New Roman"/>
                <w:sz w:val="29"/>
                <w:szCs w:val="29"/>
                <w:color w:val="auto"/>
                <w:vertAlign w:val="superscript"/>
              </w:rPr>
              <w:t>232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4,080</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Fir Tree Value Master Fund,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232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3,879</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Fir Tree Capital Opportunity</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9"/>
                <w:szCs w:val="29"/>
                <w:color w:val="auto"/>
                <w:vertAlign w:val="superscript"/>
              </w:rPr>
              <w:t>232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1,768</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FT SOF XIII (SPAC)</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9"/>
                <w:szCs w:val="29"/>
                <w:color w:val="auto"/>
                <w:vertAlign w:val="superscript"/>
              </w:rPr>
              <w:t>233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60,314</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Grace Vandecruze</w:t>
            </w:r>
            <w:r>
              <w:rPr>
                <w:rFonts w:ascii="Times New Roman" w:cs="Times New Roman" w:eastAsia="Times New Roman" w:hAnsi="Times New Roman"/>
                <w:sz w:val="29"/>
                <w:szCs w:val="29"/>
                <w:color w:val="auto"/>
                <w:vertAlign w:val="superscript"/>
              </w:rPr>
              <w:t>234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30,937</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Greice Murphy Enterprise,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235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19,871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19,871</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Institutional Fund Ltd.</w:t>
            </w:r>
            <w:r>
              <w:rPr>
                <w:rFonts w:ascii="Times New Roman" w:cs="Times New Roman" w:eastAsia="Times New Roman" w:hAnsi="Times New Roman"/>
                <w:sz w:val="29"/>
                <w:szCs w:val="29"/>
                <w:color w:val="auto"/>
                <w:vertAlign w:val="superscript"/>
              </w:rPr>
              <w:t>236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79,700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79,700</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Institutional Fund Ltd.</w:t>
            </w:r>
            <w:r>
              <w:rPr>
                <w:rFonts w:ascii="Times New Roman" w:cs="Times New Roman" w:eastAsia="Times New Roman" w:hAnsi="Times New Roman"/>
                <w:sz w:val="29"/>
                <w:szCs w:val="29"/>
                <w:color w:val="auto"/>
                <w:vertAlign w:val="superscript"/>
              </w:rPr>
              <w:t>237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20,300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20,300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5" w:lineRule="exact"/>
        <w:rPr>
          <w:sz w:val="20"/>
          <w:szCs w:val="20"/>
          <w:color w:val="auto"/>
        </w:rPr>
      </w:pPr>
    </w:p>
    <w:p>
      <w:pPr>
        <w:jc w:val="both"/>
        <w:ind w:left="240" w:hanging="228"/>
        <w:spacing w:after="0" w:line="235" w:lineRule="auto"/>
        <w:rPr>
          <w:sz w:val="20"/>
          <w:szCs w:val="20"/>
          <w:color w:val="auto"/>
        </w:rPr>
      </w:pPr>
      <w:r>
        <w:rPr>
          <w:rFonts w:ascii="Times New Roman" w:cs="Times New Roman" w:eastAsia="Times New Roman" w:hAnsi="Times New Roman"/>
          <w:sz w:val="29"/>
          <w:szCs w:val="29"/>
          <w:color w:val="auto"/>
          <w:vertAlign w:val="superscript"/>
        </w:rPr>
        <w:t>232</w:t>
      </w:r>
      <w:r>
        <w:rPr>
          <w:rFonts w:ascii="Times New Roman" w:cs="Times New Roman" w:eastAsia="Times New Roman" w:hAnsi="Times New Roman"/>
          <w:sz w:val="18"/>
          <w:szCs w:val="18"/>
          <w:color w:val="auto"/>
        </w:rPr>
        <w:t>Represents shares directly held by Fir Tree Credit Opportunity Master Fund, LP formerly known as Fir Tree Capital Opportunity Master Fund III, LP, Fir Tree Value Master Fund, LP and Fir Tree Capital Opportunity Master Fund, LP. Fir Tree Capital Management, LP is the investment manager of each of Fir Tree Credit Opportunity Master Fund, LP formerly known as Fir Tree Capital Opportunity Master Fund III, LP, Fir Tree Value Master Fund, LP and Fir Tree Capital Opportunity Master Fund, LP. Clinton Biando and David Sultan are the Managing Partners of Fir Tree Capital Management, LP and have voting and investment control of the shares held by Fir Tree Credit Opportunity Master Fund, LP formerly known as Fir Tree Capital Opportunity Master Fund III, LP, Fir Tree Value Master Fund, LP and Fir Tree Capital Opportunity Master Fund, LP, but disclaim beneficial ownership of such shares. The address of the principal business office of each of Fir Tree Credit Opportunity Master Fund, LP formerly known as Fir Tree Capital Opportunity Master Fund III, LP, Fir Tree Value Master Fund, LP and Fir Tree Capital Opportunity Master Fund, LP is c/o Fir Tree Capital</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175" w:lineRule="exact"/>
        <w:rPr>
          <w:sz w:val="20"/>
          <w:szCs w:val="20"/>
          <w:color w:val="auto"/>
        </w:rPr>
      </w:pPr>
    </w:p>
    <w:p>
      <w:pPr>
        <w:jc w:val="both"/>
        <w:ind w:left="380" w:right="20" w:hanging="345"/>
        <w:spacing w:after="0" w:line="224"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Grace Vandecruze. The address of the principal business office of Grace Vandecruze is 54 Riverside Drive 8AA, New York, NY 10024.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79,700 shares directly held by Highbridge Tactical Credit Institutional Fund Ltd. (“Highbridge”). The address of the principal business office of the Highbridge is P.O. Box 309 GT, Ugland House, South Church St., George Town.</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20,300 shares directly held by Highbridge Tactical Credit Institutional Fund Ltd. (“Highbridge”). The address of the principal business office of the Highbridge is P.O. Box 309 GT, Ugland House, South Church St., George Town.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Ingram Capital Investment Group,</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238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798,162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798,162</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 Ariel Mendiola</w:t>
            </w:r>
            <w:r>
              <w:rPr>
                <w:rFonts w:ascii="Times New Roman" w:cs="Times New Roman" w:eastAsia="Times New Roman" w:hAnsi="Times New Roman"/>
                <w:sz w:val="29"/>
                <w:szCs w:val="29"/>
                <w:color w:val="auto"/>
                <w:vertAlign w:val="superscript"/>
              </w:rPr>
              <w:t>239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Joyce Brocaglia</w:t>
            </w:r>
            <w:r>
              <w:rPr>
                <w:rFonts w:ascii="Times New Roman" w:cs="Times New Roman" w:eastAsia="Times New Roman" w:hAnsi="Times New Roman"/>
                <w:sz w:val="29"/>
                <w:szCs w:val="29"/>
                <w:color w:val="auto"/>
                <w:vertAlign w:val="superscript"/>
              </w:rPr>
              <w:t>240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34,772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Latonja Chatman-Culmer</w:t>
            </w:r>
            <w:r>
              <w:rPr>
                <w:rFonts w:ascii="Times New Roman" w:cs="Times New Roman" w:eastAsia="Times New Roman" w:hAnsi="Times New Roman"/>
                <w:sz w:val="29"/>
                <w:szCs w:val="29"/>
                <w:color w:val="auto"/>
                <w:vertAlign w:val="superscript"/>
              </w:rPr>
              <w:t>241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Lauren C. Anderson</w:t>
            </w:r>
            <w:r>
              <w:rPr>
                <w:rFonts w:ascii="Times New Roman" w:cs="Times New Roman" w:eastAsia="Times New Roman" w:hAnsi="Times New Roman"/>
                <w:sz w:val="29"/>
                <w:szCs w:val="29"/>
                <w:color w:val="auto"/>
                <w:vertAlign w:val="superscript"/>
              </w:rPr>
              <w:t>242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M&amp;M Holdings LLC</w:t>
            </w:r>
            <w:r>
              <w:rPr>
                <w:rFonts w:ascii="Times New Roman" w:cs="Times New Roman" w:eastAsia="Times New Roman" w:hAnsi="Times New Roman"/>
                <w:sz w:val="29"/>
                <w:szCs w:val="29"/>
                <w:color w:val="auto"/>
                <w:vertAlign w:val="superscript"/>
              </w:rPr>
              <w:t>243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Madhani Investments, LLC</w:t>
            </w:r>
            <w:r>
              <w:rPr>
                <w:rFonts w:ascii="Times New Roman" w:cs="Times New Roman" w:eastAsia="Times New Roman" w:hAnsi="Times New Roman"/>
                <w:sz w:val="29"/>
                <w:szCs w:val="29"/>
                <w:color w:val="auto"/>
                <w:vertAlign w:val="superscript"/>
              </w:rPr>
              <w:t>244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Mahesh Konduru</w:t>
            </w:r>
            <w:r>
              <w:rPr>
                <w:rFonts w:ascii="Times New Roman" w:cs="Times New Roman" w:eastAsia="Times New Roman" w:hAnsi="Times New Roman"/>
                <w:sz w:val="29"/>
                <w:szCs w:val="29"/>
                <w:color w:val="auto"/>
                <w:vertAlign w:val="superscript"/>
              </w:rPr>
              <w:t>245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J Gorlin TTEE MJG 2014 Subtrust</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U/a DTD 09/03/2021</w:t>
            </w:r>
            <w:r>
              <w:rPr>
                <w:rFonts w:ascii="Times New Roman" w:cs="Times New Roman" w:eastAsia="Times New Roman" w:hAnsi="Times New Roman"/>
                <w:sz w:val="29"/>
                <w:szCs w:val="29"/>
                <w:color w:val="auto"/>
                <w:vertAlign w:val="superscript"/>
              </w:rPr>
              <w:t>246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Gomez Roquero</w:t>
            </w:r>
            <w:r>
              <w:rPr>
                <w:rFonts w:ascii="Times New Roman" w:cs="Times New Roman" w:eastAsia="Times New Roman" w:hAnsi="Times New Roman"/>
                <w:sz w:val="29"/>
                <w:szCs w:val="29"/>
                <w:color w:val="auto"/>
                <w:vertAlign w:val="superscript"/>
              </w:rPr>
              <w:t>247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49,676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2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Jose Ariel Mendiola. The address of the principal business office of Jose Ariel Mendiola is 12015 Silverwood Bend Ln, Cypress, TX 77433.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Joyce Brocaglia. The address of the principal business office of Joyce Brocaglia is 602 Ocean Avenue, Sea Bright, NJ 07760.</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Latonja Chatman-Culmer. The address of the principal business office of Latonja Chatman-Culmer is 4330 Celebration Drive SW, Atlanta, GA 30331.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Lauren C. Anderson. The address of the principal business office of Lauren C. Anderson is 327 Tonetta Lake Road, Brewster, NY 10509.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Mahesh Konduru. The address of the principal business office of Mahesh Konduru is 6512 Mercer St., Houston, TX 77005.</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9"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p>
      <w:pPr>
        <w:spacing w:after="0" w:line="252"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Marco Gomez Roquero. The address of the principal business office of Marco Gomez Roquero is 1300 S Miami Avenue #4705, Miami, FL 33130.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8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56"/>
        </w:trPr>
        <w:tc>
          <w:tcPr>
            <w:tcW w:w="29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Mary Lake Polan</w:t>
            </w:r>
            <w:r>
              <w:rPr>
                <w:rFonts w:ascii="Times New Roman" w:cs="Times New Roman" w:eastAsia="Times New Roman" w:hAnsi="Times New Roman"/>
                <w:sz w:val="29"/>
                <w:szCs w:val="29"/>
                <w:color w:val="auto"/>
                <w:vertAlign w:val="superscript"/>
              </w:rPr>
              <w:t>248</w:t>
            </w:r>
          </w:p>
        </w:tc>
        <w:tc>
          <w:tcPr>
            <w:tcW w:w="8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9,952</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MMF LT, LLC</w:t>
            </w:r>
            <w:r>
              <w:rPr>
                <w:rFonts w:ascii="Times New Roman" w:cs="Times New Roman" w:eastAsia="Times New Roman" w:hAnsi="Times New Roman"/>
                <w:sz w:val="29"/>
                <w:szCs w:val="29"/>
                <w:color w:val="auto"/>
                <w:vertAlign w:val="superscript"/>
              </w:rPr>
              <w:t>249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156,667</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Nautilus Master Fund, L.P</w:t>
            </w:r>
            <w:r>
              <w:rPr>
                <w:rFonts w:ascii="Times New Roman" w:cs="Times New Roman" w:eastAsia="Times New Roman" w:hAnsi="Times New Roman"/>
                <w:sz w:val="29"/>
                <w:szCs w:val="29"/>
                <w:color w:val="auto"/>
                <w:vertAlign w:val="superscript"/>
              </w:rPr>
              <w:t>250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332,797</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332,797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Ocean Family Trust, LLC</w:t>
            </w:r>
            <w:r>
              <w:rPr>
                <w:rFonts w:ascii="Times New Roman" w:cs="Times New Roman" w:eastAsia="Times New Roman" w:hAnsi="Times New Roman"/>
                <w:sz w:val="29"/>
                <w:szCs w:val="29"/>
                <w:color w:val="auto"/>
                <w:vertAlign w:val="superscript"/>
              </w:rPr>
              <w:t>251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24,838</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Paula Hawkins</w:t>
            </w:r>
            <w:r>
              <w:rPr>
                <w:rFonts w:ascii="Times New Roman" w:cs="Times New Roman" w:eastAsia="Times New Roman" w:hAnsi="Times New Roman"/>
                <w:sz w:val="29"/>
                <w:szCs w:val="29"/>
                <w:color w:val="auto"/>
                <w:vertAlign w:val="superscript"/>
              </w:rPr>
              <w:t>252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3,974</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Phyllis W. Newhouse</w:t>
            </w:r>
            <w:r>
              <w:rPr>
                <w:rFonts w:ascii="Times New Roman" w:cs="Times New Roman" w:eastAsia="Times New Roman" w:hAnsi="Times New Roman"/>
                <w:sz w:val="29"/>
                <w:szCs w:val="29"/>
                <w:color w:val="auto"/>
                <w:vertAlign w:val="superscript"/>
              </w:rPr>
              <w:t>253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1,023,314</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1,023,314</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Primetime Investment Group, LLC</w:t>
            </w:r>
            <w:r>
              <w:rPr>
                <w:rFonts w:ascii="Times New Roman" w:cs="Times New Roman" w:eastAsia="Times New Roman" w:hAnsi="Times New Roman"/>
                <w:sz w:val="29"/>
                <w:szCs w:val="29"/>
                <w:color w:val="auto"/>
                <w:vertAlign w:val="superscript"/>
              </w:rPr>
              <w:t>254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445,537</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445,537</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Project JB LLC</w:t>
            </w:r>
            <w:r>
              <w:rPr>
                <w:rFonts w:ascii="Times New Roman" w:cs="Times New Roman" w:eastAsia="Times New Roman" w:hAnsi="Times New Roman"/>
                <w:sz w:val="29"/>
                <w:szCs w:val="29"/>
                <w:color w:val="auto"/>
                <w:vertAlign w:val="superscript"/>
              </w:rPr>
              <w:t>255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20,626</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Radcliffe SPAC Master Fund, L.P.</w:t>
            </w:r>
            <w:r>
              <w:rPr>
                <w:rFonts w:ascii="Times New Roman" w:cs="Times New Roman" w:eastAsia="Times New Roman" w:hAnsi="Times New Roman"/>
                <w:sz w:val="29"/>
                <w:szCs w:val="29"/>
                <w:color w:val="auto"/>
                <w:vertAlign w:val="superscript"/>
              </w:rPr>
              <w:t>256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Rashaun Williams</w:t>
            </w:r>
            <w:r>
              <w:rPr>
                <w:rFonts w:ascii="Times New Roman" w:cs="Times New Roman" w:eastAsia="Times New Roman" w:hAnsi="Times New Roman"/>
                <w:sz w:val="29"/>
                <w:szCs w:val="29"/>
                <w:color w:val="auto"/>
                <w:vertAlign w:val="superscript"/>
              </w:rPr>
              <w:t>257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406,252</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Lake Polan. The address of the principal business office of Mary Lake Polan is Eagle Bluff Ranch, 795 Eagle Ridge Rd., Camp Verde, TX 78010.</w:t>
      </w:r>
    </w:p>
    <w:p>
      <w:pPr>
        <w:spacing w:after="0" w:line="280" w:lineRule="exact"/>
        <w:rPr>
          <w:rFonts w:ascii="Times New Roman" w:cs="Times New Roman" w:eastAsia="Times New Roman" w:hAnsi="Times New Roman"/>
          <w:sz w:val="30"/>
          <w:szCs w:val="30"/>
          <w:color w:val="auto"/>
          <w:vertAlign w:val="superscript"/>
        </w:rPr>
      </w:pPr>
    </w:p>
    <w:p>
      <w:pPr>
        <w:jc w:val="both"/>
        <w:ind w:left="380" w:right="40" w:hanging="345"/>
        <w:spacing w:after="0" w:line="219"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p>
      <w:pPr>
        <w:spacing w:after="0" w:line="252"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p>
      <w:pPr>
        <w:spacing w:after="0" w:line="255"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Paula Hawkins. The address of the principal business office of Paula Hawkins is 2904 Lennox Rd, Conyers, GA 30094.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Phyllis W. Newhouse. Ms. Newhouse is a director of the Company. The address of the principal business office of Phyllis W. Newhouse is 2291 Loring Oak PL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Rashaun Williams. The address of the principal business office of Rashaun Williams is 505 N. Lake Shore Dr. #3810-11, Chicago, IL 60611.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866"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Ray Caron</w:t>
            </w:r>
            <w:r>
              <w:rPr>
                <w:rFonts w:ascii="Times New Roman" w:cs="Times New Roman" w:eastAsia="Times New Roman" w:hAnsi="Times New Roman"/>
                <w:sz w:val="29"/>
                <w:szCs w:val="29"/>
                <w:color w:val="auto"/>
                <w:vertAlign w:val="superscript"/>
              </w:rPr>
              <w:t>258</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Rivernorth SPAC Arbitrage Fund, LP</w:t>
            </w:r>
            <w:r>
              <w:rPr>
                <w:rFonts w:ascii="Times New Roman" w:cs="Times New Roman" w:eastAsia="Times New Roman" w:hAnsi="Times New Roman"/>
                <w:sz w:val="29"/>
                <w:szCs w:val="29"/>
                <w:color w:val="auto"/>
                <w:vertAlign w:val="superscript"/>
              </w:rPr>
              <w:t>259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106,667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Romonda Jordan</w:t>
            </w:r>
            <w:r>
              <w:rPr>
                <w:rFonts w:ascii="Times New Roman" w:cs="Times New Roman" w:eastAsia="Times New Roman" w:hAnsi="Times New Roman"/>
                <w:sz w:val="29"/>
                <w:szCs w:val="29"/>
                <w:color w:val="auto"/>
                <w:vertAlign w:val="superscript"/>
              </w:rPr>
              <w:t>260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Roxanna Aguillard</w:t>
            </w:r>
            <w:r>
              <w:rPr>
                <w:rFonts w:ascii="Times New Roman" w:cs="Times New Roman" w:eastAsia="Times New Roman" w:hAnsi="Times New Roman"/>
                <w:sz w:val="29"/>
                <w:szCs w:val="29"/>
                <w:color w:val="auto"/>
                <w:vertAlign w:val="superscript"/>
              </w:rPr>
              <w:t>261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Shawn Henry</w:t>
            </w:r>
            <w:r>
              <w:rPr>
                <w:rFonts w:ascii="Times New Roman" w:cs="Times New Roman" w:eastAsia="Times New Roman" w:hAnsi="Times New Roman"/>
                <w:sz w:val="29"/>
                <w:szCs w:val="29"/>
                <w:color w:val="auto"/>
                <w:vertAlign w:val="superscript"/>
              </w:rPr>
              <w:t>262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ShoulderUp 2021 Trust</w:t>
            </w:r>
            <w:r>
              <w:rPr>
                <w:rFonts w:ascii="Times New Roman" w:cs="Times New Roman" w:eastAsia="Times New Roman" w:hAnsi="Times New Roman"/>
                <w:sz w:val="29"/>
                <w:szCs w:val="29"/>
                <w:color w:val="auto"/>
                <w:vertAlign w:val="superscript"/>
              </w:rPr>
              <w:t>263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2,154,416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Sierra Hotel Enterprise LLC</w:t>
            </w:r>
            <w:r>
              <w:rPr>
                <w:rFonts w:ascii="Times New Roman" w:cs="Times New Roman" w:eastAsia="Times New Roman" w:hAnsi="Times New Roman"/>
                <w:sz w:val="29"/>
                <w:szCs w:val="29"/>
                <w:color w:val="auto"/>
                <w:vertAlign w:val="superscript"/>
              </w:rPr>
              <w:t>264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Stacey Berns</w:t>
            </w:r>
            <w:r>
              <w:rPr>
                <w:rFonts w:ascii="Times New Roman" w:cs="Times New Roman" w:eastAsia="Times New Roman" w:hAnsi="Times New Roman"/>
                <w:sz w:val="29"/>
                <w:szCs w:val="29"/>
                <w:color w:val="auto"/>
                <w:vertAlign w:val="superscript"/>
              </w:rPr>
              <w:t>265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Eskenazi</w:t>
            </w:r>
            <w:r>
              <w:rPr>
                <w:rFonts w:ascii="Times New Roman" w:cs="Times New Roman" w:eastAsia="Times New Roman" w:hAnsi="Times New Roman"/>
                <w:sz w:val="29"/>
                <w:szCs w:val="29"/>
                <w:color w:val="auto"/>
                <w:vertAlign w:val="superscript"/>
              </w:rPr>
              <w:t>266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80" w:hanging="345"/>
        <w:spacing w:after="0"/>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 Caron. The address of the principal business office of Ray Caron is 14 Marina Ct, Newnan, GA 30263.</w:t>
      </w:r>
    </w:p>
    <w:p>
      <w:pPr>
        <w:spacing w:after="0" w:line="251"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Rivernorth SPAC Arbitrage Fund, LP. The address of the principal business office of Rivernorth SPAC Arbitrage Fund, LP is 360 South Rosemary Ave, Suite 1420, West Palm Beach, FL 33401.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Romonda Jordan. The address of the principal business office of Romonda Jordan is 22197 Windy Pine Ct., Broadlands, VA 20148.</w:t>
      </w:r>
    </w:p>
    <w:p>
      <w:pPr>
        <w:spacing w:after="0" w:line="28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Roxanna Aguillard. The address of the principal business office of Roxanna Aguillard is 504 Bruin Court, Stockbridge, GA 30281.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Shawn Henry. The address of the principal business office of Shawn Henry is 605 S. Gulfstream Ave, Sarasota, FL 34236.</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Stacey Berns. The address of the principal business office of Stacey Berns is 101 Warren St., Apt. 820, New York, NY 10007.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Eskenazi. The address of the principal business office of Steve Eskenazi is 50 Sheldon Way, Hillsborough, CA 94010.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Tauheed Epps</w:t>
            </w:r>
            <w:r>
              <w:rPr>
                <w:rFonts w:ascii="Times New Roman" w:cs="Times New Roman" w:eastAsia="Times New Roman" w:hAnsi="Times New Roman"/>
                <w:sz w:val="29"/>
                <w:szCs w:val="29"/>
                <w:color w:val="auto"/>
                <w:vertAlign w:val="superscript"/>
              </w:rPr>
              <w:t>267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51,563</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Tenor Opportunity Master Fund, Ltd.</w:t>
            </w:r>
            <w:r>
              <w:rPr>
                <w:rFonts w:ascii="Times New Roman" w:cs="Times New Roman" w:eastAsia="Times New Roman" w:hAnsi="Times New Roman"/>
                <w:sz w:val="29"/>
                <w:szCs w:val="29"/>
                <w:color w:val="auto"/>
                <w:vertAlign w:val="superscript"/>
              </w:rPr>
              <w:t>268</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4"/>
                <w:szCs w:val="24"/>
                <w:color w:val="auto"/>
              </w:rPr>
            </w:pP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8"/>
        </w:trPr>
        <w:tc>
          <w:tcPr>
            <w:tcW w:w="3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Newhouse Family 2016 Revocable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269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The Salman Rehmetullah Revocable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Vincent Raymond Stewart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Phyllis Lea Stewart Living Trust</w:t>
            </w:r>
            <w:r>
              <w:rPr>
                <w:rFonts w:ascii="Times New Roman" w:cs="Times New Roman" w:eastAsia="Times New Roman" w:hAnsi="Times New Roman"/>
                <w:sz w:val="29"/>
                <w:szCs w:val="29"/>
                <w:color w:val="auto"/>
                <w:vertAlign w:val="superscript"/>
              </w:rPr>
              <w:t>271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Triple Helix, LLC</w:t>
            </w:r>
            <w:r>
              <w:rPr>
                <w:rFonts w:ascii="Times New Roman" w:cs="Times New Roman" w:eastAsia="Times New Roman" w:hAnsi="Times New Roman"/>
                <w:sz w:val="29"/>
                <w:szCs w:val="29"/>
                <w:color w:val="auto"/>
                <w:vertAlign w:val="superscript"/>
              </w:rPr>
              <w:t>272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Una Ryan</w:t>
            </w:r>
            <w:r>
              <w:rPr>
                <w:rFonts w:ascii="Times New Roman" w:cs="Times New Roman" w:eastAsia="Times New Roman" w:hAnsi="Times New Roman"/>
                <w:sz w:val="29"/>
                <w:szCs w:val="29"/>
                <w:color w:val="auto"/>
                <w:vertAlign w:val="superscript"/>
              </w:rPr>
              <w:t>273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2" w:lineRule="exact"/>
        <w:rPr>
          <w:sz w:val="20"/>
          <w:szCs w:val="20"/>
          <w:color w:val="auto"/>
        </w:rPr>
      </w:pPr>
    </w:p>
    <w:p>
      <w:pPr>
        <w:ind w:left="380" w:hanging="345"/>
        <w:spacing w:after="0"/>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Tauheed Epps. The address of the principal business office of Tauheed Epps is 1740 Defoor Pl, Atlanta, GA 30318.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Tenor Opportunity Master Fund, Ltd. The address of the principal business office of Tenor Opportunity Fund, Ltd. is 810 Seventh Ave., Suite 1905, New York, NY 10019.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Una Ryan. The address of the principal business office of Una Ryan is 7500 Old Georgetown Road, Suite 901, Bethesda, MD 20814.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Valerie Mosley</w:t>
            </w:r>
            <w:r>
              <w:rPr>
                <w:rFonts w:ascii="Times New Roman" w:cs="Times New Roman" w:eastAsia="Times New Roman" w:hAnsi="Times New Roman"/>
                <w:sz w:val="29"/>
                <w:szCs w:val="29"/>
                <w:color w:val="auto"/>
                <w:vertAlign w:val="superscript"/>
              </w:rPr>
              <w:t>274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Vellar Special Opportunities Fund, LLC</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 Series 29</w:t>
            </w:r>
            <w:r>
              <w:rPr>
                <w:rFonts w:ascii="Times New Roman" w:cs="Times New Roman" w:eastAsia="Times New Roman" w:hAnsi="Times New Roman"/>
                <w:sz w:val="29"/>
                <w:szCs w:val="29"/>
                <w:color w:val="auto"/>
                <w:vertAlign w:val="superscript"/>
              </w:rPr>
              <w:t>275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1,057,916</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Walleye Investment Fund LLC</w:t>
            </w:r>
            <w:r>
              <w:rPr>
                <w:rFonts w:ascii="Times New Roman" w:cs="Times New Roman" w:eastAsia="Times New Roman" w:hAnsi="Times New Roman"/>
                <w:sz w:val="29"/>
                <w:szCs w:val="29"/>
                <w:color w:val="auto"/>
                <w:vertAlign w:val="superscript"/>
              </w:rPr>
              <w:t>276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Walleye Opportunities Master Fund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277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ZNH Holdings Group, LLC</w:t>
            </w:r>
            <w:r>
              <w:rPr>
                <w:rFonts w:ascii="Times New Roman" w:cs="Times New Roman" w:eastAsia="Times New Roman" w:hAnsi="Times New Roman"/>
                <w:sz w:val="29"/>
                <w:szCs w:val="29"/>
                <w:color w:val="auto"/>
                <w:vertAlign w:val="superscript"/>
              </w:rPr>
              <w:t>278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23,204</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New Circle Principal Investments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3,868,242</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ind w:left="380" w:right="40" w:hanging="345"/>
        <w:spacing w:after="0" w:line="195"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Valerie Mosley. The address of the principal business office of Valerie Mosley is PO Box 2430, Oak Bluffs, MA 02557.</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29"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Investment Fund LLC. Walleye Investments Fund LLC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132"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Opportunities Master Fund Ltd.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227" w:lineRule="exact"/>
        <w:rPr>
          <w:sz w:val="20"/>
          <w:szCs w:val="20"/>
          <w:color w:val="auto"/>
        </w:rPr>
      </w:pPr>
    </w:p>
    <w:p>
      <w:pPr>
        <w:jc w:val="both"/>
        <w:ind w:left="340" w:hanging="332"/>
        <w:spacing w:after="0" w:line="210" w:lineRule="auto"/>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 0 Commitment Shares issuable to New Circle, as the commitment fee of $350,000 has been fully paid as of the date of this prospectus; and (2) 3,868,242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Company to issue 300,000,000 shares, consisting of (A) 10,000,000 shares of Preferred Stock, par value $0.0001 per share (“Preferred Stock”) and (B) 290,000,000 shares of Common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were subject to a 180 day lock up period (subject to customary exceptions) in respect of their shares of Common Stock received in the Business Combination (subject to certain customary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Warrant outstanding for the purchase of one share of Common Stock is exercisable for one share of Common Stock, with all other terms of such warrants remaining unchanged. The following is a description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became exercisable on July 18, 2025, provided the Company has an effective registration statement under the Securities Act.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 when the price per share of Common Stock equals or exceeds $18.00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 Election to Limit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w:t>
      </w:r>
    </w:p>
    <w:p>
      <w:pPr>
        <w:spacing w:after="0" w:line="3" w:lineRule="exact"/>
        <w:rPr>
          <w:sz w:val="20"/>
          <w:szCs w:val="20"/>
          <w:color w:val="auto"/>
        </w:rPr>
      </w:pPr>
    </w:p>
    <w:p>
      <w:pPr>
        <w:jc w:val="both"/>
        <w:ind w:firstLine="8"/>
        <w:spacing w:after="0" w:line="253" w:lineRule="auto"/>
        <w:tabs>
          <w:tab w:leader="none" w:pos="2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06"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Holdings currently intends to retain all available funds and any future earnings to fund the development and growth of the business, and therefore does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Stockholders’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Company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or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this provision is to restrict the Company’s rights and the rights of the Company’s stockholders in derivative suits to recover monetary damages against a director for breach of fiduciary duties as a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and Warrants are listed on the Nasdaq under the symbols “DAIC” and “DAICW,”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Company’s securities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14,999,983 shares of Common Stock issuable by us upon exercise of the Public Warrants.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registering the offer and sale from time to time by the Selling Securityholders or their permitted transferees 28,045,177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3,868,242 New Circle Shares issuable pursuant to the ELOC Agreement, comprised of (a) 0 Commitment Shares issuable to New Circle, as the commitment fee of $350,000 has been fully paid as of the date of this prospectus, and (b) 3,868,242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forms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both"/>
        <w:spacing w:after="0" w:line="252" w:lineRule="auto"/>
        <w:rPr>
          <w:sz w:val="20"/>
          <w:szCs w:val="20"/>
          <w:color w:val="auto"/>
        </w:rPr>
      </w:pPr>
      <w:r>
        <w:rPr>
          <w:rFonts w:ascii="Times New Roman" w:cs="Times New Roman" w:eastAsia="Times New Roman" w:hAnsi="Times New Roman"/>
          <w:sz w:val="18"/>
          <w:szCs w:val="18"/>
          <w:color w:val="auto"/>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to Sell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were subject to a 180 day lock up period (subject to customary exceptions) in respect of their shares of Common Stock received in the Business Combination (subject to certain customary exceptions).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76"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securities through the exercise or cancellation of employee stock options or otherwise as compensation for their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or Warrants who or that is,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207"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Gain or Loss on Sale, Taxable Exchange or Other Taxable Disposition of Common Stock and Warrants. </w:t>
      </w:r>
      <w:r>
        <w:rPr>
          <w:rFonts w:ascii="Times New Roman" w:cs="Times New Roman" w:eastAsia="Times New Roman" w:hAnsi="Times New Roman"/>
          <w:sz w:val="18"/>
          <w:szCs w:val="18"/>
          <w:color w:val="auto"/>
        </w:rPr>
        <w:t>A U.S. holder will generally recognize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Except as discussed below with respect to the cashless exercise of a warrant, a U.S. holder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taxed as described above under “-</w:t>
      </w:r>
      <w:r>
        <w:rPr>
          <w:rFonts w:ascii="Times New Roman" w:cs="Times New Roman" w:eastAsia="Times New Roman" w:hAnsi="Times New Roman"/>
          <w:sz w:val="18"/>
          <w:szCs w:val="18"/>
          <w:i w:val="1"/>
          <w:iCs w:val="1"/>
          <w:color w:val="auto"/>
        </w:rPr>
        <w:t>Gain or Loss on Sale, Taxable Exchange or Other Taxable Disposition of Common Stock and Warrants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generally is not taxable. The U.S. holders of the Warrants would, however,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increased interest.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 apply to dividends paid to a U.S. holder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Common Stock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who or that is for U.S. federal income tax purposes:</w:t>
      </w:r>
    </w:p>
    <w:p>
      <w:pPr>
        <w:spacing w:after="0" w:line="207"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In general, any distributions we make to a Non-U.S. holder of shares of our Common Stock, to the extent paid out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The U.S. federal income tax treatment of a Non-U.S. holder’s exercise of a warrant, or the lapse of a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The U.S. federal income tax treatment for a Non-U.S. holder of a redemption of Warrants for cash described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would be similar to that described below in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Taxable Exchange or Other Taxable Disposition of Common Stock and Warrants. </w:t>
      </w:r>
      <w:r>
        <w:rPr>
          <w:rFonts w:ascii="Times New Roman" w:cs="Times New Roman" w:eastAsia="Times New Roman" w:hAnsi="Times New Roman"/>
          <w:sz w:val="18"/>
          <w:szCs w:val="18"/>
          <w:color w:val="auto"/>
        </w:rPr>
        <w:t>A Non-U.S. holder generally will not be subject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or withholding tax in respect of gain recognized on a sale, taxable exchange or other taxable disposition of our Common Stock or Warrants (including a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 however, there can be no assurance that we will not become a U.S. real property holding corporation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is generally not taxable. The Non-U.S. holders of Warrants would, however,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 connection with payments of dividends and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 30% on payments of dividends (including constructive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CID HoldCo, Inc. as of and for the year ended December 31, 2025, included in this prospectus of CID HoldCo, Inc., which is referred to and made a part of this Prospectus and Registration Statement, have been audited by Carr, Riggs &amp; Ingram L.L.C., an independent registered public accounting firm, as set forth in their report appearing elsewhere herein, and are included in reliance upon such report given on the authority of such firm as experts in accounting and auditing.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passed upon the validity of the Common Stock and Warrants covered by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notified that Carr, Riggs &amp; Ingram, L.L.C. (“CRI”) acquired, effective as of January 1, 2026, certain assets related to the capital markets practice of Berkowitz Pollack Brant Advisors + CPAs, LLP (“BPB”). On January 13, 2026, the Audit Committee of the Board approved the dismissal of BPB as the Company’s independent registered public accounting firm and the appointment of CRI as the Company’s new independent registered public accounting firm, effective immediately. BPB previously served as the independent registered public accounting firm of SEE ID prior to the Business Combination.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8"/>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060" w:type="dxa"/>
            <w:vAlign w:val="bottom"/>
          </w:tcPr>
          <w:p>
            <w:pPr>
              <w:spacing w:after="0"/>
              <w:rPr>
                <w:sz w:val="20"/>
                <w:szCs w:val="20"/>
                <w:color w:val="auto"/>
              </w:rPr>
            </w:pPr>
          </w:p>
        </w:tc>
      </w:tr>
      <w:tr>
        <w:trPr>
          <w:trHeight w:val="216"/>
        </w:trPr>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6"/>
        </w:trPr>
        <w:tc>
          <w:tcPr>
            <w:tcW w:w="5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213)</w:t>
            </w:r>
          </w:p>
        </w:tc>
        <w:tc>
          <w:tcPr>
            <w:tcW w:w="264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81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52)</w:t>
            </w:r>
          </w:p>
        </w:tc>
        <w:tc>
          <w:tcPr>
            <w:tcW w:w="3060" w:type="dxa"/>
            <w:vAlign w:val="bottom"/>
          </w:tcPr>
          <w:p>
            <w:pPr>
              <w:ind w:left="244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140" w:type="dxa"/>
            <w:vAlign w:val="bottom"/>
            <w:tcBorders>
              <w:bottom w:val="single" w:sz="8" w:color="CCEEFF"/>
            </w:tcBorders>
            <w:gridSpan w:val="6"/>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81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3060" w:type="dxa"/>
            <w:vAlign w:val="bottom"/>
          </w:tcPr>
          <w:p>
            <w:pPr>
              <w:ind w:left="24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81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w:t>
            </w:r>
          </w:p>
        </w:tc>
        <w:tc>
          <w:tcPr>
            <w:tcW w:w="3060" w:type="dxa"/>
            <w:vAlign w:val="bottom"/>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3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720" w:type="dxa"/>
            <w:vAlign w:val="bottom"/>
            <w:tcBorders>
              <w:top w:val="single" w:sz="8" w:color="CCEEFF"/>
            </w:tcBorders>
            <w:gridSpan w:val="3"/>
          </w:tcPr>
          <w:p>
            <w:pPr>
              <w:spacing w:after="0"/>
              <w:rPr>
                <w:sz w:val="15"/>
                <w:szCs w:val="15"/>
                <w:color w:val="auto"/>
              </w:rPr>
            </w:pPr>
          </w:p>
        </w:tc>
        <w:tc>
          <w:tcPr>
            <w:tcW w:w="3060" w:type="dxa"/>
            <w:vAlign w:val="bottom"/>
            <w:tcBorders>
              <w:top w:val="single" w:sz="8" w:color="CCEEFF"/>
            </w:tcBorders>
          </w:tcPr>
          <w:p>
            <w:pPr>
              <w:ind w:left="244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81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060" w:type="dxa"/>
            <w:vAlign w:val="bottom"/>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655"/>
        </w:trPr>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2740" w:type="dxa"/>
            <w:vAlign w:val="bottom"/>
            <w:tcBorders>
              <w:top w:val="single" w:sz="8" w:color="CCEEFF"/>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3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4" w:name="page135"/>
    <w:bookmarkEnd w:id="13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CID Holdco, Inc. (the “Company”) as of December 31, 2025,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audited the adjustments to the consolidated financial statements as of and for the year ended December 31, 2024 to retrospectively apply such adjustments to the consolidated financial statements to reflect the effects of the reverse recapitalization, as described in Notes 2, 3 and 11. In addition, we have audited the adjustments to the consolidated financial statements for the year ended December 31, 2024, as described in Notes 2 and 4. In our opinion, such adjustments in Notes 2, 3, 4 and 11 are appropriate and have been properly applied. We were not engaged to audit, review or apply any procedures to the consolidated financial statements as of or for the year ended December 31, 2024, of the Company other than with respect to the adjustments described above, and, accordingly, we do not express an opinion on any other form of assurance on the December 31, 2024 consolidated financial statements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has a working capital deficiency, and an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Carr, Riggs &amp; Ingram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Beach Gardens, Florida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SEE ID, Inc. dba Dot 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865,624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3,624,547</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1,430,881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480,903</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167,551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6,401,955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645,240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701,878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2,920,718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12,103</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10,697,684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3,096,772</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4,124,924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770,276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1,826,189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177,222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1,540,651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139,963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36,225</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23,334,626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1,748,512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1,570,572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577,656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2,326,168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29,273,321 and 12,210,718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61,687,873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438,120</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(61,451,334)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(24,733,263)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10,697,684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3,096,772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3,133,139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43,634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6,764,453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1,563,328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1,446,203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850,261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3,671,865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2,721,981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1,154,857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2,038,130</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36,463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13,073,841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7,173,700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(10,402,611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(404,624)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(14,492,176)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158,241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combination transaction costs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shares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(246,184)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(26,315,460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(36,718,071)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581</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(36,718,071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(21,537,430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20,579,971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12,124,303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Legacy Common Stock</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2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 retroactive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2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application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600" w:type="dxa"/>
            <w:vAlign w:val="bottom"/>
          </w:tcPr>
          <w:p>
            <w:pPr>
              <w:spacing w:after="0"/>
              <w:rPr>
                <w:sz w:val="21"/>
                <w:szCs w:val="21"/>
                <w:color w:val="auto"/>
              </w:rPr>
            </w:pPr>
          </w:p>
        </w:tc>
        <w:tc>
          <w:tcPr>
            <w:tcW w:w="22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recapitalization</w:t>
            </w:r>
          </w:p>
        </w:tc>
        <w:tc>
          <w:tcPr>
            <w:tcW w:w="18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360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(108,975)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12,208,851</w:t>
            </w: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 adjusted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12,208,851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6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197,006</w:t>
            </w:r>
          </w:p>
        </w:tc>
        <w:tc>
          <w:tcPr>
            <w:tcW w:w="100" w:type="dxa"/>
            <w:vAlign w:val="bottom"/>
          </w:tcPr>
          <w:p>
            <w:pPr>
              <w:spacing w:after="0"/>
              <w:rPr>
                <w:sz w:val="17"/>
                <w:szCs w:val="17"/>
                <w:color w:val="auto"/>
              </w:rPr>
            </w:pPr>
          </w:p>
        </w:tc>
      </w:tr>
      <w:tr>
        <w:trPr>
          <w:trHeight w:val="25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(21,537,430)</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r>
      <w:tr>
        <w:trPr>
          <w:trHeight w:val="250"/>
        </w:trPr>
        <w:tc>
          <w:tcPr>
            <w:tcW w:w="3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as of December 31, 2024</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12,210,718</w:t>
            </w:r>
          </w:p>
        </w:tc>
        <w:tc>
          <w:tcPr>
            <w:tcW w:w="20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438,120</w:t>
            </w: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(24,733,263</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transactions, net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15,426,221</w:t>
            </w:r>
          </w:p>
        </w:tc>
        <w:tc>
          <w:tcPr>
            <w:tcW w:w="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56,155,649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56,157,192</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106,382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for cash</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1,530,000</w:t>
            </w:r>
          </w:p>
        </w:tc>
        <w:tc>
          <w:tcPr>
            <w:tcW w:w="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801,200</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Excise tax forgiveness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3,905,240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3,905,240</w:t>
            </w:r>
          </w:p>
        </w:tc>
      </w:tr>
      <w:tr>
        <w:trPr>
          <w:trHeight w:val="23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(36,718,071)</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(36,718,071)</w:t>
            </w: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29,273,321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61,687,873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(61,451,334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(36,718,071)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origination fees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15,833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14,492,176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(158,241)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37,827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197,006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98,850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37,689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share issuance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566,071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 as commitment fee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(3,574,283)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(311,543)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(1,365,633)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3,354,648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768,542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1,801,970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(69,498)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227,852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(94,452)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(43,943)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(728,665)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2,713,215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(13,250,533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(3,290,008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(670,417)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(1,159,322)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(834,220)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(1,829,739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(834,220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4,239,500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short term loan, net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new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555,016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origination fees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(1,380,545)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 term loan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(48,306)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15,224,864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4,239,500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during the year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Conversion of SAFE notes to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8,597,750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 OF CASH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18, 2024, ShoulderUp Technology Acquisition Corp., a Delaware corporation (“</w:t>
      </w:r>
      <w:r>
        <w:rPr>
          <w:rFonts w:ascii="Times New Roman" w:cs="Times New Roman" w:eastAsia="Times New Roman" w:hAnsi="Times New Roman"/>
          <w:sz w:val="18"/>
          <w:szCs w:val="18"/>
          <w:b w:val="1"/>
          <w:bCs w:val="1"/>
          <w:i w:val="1"/>
          <w:iCs w:val="1"/>
          <w:color w:val="auto"/>
        </w:rPr>
        <w:t>ShoulderUp</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CID Holdco, Inc., a Delaware corporation and a direct, wholly-owned subsidiary of ShoulderUp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ShoulderUp Merger Sub, Inc., a Delaware corporation and wholly-owned subsidiary of Holdings (“</w:t>
      </w:r>
      <w:r>
        <w:rPr>
          <w:rFonts w:ascii="Times New Roman" w:cs="Times New Roman" w:eastAsia="Times New Roman" w:hAnsi="Times New Roman"/>
          <w:sz w:val="18"/>
          <w:szCs w:val="18"/>
          <w:b w:val="1"/>
          <w:bCs w:val="1"/>
          <w:i w:val="1"/>
          <w:iCs w:val="1"/>
          <w:color w:val="auto"/>
        </w:rPr>
        <w:t>ShoulderUp Merger Sub</w:t>
      </w:r>
      <w:r>
        <w:rPr>
          <w:rFonts w:ascii="Times New Roman" w:cs="Times New Roman" w:eastAsia="Times New Roman" w:hAnsi="Times New Roman"/>
          <w:sz w:val="18"/>
          <w:szCs w:val="18"/>
          <w:color w:val="auto"/>
        </w:rPr>
        <w:t>”), SEI Merger Sub, Inc., a Delaware corporation and a direct, wholly owned subsidiary of Holdings (“</w:t>
      </w:r>
      <w:r>
        <w:rPr>
          <w:rFonts w:ascii="Times New Roman" w:cs="Times New Roman" w:eastAsia="Times New Roman" w:hAnsi="Times New Roman"/>
          <w:sz w:val="18"/>
          <w:szCs w:val="18"/>
          <w:b w:val="1"/>
          <w:bCs w:val="1"/>
          <w:i w:val="1"/>
          <w:iCs w:val="1"/>
          <w:color w:val="auto"/>
        </w:rPr>
        <w:t>SEI Merger Sub</w:t>
      </w:r>
      <w:r>
        <w:rPr>
          <w:rFonts w:ascii="Times New Roman" w:cs="Times New Roman" w:eastAsia="Times New Roman" w:hAnsi="Times New Roman"/>
          <w:sz w:val="18"/>
          <w:szCs w:val="18"/>
          <w:color w:val="auto"/>
        </w:rPr>
        <w:t>” and together with ShoulderUp Merger Sub, the “</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and SEE ID, Inc., a Nevada corporation (collectively with any predecessor entities,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both"/>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 Class A Common Stock received one warrant to purchase the Company’s Common Stock at an exercise price of $11.50 per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the entity’s ability to continue as a going concern and to meet its obligations as they become due within one year after the date that the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consolidated financial statements does not include any adjustments that may result from the outcome of this uncertainty. The Company’s consolidated financial statements are prepared using the generally accepted accounting principles applicable to a going concern, which contemplates the realization of assets and liquidation of liabilities in the normal course of business. As of December 31, 2025, the Company had $865,624 in cash, a working capital deficit of $1,730,095 and accumulated deficit of $61,451,334.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annual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audited financial statements include the accounts of CID Holdco, and its wholly-owned subsidiaries, Dot Ai and Dot Works, which are collectively referred to as the “Company” in these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CID Holdco, Inc. and its subsidiaries, with all intercompany transactions and balances eliminated in consolidation. The Company has prepared the Consolidated Financial Statements in accordance with accounting principles generally accepted in the United States of America (“U.S. GAAP”), as established by the Financial Accounting Standards Board (“FASB”) through the Accounting Standards Codification (“ASC”), and in conformity with the rules and regulations of the United States Securities and Exchange Commission (the “SEC”). In the opinion of management, the Consolidated Financial Statements reflect all adjustments, consisting only of normal recurring adjustments, necessary for the fair presentation of the Company’s financial position, results of operations, and cash flows for the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Clarifications to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Certain Convertible Debt Instruments</w:t>
      </w:r>
      <w:r>
        <w:rPr>
          <w:rFonts w:ascii="Times New Roman" w:cs="Times New Roman" w:eastAsia="Times New Roman" w:hAnsi="Times New Roman"/>
          <w:sz w:val="18"/>
          <w:szCs w:val="18"/>
          <w:color w:val="auto"/>
        </w:rPr>
        <w:t>, which amends ASC 470-202 to clarify the requirements related to accounting for the settlement of a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Early adoption is permitted. The Company has not early adopted this guidance and is currently evaluating the impact that adoption may have on its consolidated financial statements and related disclosures, including the accounting for its senior secured convertible loan arrangements and any related settlement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in these notes to the consolidated financial statements for further detail.</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consolidated financial statements or related disclosures.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accounting standards described above, the Company did not adopt any new accounting standards during the year ended December 31, 2025 that had a material impact on its consolidated financial statements. The Company has reviewed all recently issued accounting pronouncements and determined that no other standards adopted during the period materially affected its consolidated financial position, results of operations, cash flows, or related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useful lives of capitalized software development costs, the fair value of the SAFE agreements, warrant liabilities, embedded derivatives, share-based compensation, obsolete inventory, the put option under the equity line of credit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that the entity can access.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December 31, 2025 and 2024, there was no accounts receivable allowance for credit losses. There were no credit losses for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NRV. Management also periodically performs a valuation on allowance for excess and obsolete inventory. No valuation allowance was necessary as of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Routine maintenance and repair costs are expensed as incurred, while expenditures that materially extend the useful life or improve the functionality of an asset are capitalized. Upon sale, retirement, or other disposition, the cost and related accumulated depreciation are removed from the accounts, and any resulting gain or loss is recognized in operations. Depreciation on equipment is calculated using the straight-line method for assets with a cost exceeding $5,000 over their estimated useful lives, generally three to five years, except for a laser machine, which is depreciated over an estimated useful life of ten years. Leasehold improvements are depreciated over the shorter of the lease term or their estimated useful lives.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December 31, 2025 and 2024, and for the years then ended, no projects have been substantially completed and ready for their intended use, and no amortization was recorded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December 31, 2025 and 2024, and for the years then ended, no such indicators of impairment were identified, and accordingly, no impairment losses were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debt instruments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Embedded Derivatives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therefore require separation from the host contract. The embedded call option permits the Company, upon a change in control, to call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recapitalization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as a single reportable segment and generates revenue from an integrated offering of hardware products and related software and subscription services. Revenue is disaggregated into product and service categories. Product revenue primarily consists of sales of hardware devices that serve as the initial step in customer adoption of the Company’s cloud-based SaaS platform. Service revenue primarily consists of subscription services providing access to the Company’s software platform, along with related training, support, professional services such as onboarding and consulting, feasibility studies, and certain reseller exclusivity arrangements. The Company’s integrated hardware and software model is designed to expand customer adoption of its platform and strengthen reseller partnerships. All revenue for the periods presented was generated from customers located in the United States.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pays sales commissions to its sales personnel in connection with customer contracts. As the Company’s revenue is recognized at a point in time and the commission amounts are not significant relative to the related contract period, the Company applies the practical expedient under ASC 340-40 </w:t>
      </w:r>
      <w:r>
        <w:rPr>
          <w:rFonts w:ascii="Times New Roman" w:cs="Times New Roman" w:eastAsia="Times New Roman" w:hAnsi="Times New Roman"/>
          <w:sz w:val="18"/>
          <w:szCs w:val="18"/>
          <w:i w:val="1"/>
          <w:iCs w:val="1"/>
          <w:color w:val="auto"/>
        </w:rPr>
        <w:t>Other Assets and Deferred Costs—Contracts with Customers</w:t>
      </w:r>
      <w:r>
        <w:rPr>
          <w:rFonts w:ascii="Times New Roman" w:cs="Times New Roman" w:eastAsia="Times New Roman" w:hAnsi="Times New Roman"/>
          <w:sz w:val="18"/>
          <w:szCs w:val="18"/>
          <w:color w:val="auto"/>
        </w:rPr>
        <w:t>, to expense incremental costs of obtaining a contract when incurred. Accordingly,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expenses are recognized in the period the related customer contract is executed and are not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Grant Price - </w:t>
      </w:r>
      <w:r>
        <w:rPr>
          <w:rFonts w:ascii="Times New Roman" w:cs="Times New Roman" w:eastAsia="Times New Roman" w:hAnsi="Times New Roman"/>
          <w:sz w:val="18"/>
          <w:szCs w:val="18"/>
          <w:color w:val="auto"/>
        </w:rPr>
        <w:t>The grant price of the issuances is determined based on the estimated fair value of the shares at the date of grant.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for periods within the contractual life of the option is based on the U.S. Treasury yield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 </w:t>
      </w:r>
      <w:r>
        <w:rPr>
          <w:rFonts w:ascii="Times New Roman" w:cs="Times New Roman" w:eastAsia="Times New Roman" w:hAnsi="Times New Roman"/>
          <w:sz w:val="18"/>
          <w:szCs w:val="18"/>
          <w:color w:val="auto"/>
        </w:rPr>
        <w:t>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Based on current yield at the grant date or the average dividend yield over the historical period. The Company has never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paid dividends and has no plans to do so in the foreseeable future.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As of December 31, 2025 and 2024, the Company has not identified any uncertain tax positions and, accordingly, has not recorded any liability for unrecognized tax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inherited 15,675,000 public and private warrants from ShoulderUp, each exercisable at $11.50 per share. These warrants were considered antidilutive and excluded from the diluted net loss per share calculation for the years ended December 31, 2025 and 2024. During the years ended December 31, 2025, 20,017 of these warrants were forfeited, resulting in a net total of 15,654,983 warrants outstanding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 and integration costs of $1,154,857 for the year ended December 31, 2025, primarily related to professional fees, legal and accounting services, severance, and other costs associated with recent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transaction costs incurred in connection with de-SPAC transactions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and Reclassifications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these reclassifications, certain amounts previously reported within cost of goods sold have been reclassified to operating expense categories, including general and administrative expenses, research and development expenses, sales and marketing expenses, and acquisition and integration expenses, based on the nature of the underlying costs. These reclassifications had no impact on total revenue, loss from operations, net loss, or shareholders’ equity (deficit) for the period presented.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period amounts in the consolidated statements of cash flows have also been revised to conform to the current period presentation. Specifically, amounts previously presented as short-term debt, net have been revised to proceeds from issuance of bridge loans within financing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2025 period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SEI Merger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Legacy Company.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80" w:type="dxa"/>
            <w:vAlign w:val="bottom"/>
          </w:tcPr>
          <w:p>
            <w:pPr>
              <w:spacing w:after="0"/>
              <w:rPr>
                <w:sz w:val="21"/>
                <w:szCs w:val="21"/>
                <w:color w:val="auto"/>
              </w:rPr>
            </w:pP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9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StartUpNV</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r>
      <w:tr>
        <w:trPr>
          <w:trHeight w:val="23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3,323,536</w:t>
            </w:r>
          </w:p>
        </w:tc>
      </w:tr>
      <w:tr>
        <w:trPr>
          <w:trHeight w:val="223"/>
        </w:trPr>
        <w:tc>
          <w:tcPr>
            <w:tcW w:w="8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Upon the Business Combination</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484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4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45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8,597,749</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vMerge w:val="continue"/>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4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56,155,649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00" w:type="dxa"/>
            <w:vAlign w:val="bottom"/>
          </w:tcPr>
          <w:p>
            <w:pPr>
              <w:spacing w:after="0"/>
              <w:rPr>
                <w:sz w:val="18"/>
                <w:szCs w:val="18"/>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00" w:type="dxa"/>
            <w:vAlign w:val="bottom"/>
          </w:tcPr>
          <w:p>
            <w:pPr>
              <w:spacing w:after="0"/>
              <w:rPr>
                <w:sz w:val="21"/>
                <w:szCs w:val="21"/>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(673,500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2,456,500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3"/>
                <w:szCs w:val="23"/>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7,023,143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1,755,786</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PIPE</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w w:val="96"/>
              </w:rPr>
              <w:t>10,837,643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2,709,411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written off as of December 31, 2025, with a corresponding adjustment to additional paid-in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Note 4 - Reclassifications and Revisions of Prior Period Financial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Staff Accounting Bulletin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 Company determined these revisions were not material to the previously issued financial statements and as such reclassifications and revisions were necessary.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on the Company’s consolidated statements of operations for the year ended December 31, 2024, is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20" w:type="dxa"/>
            <w:vAlign w:val="bottom"/>
            <w:gridSpan w:val="3"/>
          </w:tcPr>
          <w:p>
            <w:pPr>
              <w:jc w:val="right"/>
              <w:ind w:right="159"/>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343,889</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(300,255)</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43,634</w:t>
            </w:r>
          </w:p>
        </w:tc>
        <w:tc>
          <w:tcPr>
            <w:tcW w:w="0" w:type="dxa"/>
            <w:vAlign w:val="bottom"/>
          </w:tcPr>
          <w:p>
            <w:pPr>
              <w:spacing w:after="0"/>
              <w:rPr>
                <w:sz w:val="1"/>
                <w:szCs w:val="1"/>
                <w:color w:val="auto"/>
              </w:rPr>
            </w:pPr>
          </w:p>
        </w:tc>
      </w:tr>
      <w:tr>
        <w:trPr>
          <w:trHeight w:val="27"/>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vMerge w:val="continue"/>
            <w:shd w:val="clear" w:color="auto" w:fill="CCEEFF"/>
          </w:tcPr>
          <w:p>
            <w:pPr>
              <w:spacing w:after="0"/>
              <w:rPr>
                <w:sz w:val="21"/>
                <w:szCs w:val="21"/>
                <w:color w:val="auto"/>
              </w:rPr>
            </w:pP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2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129,027</w:t>
            </w:r>
          </w:p>
        </w:tc>
        <w:tc>
          <w:tcPr>
            <w:tcW w:w="0" w:type="dxa"/>
            <w:vAlign w:val="bottom"/>
          </w:tcPr>
          <w:p>
            <w:pPr>
              <w:spacing w:after="0"/>
              <w:rPr>
                <w:sz w:val="1"/>
                <w:szCs w:val="1"/>
                <w:color w:val="auto"/>
              </w:rPr>
            </w:pPr>
          </w:p>
        </w:tc>
      </w:tr>
      <w:tr>
        <w:trPr>
          <w:trHeight w:val="21"/>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3,588,548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(2,025,220)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1,563,328</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759,967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90,294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850,261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2,524,930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2,721,981</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2,038,130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2,038,130</w:t>
            </w:r>
          </w:p>
        </w:tc>
        <w:tc>
          <w:tcPr>
            <w:tcW w:w="0" w:type="dxa"/>
            <w:vAlign w:val="bottom"/>
          </w:tcPr>
          <w:p>
            <w:pPr>
              <w:spacing w:after="0"/>
              <w:rPr>
                <w:sz w:val="1"/>
                <w:szCs w:val="1"/>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6,873,445</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300,255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7,173,700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Change in fair value of SAFE notes</w:t>
            </w:r>
          </w:p>
        </w:tc>
        <w:tc>
          <w:tcPr>
            <w:tcW w:w="3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(14,492,176</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(14,492,176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3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jc w:val="right"/>
              <w:ind w:right="1574"/>
              <w:spacing w:after="0"/>
              <w:rPr>
                <w:sz w:val="20"/>
                <w:szCs w:val="20"/>
                <w:color w:val="auto"/>
              </w:rPr>
            </w:pPr>
            <w:r>
              <w:rPr>
                <w:rFonts w:ascii="Times New Roman" w:cs="Times New Roman" w:eastAsia="Times New Roman" w:hAnsi="Times New Roman"/>
                <w:sz w:val="18"/>
                <w:szCs w:val="18"/>
                <w:color w:val="auto"/>
              </w:rPr>
              <w:t>F-21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54" w:name="page155"/>
    <w:bookmarkEnd w:id="154"/>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2025 and the nine months ended September 30, 2025, the Company revised the presentation of certain amounts in the consolidated statements of cash flows to conform to the current period presentation. Specifically, amounts previously presented as short-term debt, net have been revised to proceeds from issuance of bridge loans within financing activities. In addition, the reverse recapitalization transaction adjustment was revised to reflect the appropriate presentation within operating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period presented. The impact of these revisions on the Company’s condensed consolidated statements of cash flows for the six and nine month periods ended June 30, 2025 and September 30, 2025, respectively, are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Revision</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(3,762,742)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(6,392,742)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10,278,154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12,908,154</w:t>
            </w:r>
          </w:p>
        </w:tc>
      </w:tr>
      <w:tr>
        <w:trPr>
          <w:trHeight w:val="410"/>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Revision</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(8,197,830)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(10,827,830)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10,278,154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12,908,154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December 31, 2025 and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year ended December 31, 2025, the Company generated 100% of its total revenue from three customers. One customer accounted for approximately 85% of total revenue, a second customer accounted for approximately 14%, and the remaining customer accounted for less than 1% of total revenue. For the year ended December 31, 2024, the Company generated 100% of its total revenue from five customers with the top three customers accounting for approximately 57%, 21% and 11%,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accounts receivable balance was concentrated among three customers. One customer accounted for approximately 97% of total accounts receivable. As of December 31, 2024, the Company’s accounts receivable balance was concentrated among three customers. One customer accounted for approximately 60% of total accounts receivable, and another customer represented approximately 38%.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54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Lesser of lease term or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 useful life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(36,463)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645,240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Capitalized Software Development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software development costs of $2,920,718 and $1,761,396 as of December 31, 2025 and 2024,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there was no amortization expense recorded on capitalized software development costs as the software was not ready for its intended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Note 8 - Loans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notes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firstLine="8"/>
        <w:spacing w:after="0" w:line="284" w:lineRule="auto"/>
        <w:tabs>
          <w:tab w:leader="none" w:pos="2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firstLine="8"/>
        <w:spacing w:after="0" w:line="267" w:lineRule="auto"/>
        <w:tabs>
          <w:tab w:leader="none" w:pos="2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3" w:lineRule="exact"/>
        <w:rPr>
          <w:rFonts w:ascii="Times New Roman" w:cs="Times New Roman" w:eastAsia="Times New Roman" w:hAnsi="Times New Roman"/>
          <w:sz w:val="18"/>
          <w:szCs w:val="18"/>
          <w:color w:val="auto"/>
        </w:rPr>
      </w:pPr>
    </w:p>
    <w:p>
      <w:pPr>
        <w:ind w:firstLine="8"/>
        <w:spacing w:after="0" w:line="284" w:lineRule="auto"/>
        <w:tabs>
          <w:tab w:leader="none" w:pos="2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immediately prior to the consummation of the Dissolution Event.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that the SAFE agreements represented freestanding financial instruments and, accordingly, classified them as derivative liabilities in the accompanying consolidated balance sheets. The SAFE agreements were carried at estimated fair value, which was determined by the Company via a probability-weighted expected return method.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5, 2025, the Company entered into a loan agreement with J.J. Astor &amp; Co. for up to $5.0 million in senior secured convertible loans, consisting of an initial $2.0 million tranche and up to three additional $1.0 million tranches. The initial tranche was issued as a $2.0 million convertible note, of which $1.81 million was funded net of fees. The note matures on November 30, 2026 and is repayable in twelve monthly installments, consisting of an initial payment of $0.1 million followed by eleven monthly payments of approximately $0.2 million, totaling $2.6 million. Each additional tranche, if funded at the lender’s discretion and subject to specified conditions (including equity line of credit (“ELOC”) availability, Nasdaq listing, minimum stock price, and trading volume requirements), will be issued as a $1.0 million convertible note with $0.96 million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entered into a registration rights agreement requiring the filing of a resale shelf registration statement covering shares issuable upon conversion of the J.J. Astor loans following an event of default. Upon default and effectiveness of such registration statement, the loans become convertible at a price equal to 80% of the average of the four lowest VWAPs during the 20 trading days prior to the conversion notice, subject to the 4.99% ownership cap. Remedies upon default include acceleration, default interest at 19% on 110% of outstanding principal, and enforcement against collateral.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the accounting treatment of the J.J. Astor loans, the Company concluded that the warrant, the conversion feature, and the embedded call option require bifurcation from the host debt instrument. Management determined that these features meet the definition of derivatives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The embedded call option provides that, upon a change in control, the note may be called, which represents an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derivative feature. In assessing the conversion feature, management determined that because the number of shares issuable upon conversion depends on stockholder approval of the removal of the 4.99% beneficial ownership cap, and that contingency is not an input into the pricing of a fixed-for-fixed equity instrument, the conversion feature is not indexed to the Company’s common stock under ASC 815-40-15-7 and does not qualify for equity classification. Accordingly, the embedded call option and conversion feature were combined and accounted for as a single embedded derivative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the loan issuance, the fair value of the warrant liability was $210,776 and the fair value of the combined embedded derivative liability (inclusive of the call option and conversion feature) was $26,100 and recorded under the caption of derivative liabilities in the consolidated balance sheet. These amounts were bifurcated from the original loan proceeds, resulting in a net initial carrying amount of the debt of $1,763,124. Based on the contractual repayment terms, the effective interest rate is approximately 6.81% per month, or 81.71% per annum. The warrant liability and conversion derivative liability are remeasured at each reporting date, with changes in fair value recognized in the consolidated statement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fair value of the warrant liability decreased to $52,535 and was recorded under the caption of derivative liabilities in the consolidated balance sheet, and the resulting change in fair value of $158,241 was recorded in the consolidated statement of operations under the caption of change in fair value of derivative liabilities. As of December 31, 2025, the fair value of the embedded conversion and call option derivative liability remained unchanged at $26,100.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December 2025, the Company paid $108,334 to J.J. Astor, of which $48,306 was applied to principal. The Company also capitalized $190,000 of loan origination fees, which are being amortized over a 12-month term. Monthly amortization of $15,833 is recorded as a reduction of the deferred financing costs. As a result, the outstanding debt principal balance was $1,540,651 as of December 31, 2025, compared to $0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all outstanding SAFE notes were converted into shares of the Company’s Common Stock, resulting in a significant reduction of the related derivative liabilities during the year ended December 31, 2025. In addition, during 2025, the Company entered into a new loan agreement with J.J. Astor that includes detachable warrants and embedded derivative features. These features are accounted for as derivative liabilities and are measured at fair value on a recurring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reflected in the tables below, derivative liabilities are presented at fair value at the beginning and end of each reporting period. As of December 31, 2025,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consolidated statement of operations in the period in which they occur.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SAFE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23,334,626</w:t>
            </w:r>
          </w:p>
        </w:tc>
        <w:tc>
          <w:tcPr>
            <w:tcW w:w="80" w:type="dxa"/>
            <w:vAlign w:val="bottom"/>
          </w:tcPr>
          <w:p>
            <w:pPr>
              <w:spacing w:after="0"/>
              <w:rPr>
                <w:sz w:val="20"/>
                <w:szCs w:val="20"/>
                <w:color w:val="auto"/>
              </w:rPr>
            </w:pPr>
          </w:p>
        </w:tc>
      </w:tr>
      <w:tr>
        <w:trPr>
          <w:trHeight w:val="38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7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260,628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4,239,500</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14,492,176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(158,241)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Fair Value - end of period</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78,635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23,334,626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Equity Line of Credit (“ELOC”)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statement of operations. The fair value of the purchased put option was determined to be de minimis as of December 31, 2025, and therefore was not recorded on the Company’s balance sheet as of that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delivered purchase notices for 30,000, 500,000, and 1,000,000 shares at settlement prices of $2.62, $0.32, and $0.32 per share, respectively, resulting in gross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The difference, totaling $246,184, was recorded as a loss on issuance of shares in the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Business Combination and Reverse Recapitalization</w:t>
      </w:r>
      <w:r>
        <w:rPr>
          <w:rFonts w:ascii="Times New Roman" w:cs="Times New Roman" w:eastAsia="Times New Roman" w:hAnsi="Times New Roman"/>
          <w:sz w:val="18"/>
          <w:szCs w:val="18"/>
          <w:color w:val="auto"/>
        </w:rPr>
        <w:t>, all historical equity data, including stock option data, in these consolidated financial statements has been retrospectively adjusted by the Exchange Ratio to reflect the reverse recapitalization that occurred on June 18,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authorized 300,000,000 shares of Common Stock, par value $0.0001 per share. As of December 31, 2025, 29,273,321 shares of Common Stock were issued and outstanding, and 270,726,679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December 31, 2025, the Company has granted awards under the 2021 Equity Incentive Plan as described in the stock options and restricted stock awards subsections below under this note.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2,032,521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December 31, 2025, no awards were granted under the 2024 Incentive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 activity pursuant to the 2021 Incentive Plan for the year ended December 31, 2025 is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0.1151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0.1759</w:t>
            </w: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0.1095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vested as of December 31, 2025</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1,816,184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w w:val="92"/>
              </w:rPr>
              <w:t>0.1074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recognized share-based compensation expense relating to stock options totaling $37,827 and $90,377, respectively. Share-based compensation expense relating to stock options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has been no stock option activity pursuant to the 2024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did not grant any restricted stock awards. As of December 31, 2025 and 2024, there were no unvested restricted stock awards. For the year ended December 31, 2025, the Company did not recognize any share-based compensation relating to restricted stock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share-based compensation relating to restricted stock awards totaling $106,629. Share-based compensation relating to restricted stock awards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no unrecognized share-based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December 31, 2025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years ended December 31,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0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155,617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117,134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35,006</w:t>
            </w:r>
          </w:p>
        </w:tc>
        <w:tc>
          <w:tcPr>
            <w:tcW w:w="0" w:type="dxa"/>
            <w:vAlign w:val="bottom"/>
          </w:tcPr>
          <w:p>
            <w:pPr>
              <w:spacing w:after="0"/>
              <w:rPr>
                <w:sz w:val="1"/>
                <w:szCs w:val="1"/>
                <w:color w:val="auto"/>
              </w:rPr>
            </w:pPr>
          </w:p>
        </w:tc>
      </w:tr>
      <w:tr>
        <w:trPr>
          <w:trHeight w:val="27"/>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vMerge w:val="continue"/>
            <w:shd w:val="clear" w:color="auto" w:fill="CCEEFF"/>
          </w:tcPr>
          <w:p>
            <w:pPr>
              <w:spacing w:after="0"/>
              <w:rPr>
                <w:sz w:val="21"/>
                <w:szCs w:val="21"/>
                <w:color w:val="auto"/>
              </w:rPr>
            </w:pPr>
          </w:p>
        </w:tc>
        <w:tc>
          <w:tcPr>
            <w:tcW w:w="5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272,751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78,112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December 31, 2025 and 2024: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(122,436)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701,878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139,963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577,656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operating lease term</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4.16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4.75 years</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as of December 31, 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207,783</w:t>
            </w: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215,950</w:t>
            </w:r>
          </w:p>
        </w:tc>
        <w:tc>
          <w:tcPr>
            <w:tcW w:w="8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197,905</w:t>
            </w:r>
          </w:p>
        </w:tc>
        <w:tc>
          <w:tcPr>
            <w:tcW w:w="80" w:type="dxa"/>
            <w:vAlign w:val="bottom"/>
          </w:tcPr>
          <w:p>
            <w:pPr>
              <w:spacing w:after="0"/>
              <w:rPr>
                <w:sz w:val="18"/>
                <w:szCs w:val="18"/>
                <w:color w:val="auto"/>
              </w:rPr>
            </w:pPr>
          </w:p>
        </w:tc>
      </w:tr>
      <w:tr>
        <w:trPr>
          <w:trHeight w:val="24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864,536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(146,917)</w:t>
            </w:r>
          </w:p>
        </w:tc>
      </w:tr>
      <w:tr>
        <w:trPr>
          <w:trHeight w:val="237"/>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717,619</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Related parties include entities that are under common ownership or control with the Company, as well as entities owned in whole or in part by members of the Company’s management, board of directors, or significant 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$15,145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as of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34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accrued for Cohen Capital Market</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accrued expenses</w:t>
            </w:r>
          </w:p>
        </w:tc>
        <w:tc>
          <w:tcPr>
            <w:tcW w:w="3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1,826,189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24,219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 Inventory</w:t>
            </w: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34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Inventory as of December 31, 2025 and 2024 consisted of the following:</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34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Shipping costs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in transit</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vMerge w:val="continue"/>
            <w:shd w:val="clear" w:color="auto" w:fill="CCEEFF"/>
          </w:tcPr>
          <w:p>
            <w:pPr>
              <w:spacing w:after="0"/>
              <w:rPr>
                <w:sz w:val="21"/>
                <w:szCs w:val="21"/>
                <w:color w:val="auto"/>
              </w:rPr>
            </w:pPr>
          </w:p>
        </w:tc>
        <w:tc>
          <w:tcPr>
            <w:tcW w:w="35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3033"/>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Note 17 – Commitment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former employee originally held 5,000,260 shares of the Company’s Common Stock. On December 23, 2025, pursuant to bona fide gifts for which no consideration was received, the former employee transferred an aggregate of 2,497,331 shares of Common Stock to individuals not affiliated with the former employee for purposes of beneficial ownership reporting under applicable federal securities laws. In addition,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accordingly, no amounts have been accrued for a potential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by major product and service category for the years ended December 31, 2025 and 2024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year ended December 31, 2025, product revenue represented the majority of total revenue, reflecting increased hardware sales as the Company expanded customer adoption of its integrated hardware and software solution. For the year ended December 31, 2024, revenue was generated solely from services. All of the Company’s revenue for the periods presented was generated from customers located in the United States.</w:t>
      </w:r>
    </w:p>
    <w:p>
      <w:pPr>
        <w:spacing w:after="0" w:line="1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5,456,554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5,804,369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172,661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total deferred revenue of $1,984,550 and $2,713,215, respectively. Of these amounts, $236,038 and $1,142,643, respectively, were expected to be recognized as revenue within one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consolidated statements of operations. The measure of segment assets is reported on the consolidated balance sheets as total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consists of:</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(37,841,287)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(21,278,239)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1,123,216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(258,610)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(36,718,071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provision expense (benefit) for the years ended December 31, 2025 and 2024 were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provision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for income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provision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(4,045,818)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(275,872)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141,311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4,161,621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provision for income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No. 2023-09 “Income Taxes (Topic 740): Improvements to Income Tax Disclosures,” on a prospective basis beginning with the year ended December 31, 2025. The following table presents required disclosure pursuant to ASU No. 2023-09 and reconciles the U.S. federal statutory tax amount and rate to our actual global effective amount and rate for the year ended December 31, 2025:</w:t>
      </w:r>
    </w:p>
    <w:p>
      <w:pPr>
        <w:spacing w:after="0" w:line="17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(7,710,795)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(282,645)</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Puerto Rico</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Puerto Rico and United States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(247,107)</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151,649</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3,647,367</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548,015</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1,202,942</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true-ups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2,551,581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127,081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320" w:type="dxa"/>
            <w:vAlign w:val="bottom"/>
            <w:vMerge w:val="continue"/>
            <w:shd w:val="clear" w:color="auto" w:fill="CCEEFF"/>
          </w:tcPr>
          <w:p>
            <w:pPr>
              <w:spacing w:after="0"/>
              <w:rPr>
                <w:sz w:val="21"/>
                <w:szCs w:val="21"/>
                <w:color w:val="auto"/>
              </w:rPr>
            </w:pP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876"/>
              <w:spacing w:after="0"/>
              <w:rPr>
                <w:sz w:val="20"/>
                <w:szCs w:val="20"/>
                <w:color w:val="auto"/>
              </w:rPr>
            </w:pPr>
            <w:r>
              <w:rPr>
                <w:rFonts w:ascii="Times New Roman" w:cs="Times New Roman" w:eastAsia="Times New Roman" w:hAnsi="Times New Roman"/>
                <w:sz w:val="18"/>
                <w:szCs w:val="18"/>
                <w:color w:val="auto"/>
              </w:rPr>
              <w:t>F-33</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for the year ended December 31, 2025:</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 tax credits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515" w:hanging="515"/>
        <w:spacing w:after="0"/>
        <w:tabs>
          <w:tab w:leader="none" w:pos="5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262,178</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65,554</w:t>
      </w:r>
    </w:p>
    <w:p>
      <w:pPr>
        <w:spacing w:after="0" w:line="9"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3,310,890</w:t>
      </w:r>
    </w:p>
    <w:p>
      <w:pPr>
        <w:spacing w:after="0" w:line="9"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1,367,374</w:t>
      </w:r>
    </w:p>
    <w:p>
      <w:pPr>
        <w:spacing w:after="0" w:line="58" w:lineRule="exact"/>
        <w:rPr>
          <w:sz w:val="20"/>
          <w:szCs w:val="20"/>
          <w:color w:val="auto"/>
        </w:rPr>
      </w:pPr>
    </w:p>
    <w:p>
      <w:pPr>
        <w:ind w:left="395" w:hanging="395"/>
        <w:spacing w:after="0"/>
        <w:tabs>
          <w:tab w:leader="none" w:pos="395" w:val="left"/>
        </w:tabs>
        <w:numPr>
          <w:ilvl w:val="0"/>
          <w:numId w:val="8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5,005,996</w:t>
      </w:r>
    </w:p>
    <w:p>
      <w:pPr>
        <w:spacing w:after="0" w:line="200" w:lineRule="exact"/>
        <w:rPr>
          <w:rFonts w:ascii="Times New Roman" w:cs="Times New Roman" w:eastAsia="Times New Roman" w:hAnsi="Times New Roman"/>
          <w:sz w:val="18"/>
          <w:szCs w:val="18"/>
          <w:u w:val="single" w:color="auto"/>
          <w:color w:val="auto"/>
        </w:rPr>
      </w:pPr>
    </w:p>
    <w:p>
      <w:pPr>
        <w:spacing w:after="0" w:line="308" w:lineRule="exact"/>
        <w:rPr>
          <w:rFonts w:ascii="Times New Roman" w:cs="Times New Roman" w:eastAsia="Times New Roman" w:hAnsi="Times New Roman"/>
          <w:sz w:val="18"/>
          <w:szCs w:val="18"/>
          <w:u w:val="single" w:color="auto"/>
          <w:color w:val="auto"/>
        </w:rPr>
      </w:pPr>
    </w:p>
    <w:p>
      <w:pPr>
        <w:ind w:left="555"/>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(60,330)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029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0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00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(4,945,666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for the year ended December 31, 2024: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729,287</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3,106,508</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expenditures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359,433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 carryovers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239,142</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56,893</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55,481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304,628</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7,028</w:t>
            </w:r>
          </w:p>
        </w:tc>
        <w:tc>
          <w:tcPr>
            <w:tcW w:w="0" w:type="dxa"/>
            <w:vAlign w:val="bottom"/>
          </w:tcPr>
          <w:p>
            <w:pPr>
              <w:spacing w:after="0"/>
              <w:rPr>
                <w:sz w:val="1"/>
                <w:szCs w:val="1"/>
                <w:color w:val="auto"/>
              </w:rPr>
            </w:pP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(4,804,357)</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a net operating loss carryforward for federal income tax purposes of $14.8 million and $1.5 million, respectively, which have indefinite carryforward periods. As of December 31, 2025 and 2024, the Company had a net operating loss carryforward for state income tax purposes of $8.5 million and $2.0 million, respectively, which have various carryforward periods and will begin to expire in 2038. As of December 31, 2025 and 2024, the Company had federal research and development tax credit carryforwards of approximately $262 thousand and $239 thousand, respectively, which begin to expire in 2042.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established a 100% valuation allowance against the deferred tax assets as management does not believe it is more likely than not that these assets will be realized. The Company’s valuation allowance increased by approximately $141 thousand from 2024 to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the taxing authorities, based on the technical merits of the position. The Company has determined that the Company has no significant uncertain tax positions requiring recognition under ASC 740-10 and therefore has not included a tabular roll forward of unrecognized tax benefits. As there are no uncertain tax positions recognized, interest and penalties have not been accrued.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7" w:name="page168"/>
    <w:bookmarkEnd w:id="167"/>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as well as various states and Puerto Rico. The Company has not been audited by any state tax authorities in connection with income taxes. The Company has not been audited by Puerto Rican tax authorities or any states in connection with income taxes.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tax years December 31, 2021 through December 31, 2025 generally remain open to adjustment for all federal, state and foreign tax matters until its net operating loss and tax credit carryforwards are utilized or expire prior to utilization, and the applicable statutes of limitation have expired in the utilization year.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if incurred, as a component of income tax expense. The Company made no state or foreign tax payments for the year ended December 31, 2025; therefore, no table is needed as a result of the adoption.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resulted in the extension of many provisions of the current tax law as well as other rule changes that could impact the Company’s tax provision in 2025 or 2026. Examples of the new tax law include the following:</w:t>
      </w:r>
    </w:p>
    <w:p>
      <w:pPr>
        <w:spacing w:after="0" w:line="176"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expensing of U.S. research and development costs under Section 174A.</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expensing of unamortized U.S. research and development costs capitalized between 2022 and 2024; either all in 2025, or over two years in 2025 and 2026.</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the Section 163(j) taxable income base excluding the deductions for depreciation and amortization in 2025 (change from “Tax EBIT” to “Tax EBITDA”).</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Section 250 deduction for Net CFC Tested Income (formerly GILTI) to 40% (from 50%) in 2026, instead of the scheduled decrease to 37.5% prior to the OBBBA.</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Section 250 deduction for foreign-derived income to 33.34% (from 37.5%) in 2026, instead of the scheduled decrease to 21.875% prior to the OBBBA.</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foreign tax credit rate on Net CFC Tested Income (formerly GILTI) to 90% (from 80%), and a 10% disallowance on repatriation, in 2026.</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allocation of interest expense and research and development expense to Net CFC Tested Income (formerly GILTI) in calculating the foreign tax credit limitation, effective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has determined the legislation will not have a material impact on the Company’s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lowerLetter"/>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lowerRoman"/>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bullet"/>
      <w:start w:val="1"/>
    </w:lvl>
  </w:abstractNum>
  <w:abstractNum w:abstractNumId="36">
    <w:nsid w:val="3F6AB60F"/>
    <w:multiLevelType w:val="hybridMultilevel"/>
    <w:lvl w:ilvl="0">
      <w:lvlJc w:val="left"/>
      <w:lvlText w:val="2"/>
      <w:numFmt w:val="bullet"/>
      <w:start w:val="1"/>
    </w:lvl>
  </w:abstractNum>
  <w:abstractNum w:abstractNumId="37">
    <w:nsid w:val="61574095"/>
    <w:multiLevelType w:val="hybridMultilevel"/>
    <w:lvl w:ilvl="0">
      <w:lvlJc w:val="left"/>
      <w:lvlText w:val="3"/>
      <w:numFmt w:val="bullet"/>
      <w:start w:val="1"/>
    </w:lvl>
  </w:abstractNum>
  <w:abstractNum w:abstractNumId="38">
    <w:nsid w:val="7E0C57B1"/>
    <w:multiLevelType w:val="hybridMultilevel"/>
    <w:lvl w:ilvl="0">
      <w:lvlJc w:val="left"/>
      <w:lvlText w:val="4"/>
      <w:numFmt w:val="bullet"/>
      <w:start w:val="1"/>
    </w:lvl>
  </w:abstractNum>
  <w:abstractNum w:abstractNumId="39">
    <w:nsid w:val="77AE35EB"/>
    <w:multiLevelType w:val="hybridMultilevel"/>
    <w:lvl w:ilvl="0">
      <w:lvlJc w:val="left"/>
      <w:lvlText w:val="5"/>
      <w:numFmt w:val="bullet"/>
      <w:start w:val="1"/>
    </w:lvl>
  </w:abstractNum>
  <w:abstractNum w:abstractNumId="40">
    <w:nsid w:val="579BE4F1"/>
    <w:multiLevelType w:val="hybridMultilevel"/>
    <w:lvl w:ilvl="0">
      <w:lvlJc w:val="left"/>
      <w:lvlText w:val="6"/>
      <w:numFmt w:val="bullet"/>
      <w:start w:val="1"/>
    </w:lvl>
  </w:abstractNum>
  <w:abstractNum w:abstractNumId="41">
    <w:nsid w:val="310C50B3"/>
    <w:multiLevelType w:val="hybridMultilevel"/>
    <w:lvl w:ilvl="0">
      <w:lvlJc w:val="left"/>
      <w:lvlText w:val="7"/>
      <w:numFmt w:val="bullet"/>
      <w:start w:val="1"/>
    </w:lvl>
  </w:abstractNum>
  <w:abstractNum w:abstractNumId="42">
    <w:nsid w:val="5FF87E05"/>
    <w:multiLevelType w:val="hybridMultilevel"/>
    <w:lvl w:ilvl="0">
      <w:lvlJc w:val="left"/>
      <w:lvlText w:val="8"/>
      <w:numFmt w:val="bullet"/>
      <w:start w:val="1"/>
    </w:lvl>
  </w:abstractNum>
  <w:abstractNum w:abstractNumId="43">
    <w:nsid w:val="2F305DEF"/>
    <w:multiLevelType w:val="hybridMultilevel"/>
    <w:lvl w:ilvl="0">
      <w:lvlJc w:val="left"/>
      <w:lvlText w:val="%1"/>
      <w:numFmt w:val="decimal"/>
      <w:start w:val="10"/>
    </w:lvl>
  </w:abstractNum>
  <w:abstractNum w:abstractNumId="44">
    <w:nsid w:val="25A70BF7"/>
    <w:multiLevelType w:val="hybridMultilevel"/>
    <w:lvl w:ilvl="0">
      <w:lvlJc w:val="left"/>
      <w:lvlText w:val="%1"/>
      <w:numFmt w:val="decimal"/>
      <w:start w:val="14"/>
    </w:lvl>
  </w:abstractNum>
  <w:abstractNum w:abstractNumId="45">
    <w:nsid w:val="1DBABF00"/>
    <w:multiLevelType w:val="hybridMultilevel"/>
    <w:lvl w:ilvl="0">
      <w:lvlJc w:val="left"/>
      <w:lvlText w:val="%1"/>
      <w:numFmt w:val="decimal"/>
      <w:start w:val="22"/>
    </w:lvl>
  </w:abstractNum>
  <w:abstractNum w:abstractNumId="46">
    <w:nsid w:val="4AD084E9"/>
    <w:multiLevelType w:val="hybridMultilevel"/>
    <w:lvl w:ilvl="0">
      <w:lvlJc w:val="left"/>
      <w:lvlText w:val="%1"/>
      <w:numFmt w:val="decimal"/>
      <w:start w:val="34"/>
    </w:lvl>
  </w:abstractNum>
  <w:abstractNum w:abstractNumId="47">
    <w:nsid w:val="1F48EAA1"/>
    <w:multiLevelType w:val="hybridMultilevel"/>
    <w:lvl w:ilvl="0">
      <w:lvlJc w:val="left"/>
      <w:lvlText w:val="%1"/>
      <w:numFmt w:val="decimal"/>
      <w:start w:val="45"/>
    </w:lvl>
  </w:abstractNum>
  <w:abstractNum w:abstractNumId="48">
    <w:nsid w:val="1381823A"/>
    <w:multiLevelType w:val="hybridMultilevel"/>
    <w:lvl w:ilvl="0">
      <w:lvlJc w:val="left"/>
      <w:lvlText w:val="%1"/>
      <w:numFmt w:val="decimal"/>
      <w:start w:val="57"/>
    </w:lvl>
  </w:abstractNum>
  <w:abstractNum w:abstractNumId="49">
    <w:nsid w:val="5DB70AE5"/>
    <w:multiLevelType w:val="hybridMultilevel"/>
    <w:lvl w:ilvl="0">
      <w:lvlJc w:val="left"/>
      <w:lvlText w:val="%1"/>
      <w:numFmt w:val="decimal"/>
      <w:start w:val="68"/>
    </w:lvl>
  </w:abstractNum>
  <w:abstractNum w:abstractNumId="50">
    <w:nsid w:val="100F8FCA"/>
    <w:multiLevelType w:val="hybridMultilevel"/>
    <w:lvl w:ilvl="0">
      <w:lvlJc w:val="left"/>
      <w:lvlText w:val="%1"/>
      <w:numFmt w:val="decimal"/>
      <w:start w:val="69"/>
    </w:lvl>
  </w:abstractNum>
  <w:abstractNum w:abstractNumId="51">
    <w:nsid w:val="6590700B"/>
    <w:multiLevelType w:val="hybridMultilevel"/>
    <w:lvl w:ilvl="0">
      <w:lvlJc w:val="left"/>
      <w:lvlText w:val="%1"/>
      <w:numFmt w:val="decimal"/>
      <w:start w:val="79"/>
    </w:lvl>
  </w:abstractNum>
  <w:abstractNum w:abstractNumId="52">
    <w:nsid w:val="15014ACB"/>
    <w:multiLevelType w:val="hybridMultilevel"/>
    <w:lvl w:ilvl="0">
      <w:lvlJc w:val="left"/>
      <w:lvlText w:val="%1"/>
      <w:numFmt w:val="decimal"/>
      <w:start w:val="92"/>
    </w:lvl>
  </w:abstractNum>
  <w:abstractNum w:abstractNumId="53">
    <w:nsid w:val="5F5E7FD0"/>
    <w:multiLevelType w:val="hybridMultilevel"/>
    <w:lvl w:ilvl="0">
      <w:lvlJc w:val="left"/>
      <w:lvlText w:val="%1"/>
      <w:numFmt w:val="decimal"/>
      <w:start w:val="105"/>
    </w:lvl>
  </w:abstractNum>
  <w:abstractNum w:abstractNumId="54">
    <w:nsid w:val="98A3148"/>
    <w:multiLevelType w:val="hybridMultilevel"/>
    <w:lvl w:ilvl="0">
      <w:lvlJc w:val="left"/>
      <w:lvlText w:val="%1"/>
      <w:numFmt w:val="decimal"/>
      <w:start w:val="117"/>
    </w:lvl>
  </w:abstractNum>
  <w:abstractNum w:abstractNumId="55">
    <w:nsid w:val="799D0247"/>
    <w:multiLevelType w:val="hybridMultilevel"/>
    <w:lvl w:ilvl="0">
      <w:lvlJc w:val="left"/>
      <w:lvlText w:val="%1"/>
      <w:numFmt w:val="decimal"/>
      <w:start w:val="127"/>
    </w:lvl>
  </w:abstractNum>
  <w:abstractNum w:abstractNumId="56">
    <w:nsid w:val="6B94764"/>
    <w:multiLevelType w:val="hybridMultilevel"/>
    <w:lvl w:ilvl="0">
      <w:lvlJc w:val="left"/>
      <w:lvlText w:val="%1"/>
      <w:numFmt w:val="decimal"/>
      <w:start w:val="140"/>
    </w:lvl>
  </w:abstractNum>
  <w:abstractNum w:abstractNumId="57">
    <w:nsid w:val="42C296BD"/>
    <w:multiLevelType w:val="hybridMultilevel"/>
    <w:lvl w:ilvl="0">
      <w:lvlJc w:val="left"/>
      <w:lvlText w:val="%1"/>
      <w:numFmt w:val="decimal"/>
      <w:start w:val="158"/>
    </w:lvl>
  </w:abstractNum>
  <w:abstractNum w:abstractNumId="58">
    <w:nsid w:val="168E121F"/>
    <w:multiLevelType w:val="hybridMultilevel"/>
    <w:lvl w:ilvl="0">
      <w:lvlJc w:val="left"/>
      <w:lvlText w:val="%1"/>
      <w:numFmt w:val="decimal"/>
      <w:start w:val="170"/>
    </w:lvl>
  </w:abstractNum>
  <w:abstractNum w:abstractNumId="59">
    <w:nsid w:val="1EBA5D23"/>
    <w:multiLevelType w:val="hybridMultilevel"/>
    <w:lvl w:ilvl="0">
      <w:lvlJc w:val="left"/>
      <w:lvlText w:val="%1"/>
      <w:numFmt w:val="decimal"/>
      <w:start w:val="180"/>
    </w:lvl>
  </w:abstractNum>
  <w:abstractNum w:abstractNumId="60">
    <w:nsid w:val="661E3F1E"/>
    <w:multiLevelType w:val="hybridMultilevel"/>
    <w:lvl w:ilvl="0">
      <w:lvlJc w:val="left"/>
      <w:lvlText w:val="%1"/>
      <w:numFmt w:val="decimal"/>
      <w:start w:val="193"/>
    </w:lvl>
  </w:abstractNum>
  <w:abstractNum w:abstractNumId="61">
    <w:nsid w:val="5DC79EA8"/>
    <w:multiLevelType w:val="hybridMultilevel"/>
    <w:lvl w:ilvl="0">
      <w:lvlJc w:val="left"/>
      <w:lvlText w:val="%1"/>
      <w:numFmt w:val="decimal"/>
      <w:start w:val="206"/>
    </w:lvl>
  </w:abstractNum>
  <w:abstractNum w:abstractNumId="62">
    <w:nsid w:val="540A471C"/>
    <w:multiLevelType w:val="hybridMultilevel"/>
    <w:lvl w:ilvl="0">
      <w:lvlJc w:val="left"/>
      <w:lvlText w:val="%1"/>
      <w:numFmt w:val="decimal"/>
      <w:start w:val="214"/>
    </w:lvl>
  </w:abstractNum>
  <w:abstractNum w:abstractNumId="63">
    <w:nsid w:val="7BD3EE7B"/>
    <w:multiLevelType w:val="hybridMultilevel"/>
    <w:lvl w:ilvl="0">
      <w:lvlJc w:val="left"/>
      <w:lvlText w:val="%1"/>
      <w:numFmt w:val="decimal"/>
      <w:start w:val="222"/>
    </w:lvl>
  </w:abstractNum>
  <w:abstractNum w:abstractNumId="64">
    <w:nsid w:val="51D9C564"/>
    <w:multiLevelType w:val="hybridMultilevel"/>
    <w:lvl w:ilvl="0">
      <w:lvlJc w:val="left"/>
      <w:lvlText w:val="%1"/>
      <w:numFmt w:val="decimal"/>
      <w:start w:val="233"/>
    </w:lvl>
  </w:abstractNum>
  <w:abstractNum w:abstractNumId="65">
    <w:nsid w:val="613EFDC5"/>
    <w:multiLevelType w:val="hybridMultilevel"/>
    <w:lvl w:ilvl="0">
      <w:lvlJc w:val="left"/>
      <w:lvlText w:val="%1"/>
      <w:numFmt w:val="decimal"/>
      <w:start w:val="238"/>
    </w:lvl>
  </w:abstractNum>
  <w:abstractNum w:abstractNumId="66">
    <w:nsid w:val="BF72B14"/>
    <w:multiLevelType w:val="hybridMultilevel"/>
    <w:lvl w:ilvl="0">
      <w:lvlJc w:val="left"/>
      <w:lvlText w:val="%1"/>
      <w:numFmt w:val="decimal"/>
      <w:start w:val="248"/>
    </w:lvl>
  </w:abstractNum>
  <w:abstractNum w:abstractNumId="67">
    <w:nsid w:val="11447B73"/>
    <w:multiLevelType w:val="hybridMultilevel"/>
    <w:lvl w:ilvl="0">
      <w:lvlJc w:val="left"/>
      <w:lvlText w:val="%1"/>
      <w:numFmt w:val="decimal"/>
      <w:start w:val="258"/>
    </w:lvl>
  </w:abstractNum>
  <w:abstractNum w:abstractNumId="68">
    <w:nsid w:val="42963E5A"/>
    <w:multiLevelType w:val="hybridMultilevel"/>
    <w:lvl w:ilvl="0">
      <w:lvlJc w:val="left"/>
      <w:lvlText w:val="%1"/>
      <w:numFmt w:val="decimal"/>
      <w:start w:val="267"/>
    </w:lvl>
  </w:abstractNum>
  <w:abstractNum w:abstractNumId="69">
    <w:nsid w:val="A0382C5"/>
    <w:multiLevelType w:val="hybridMultilevel"/>
    <w:lvl w:ilvl="0">
      <w:lvlJc w:val="left"/>
      <w:lvlText w:val="%1"/>
      <w:numFmt w:val="decimal"/>
      <w:start w:val="274"/>
    </w:lvl>
  </w:abstractNum>
  <w:abstractNum w:abstractNumId="70">
    <w:nsid w:val="8F2B15E"/>
    <w:multiLevelType w:val="hybridMultilevel"/>
    <w:lvl w:ilvl="0">
      <w:lvlJc w:val="left"/>
      <w:lvlText w:val="%1"/>
      <w:numFmt w:val="decimal"/>
      <w:start w:val="278"/>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lowerRoman"/>
      <w:start w:val="2"/>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2026-04-21T05:18:32Z</dcterms:created>
  <dcterms:modified xsi:type="dcterms:W3CDTF">2026-04-21T05:18:32Z</dcterms:modified>
</cp:coreProperties>
</file>