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Reny William Tremaine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2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06/18/2025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CID Holdco,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DAIC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00" w:type="dxa"/>
            <w:vAlign w:val="bottom"/>
          </w:tcPr>
          <w:p>
            <w:pPr>
              <w:ind w:left="40"/>
              <w:spacing w:after="0"/>
              <w:rPr>
                <w:sz w:val="20"/>
                <w:szCs w:val="20"/>
                <w:color w:val="auto"/>
              </w:rPr>
            </w:pPr>
            <w:r>
              <w:rPr>
                <w:rFonts w:ascii="Arial" w:cs="Arial" w:eastAsia="Arial" w:hAnsi="Arial"/>
                <w:sz w:val="15"/>
                <w:szCs w:val="15"/>
                <w:color w:val="auto"/>
              </w:rPr>
              <w:t>(Last)</w:t>
            </w:r>
          </w:p>
        </w:tc>
        <w:tc>
          <w:tcPr>
            <w:tcW w:w="1180" w:type="dxa"/>
            <w:vAlign w:val="bottom"/>
          </w:tcPr>
          <w:p>
            <w:pPr>
              <w:ind w:left="16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6"/>
              </w:rPr>
              <w:t>9 HAWK RIDGE DRIVE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0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LAS</w:t>
            </w: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NV</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89135</w:t>
            </w:r>
          </w:p>
        </w:tc>
        <w:tc>
          <w:tcPr>
            <w:tcW w:w="0" w:type="dxa"/>
            <w:vAlign w:val="bottom"/>
          </w:tcPr>
          <w:p>
            <w:pPr>
              <w:spacing w:after="0"/>
              <w:rPr>
                <w:sz w:val="1"/>
                <w:szCs w:val="1"/>
                <w:color w:val="auto"/>
              </w:rPr>
            </w:pPr>
          </w:p>
        </w:tc>
      </w:tr>
      <w:tr>
        <w:trPr>
          <w:trHeight w:val="134"/>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VEGAS,</w:t>
            </w:r>
          </w:p>
        </w:tc>
        <w:tc>
          <w:tcPr>
            <w:tcW w:w="11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20"/>
                <w:szCs w:val="20"/>
                <w:color w:val="0000FF"/>
              </w:rPr>
              <w:t>4,967,391</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Received in connection with the acquisition (the "Business Combination") by CID HoldCo, Inc. ( "Issuer") of SEE ID, Inc., a Nevada corporation ("SEE ID"), in accordance with the terms of a Business Combination Agreement, dated March 18, 2024, by and among Issuer, ShoulderUp Technology Acquisition Corp, ShoulderUp Merger Sub, Inc., SEI Merger Sub, Inc. and SEE ID. The consideration payable to the shareholders of SEE ID in connection with the Business Combination was equal to a number of shares of Issuer's common stock equal to the quotient of (i) $171,635,010 divided by (ii) $10.00.</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6"/>
              </w:rPr>
              <w:t>/s/ William Tremaine Reny 11/14/2025</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80" w:type="dxa"/>
            <w:vAlign w:val="bottom"/>
          </w:tcPr>
          <w:p>
            <w:pPr>
              <w:spacing w:after="0"/>
              <w:rPr>
                <w:sz w:val="20"/>
                <w:szCs w:val="20"/>
                <w:color w:val="auto"/>
              </w:rPr>
            </w:pPr>
          </w:p>
        </w:tc>
        <w:tc>
          <w:tcPr>
            <w:tcW w:w="88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0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640" w:type="dxa"/>
            <w:vAlign w:val="bottom"/>
            <w:gridSpan w:val="2"/>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40" w:type="dxa"/>
            <w:vAlign w:val="bottom"/>
            <w:gridSpan w:val="2"/>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095777" TargetMode="External"/><Relationship Id="rId11" Type="http://schemas.openxmlformats.org/officeDocument/2006/relationships/hyperlink" Target="http://www.sec.gov/cgi-bin/browse-edgar?action=getcompany&amp;CIK=00020337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2025-11-14T18:23:25Z</dcterms:created>
  <dcterms:modified xsi:type="dcterms:W3CDTF">2025-11-14T18:23:25Z</dcterms:modified>
</cp:coreProperties>
</file>