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0"/>
          <w:szCs w:val="10"/>
          <w:b w:val="1"/>
          <w:bCs w:val="1"/>
          <w:color w:val="auto"/>
        </w:rPr>
        <w:t>________________________________</w:t>
      </w:r>
    </w:p>
    <w:p>
      <w:pPr>
        <w:spacing w:after="0" w:line="1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9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0"/>
          <w:szCs w:val="10"/>
          <w:b w:val="1"/>
          <w:bCs w:val="1"/>
          <w:color w:val="auto"/>
        </w:rPr>
        <w:t>________________________________</w:t>
      </w:r>
    </w:p>
    <w:p>
      <w:pPr>
        <w:spacing w:after="0" w:line="20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630" w:right="1440" w:bottom="1440" w:gutter="0" w:footer="0" w:header="0"/>
        </w:sectPr>
      </w:pPr>
    </w:p>
    <w:p>
      <w:pPr>
        <w:spacing w:after="0" w:line="17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2">
            <w:col w:w="2880" w:space="720"/>
            <w:col w:w="5419"/>
          </w:cols>
          <w:pgMar w:left="1440" w:top="630" w:right="1440" w:bottom="1440" w:gutter="0" w:footer="0" w:header="0"/>
          <w:type w:val="continuous"/>
        </w:sectPr>
      </w:pPr>
    </w:p>
    <w:p>
      <w:pPr>
        <w:spacing w:after="0" w:line="3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4"/>
          <w:szCs w:val="24"/>
          <w:color w:val="auto"/>
        </w:rPr>
      </w:pPr>
    </w:p>
    <w:p>
      <w:pPr>
        <w:sectPr>
          <w:pgSz w:w="11900" w:h="16838" w:orient="portrait"/>
          <w:cols w:equalWidth="0" w:num="2">
            <w:col w:w="3440" w:space="160"/>
            <w:col w:w="5419"/>
          </w:cols>
          <w:pgMar w:left="1440" w:top="630"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30" w:right="1440" w:bottom="1440" w:gutter="0" w:footer="0" w:header="0"/>
          <w:type w:val="continuous"/>
        </w:sectPr>
      </w:pPr>
    </w:p>
    <w:p>
      <w:pPr>
        <w:spacing w:after="0" w:line="250" w:lineRule="exact"/>
        <w:rPr>
          <w:sz w:val="24"/>
          <w:szCs w:val="24"/>
          <w:color w:val="auto"/>
        </w:rPr>
      </w:pPr>
    </w:p>
    <w:p>
      <w:pPr>
        <w:ind w:left="860" w:hanging="286"/>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16" w:lineRule="exact"/>
        <w:rPr>
          <w:rFonts w:ascii="MS PGothic" w:cs="MS PGothic" w:eastAsia="MS PGothic" w:hAnsi="MS PGothic"/>
          <w:sz w:val="17"/>
          <w:szCs w:val="17"/>
          <w:color w:val="auto"/>
        </w:rPr>
      </w:pPr>
    </w:p>
    <w:p>
      <w:pPr>
        <w:ind w:left="860" w:hanging="286"/>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21" w:lineRule="exact"/>
        <w:rPr>
          <w:sz w:val="24"/>
          <w:szCs w:val="24"/>
          <w:color w:val="auto"/>
        </w:rPr>
      </w:pPr>
    </w:p>
    <w:p>
      <w:pPr>
        <w:ind w:left="860" w:hanging="286"/>
        <w:spacing w:after="0"/>
        <w:tabs>
          <w:tab w:leader="none" w:pos="8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19" w:lineRule="exact"/>
        <w:rPr>
          <w:sz w:val="24"/>
          <w:szCs w:val="24"/>
          <w:color w:val="auto"/>
        </w:rPr>
      </w:pPr>
    </w:p>
    <w:p>
      <w:pPr>
        <w:ind w:left="860" w:hanging="286"/>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18" w:lineRule="exact"/>
        <w:rPr>
          <w:rFonts w:ascii="MS PGothic" w:cs="MS PGothic" w:eastAsia="MS PGothic" w:hAnsi="MS PGothic"/>
          <w:sz w:val="17"/>
          <w:szCs w:val="17"/>
          <w:color w:val="auto"/>
        </w:rPr>
      </w:pPr>
    </w:p>
    <w:p>
      <w:pPr>
        <w:ind w:left="860" w:hanging="286"/>
        <w:spacing w:after="0"/>
        <w:tabs>
          <w:tab w:leader="none" w:pos="86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CID HoldCo, Inc.</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0" w:lineRule="exact"/>
        <w:rPr>
          <w:sz w:val="24"/>
          <w:szCs w:val="24"/>
          <w:color w:val="auto"/>
        </w:rPr>
      </w:pPr>
    </w:p>
    <w:p>
      <w:pPr>
        <w:spacing w:after="0" w:line="216"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_____________________________________________________________________________________________________________________________</w:t>
      </w:r>
    </w:p>
    <w:p>
      <w:pPr>
        <w:spacing w:after="0" w:line="20"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328" w:lineRule="exact"/>
        <w:rPr>
          <w:sz w:val="24"/>
          <w:szCs w:val="24"/>
          <w:color w:val="auto"/>
        </w:rPr>
      </w:pPr>
    </w:p>
    <w:p>
      <w:pPr>
        <w:ind w:left="860" w:hanging="286"/>
        <w:spacing w:after="0"/>
        <w:tabs>
          <w:tab w:leader="none" w:pos="8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7" w:lineRule="exact"/>
        <w:rPr>
          <w:sz w:val="24"/>
          <w:szCs w:val="24"/>
          <w:color w:val="auto"/>
        </w:rPr>
      </w:pPr>
    </w:p>
    <w:p>
      <w:pPr>
        <w:ind w:left="860" w:hanging="286"/>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860" w:hanging="286"/>
        <w:spacing w:after="0"/>
        <w:tabs>
          <w:tab w:leader="none" w:pos="8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April 17, 2026</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Dear Stockholders of CID Holdco, Inc.:</w:t>
      </w:r>
    </w:p>
    <w:p>
      <w:pPr>
        <w:spacing w:after="0" w:line="10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6"/>
          <w:szCs w:val="16"/>
          <w:color w:val="auto"/>
        </w:rPr>
        <w:t>You are cordially invited to attend the Annual Meeting of Stockholders (“</w:t>
      </w:r>
      <w:r>
        <w:rPr>
          <w:rFonts w:ascii="Times New Roman" w:cs="Times New Roman" w:eastAsia="Times New Roman" w:hAnsi="Times New Roman"/>
          <w:sz w:val="16"/>
          <w:szCs w:val="16"/>
          <w:b w:val="1"/>
          <w:bCs w:val="1"/>
          <w:i w:val="1"/>
          <w:iCs w:val="1"/>
          <w:color w:val="auto"/>
        </w:rPr>
        <w:t>Annual Meeting</w:t>
      </w:r>
      <w:r>
        <w:rPr>
          <w:rFonts w:ascii="Times New Roman" w:cs="Times New Roman" w:eastAsia="Times New Roman" w:hAnsi="Times New Roman"/>
          <w:sz w:val="16"/>
          <w:szCs w:val="16"/>
          <w:color w:val="auto"/>
        </w:rPr>
        <w:t>”) of CID HoldCo,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to be held on May 12, 2026, at 11:00 a.m. Pacific Time. The Annual Meeting will be a virtual meeting of stockholders, which will be conducted via a live video webcast. You will be able to attend the Annual Meeting, submit your questions and vote online during the Annual Meeting by visiting </w:t>
      </w:r>
      <w:r>
        <w:rPr>
          <w:rFonts w:ascii="Times New Roman" w:cs="Times New Roman" w:eastAsia="Times New Roman" w:hAnsi="Times New Roman"/>
          <w:sz w:val="16"/>
          <w:szCs w:val="16"/>
          <w:i w:val="1"/>
          <w:iCs w:val="1"/>
          <w:color w:val="auto"/>
        </w:rPr>
        <w:t>https://www.cstproxy.com/cidholdco/2026</w:t>
      </w:r>
      <w:r>
        <w:rPr>
          <w:rFonts w:ascii="Times New Roman" w:cs="Times New Roman" w:eastAsia="Times New Roman" w:hAnsi="Times New Roman"/>
          <w:sz w:val="16"/>
          <w:szCs w:val="16"/>
          <w:color w:val="auto"/>
        </w:rPr>
        <w:t>.</w:t>
      </w:r>
    </w:p>
    <w:p>
      <w:pPr>
        <w:spacing w:after="0" w:line="63" w:lineRule="exact"/>
        <w:rPr>
          <w:sz w:val="20"/>
          <w:szCs w:val="20"/>
          <w:color w:val="auto"/>
        </w:rPr>
      </w:pPr>
    </w:p>
    <w:p>
      <w:pPr>
        <w:jc w:val="both"/>
        <w:ind w:left="580" w:right="599" w:firstLine="419"/>
        <w:spacing w:after="0" w:line="285" w:lineRule="auto"/>
        <w:rPr>
          <w:sz w:val="20"/>
          <w:szCs w:val="20"/>
          <w:color w:val="auto"/>
        </w:rPr>
      </w:pPr>
      <w:r>
        <w:rPr>
          <w:rFonts w:ascii="Times New Roman" w:cs="Times New Roman" w:eastAsia="Times New Roman" w:hAnsi="Times New Roman"/>
          <w:sz w:val="16"/>
          <w:szCs w:val="16"/>
          <w:color w:val="auto"/>
        </w:rPr>
        <w:t>Attached to this letter are a Notice of Annual Meeting of Stockholders and Proxy Statement, which describe the business to be conducted at the Annual Meeting.</w:t>
      </w:r>
    </w:p>
    <w:p>
      <w:pPr>
        <w:spacing w:after="0" w:line="57" w:lineRule="exact"/>
        <w:rPr>
          <w:sz w:val="20"/>
          <w:szCs w:val="20"/>
          <w:color w:val="auto"/>
        </w:rPr>
      </w:pPr>
    </w:p>
    <w:p>
      <w:pPr>
        <w:jc w:val="both"/>
        <w:ind w:left="580" w:right="599" w:firstLine="419"/>
        <w:spacing w:after="0" w:line="290" w:lineRule="auto"/>
        <w:rPr>
          <w:sz w:val="20"/>
          <w:szCs w:val="20"/>
          <w:color w:val="auto"/>
        </w:rPr>
      </w:pPr>
      <w:r>
        <w:rPr>
          <w:rFonts w:ascii="Times New Roman" w:cs="Times New Roman" w:eastAsia="Times New Roman" w:hAnsi="Times New Roman"/>
          <w:sz w:val="16"/>
          <w:szCs w:val="16"/>
          <w:color w:val="auto"/>
        </w:rPr>
        <w:t>The Board of Directors of the Company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urges you to read the accompanying Proxy Statement and you will be asked to consider the following proposals:</w:t>
      </w:r>
    </w:p>
    <w:p>
      <w:pPr>
        <w:spacing w:after="0" w:line="57" w:lineRule="exact"/>
        <w:rPr>
          <w:sz w:val="20"/>
          <w:szCs w:val="20"/>
          <w:color w:val="auto"/>
        </w:rPr>
      </w:pPr>
    </w:p>
    <w:p>
      <w:pPr>
        <w:ind w:left="1420" w:right="599" w:hanging="426"/>
        <w:spacing w:after="0" w:line="27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elect one Class I director nominee, Phyllis Newhouse, to serve until her term expires or until her successor is duly elected and qualified, as described herein;</w:t>
      </w:r>
    </w:p>
    <w:p>
      <w:pPr>
        <w:spacing w:after="0" w:line="70"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ratify the appointment of Carr, Riggs &amp; Ingram, LLC as our independent registered public accounting firm for the fiscal year ending December 31, 2026;</w:t>
      </w:r>
    </w:p>
    <w:p>
      <w:pPr>
        <w:spacing w:after="0" w:line="83" w:lineRule="exact"/>
        <w:rPr>
          <w:rFonts w:ascii="Times New Roman" w:cs="Times New Roman" w:eastAsia="Times New Roman" w:hAnsi="Times New Roman"/>
          <w:sz w:val="17"/>
          <w:szCs w:val="17"/>
          <w:color w:val="auto"/>
        </w:rPr>
      </w:pPr>
    </w:p>
    <w:p>
      <w:pPr>
        <w:jc w:val="both"/>
        <w:ind w:left="1420" w:right="579" w:hanging="426"/>
        <w:spacing w:after="0" w:line="258"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approve an amendment to our Amended and Restated Certificate of Incorporation to authorize the Board to effect one or more reverse stock splits of our common stock, par value $0.0001 per share (the “</w:t>
      </w:r>
      <w:r>
        <w:rPr>
          <w:rFonts w:ascii="Times New Roman" w:cs="Times New Roman" w:eastAsia="Times New Roman" w:hAnsi="Times New Roman"/>
          <w:sz w:val="16"/>
          <w:szCs w:val="16"/>
          <w:b w:val="1"/>
          <w:bCs w:val="1"/>
          <w:i w:val="1"/>
          <w:iCs w:val="1"/>
          <w:color w:val="auto"/>
        </w:rPr>
        <w:t>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by a ratio of not less than one-for-ten (1:10) and not more than one-for-twenty-five (1:25)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(the “</w:t>
      </w:r>
      <w:r>
        <w:rPr>
          <w:rFonts w:ascii="Times New Roman" w:cs="Times New Roman" w:eastAsia="Times New Roman" w:hAnsi="Times New Roman"/>
          <w:sz w:val="16"/>
          <w:szCs w:val="16"/>
          <w:b w:val="1"/>
          <w:bCs w:val="1"/>
          <w:i w:val="1"/>
          <w:iCs w:val="1"/>
          <w:color w:val="auto"/>
        </w:rPr>
        <w:t>Reverse Stock Split</w:t>
      </w:r>
      <w:r>
        <w:rPr>
          <w:rFonts w:ascii="Times New Roman" w:cs="Times New Roman" w:eastAsia="Times New Roman" w:hAnsi="Times New Roman"/>
          <w:sz w:val="16"/>
          <w:szCs w:val="16"/>
          <w:color w:val="auto"/>
        </w:rPr>
        <w:t>”), with the exact ratio to be set within this range by the Board in its sole discretion, and with the number of Reverse Stock Splits, if any, to be determined by the Board in its sole discretion;</w:t>
      </w:r>
    </w:p>
    <w:p>
      <w:pPr>
        <w:spacing w:after="0" w:line="84" w:lineRule="exact"/>
        <w:rPr>
          <w:rFonts w:ascii="Times New Roman" w:cs="Times New Roman" w:eastAsia="Times New Roman" w:hAnsi="Times New Roman"/>
          <w:sz w:val="17"/>
          <w:szCs w:val="17"/>
          <w:color w:val="auto"/>
        </w:rPr>
      </w:pPr>
    </w:p>
    <w:p>
      <w:pPr>
        <w:jc w:val="both"/>
        <w:ind w:left="1420" w:right="599" w:hanging="426"/>
        <w:spacing w:after="0" w:line="262"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approve, for purposes of complying with Nasdaq Listing Rules 5635(b) and 5635(d), the issuance of shares of Common Stock and warrants to purchase shares of Common Stock in connection with the following potential financing transactions:</w:t>
      </w:r>
    </w:p>
    <w:p>
      <w:pPr>
        <w:spacing w:after="0" w:line="79" w:lineRule="exact"/>
        <w:rPr>
          <w:rFonts w:ascii="Times New Roman" w:cs="Times New Roman" w:eastAsia="Times New Roman" w:hAnsi="Times New Roman"/>
          <w:sz w:val="17"/>
          <w:szCs w:val="17"/>
          <w:color w:val="auto"/>
        </w:rPr>
      </w:pPr>
    </w:p>
    <w:p>
      <w:pPr>
        <w:jc w:val="both"/>
        <w:ind w:left="1840" w:right="579" w:hanging="427"/>
        <w:spacing w:after="0" w:line="258" w:lineRule="auto"/>
        <w:tabs>
          <w:tab w:leader="none" w:pos="183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Proposal A: Financing documents between the Company and one or more potential financing sources (“</w:t>
      </w:r>
      <w:r>
        <w:rPr>
          <w:rFonts w:ascii="Times New Roman" w:cs="Times New Roman" w:eastAsia="Times New Roman" w:hAnsi="Times New Roman"/>
          <w:sz w:val="16"/>
          <w:szCs w:val="16"/>
          <w:b w:val="1"/>
          <w:bCs w:val="1"/>
          <w:i w:val="1"/>
          <w:iCs w:val="1"/>
          <w:color w:val="auto"/>
        </w:rPr>
        <w:t>Financing Source A</w:t>
      </w:r>
      <w:r>
        <w:rPr>
          <w:rFonts w:ascii="Times New Roman" w:cs="Times New Roman" w:eastAsia="Times New Roman" w:hAnsi="Times New Roman"/>
          <w:sz w:val="16"/>
          <w:szCs w:val="16"/>
          <w:color w:val="auto"/>
        </w:rPr>
        <w:t>”), including a common stock purchase agreement establishing an equity line of credit, a note purchase agreement and related senior secured convertible promissory note, and a common stock purchase warrant, in order to, among other things, make scheduled monthly payments under that certain Loan Agreement, dated December 4, 2025, between the Company and J.J. Astor &amp; Co. (the “</w:t>
      </w:r>
      <w:r>
        <w:rPr>
          <w:rFonts w:ascii="Times New Roman" w:cs="Times New Roman" w:eastAsia="Times New Roman" w:hAnsi="Times New Roman"/>
          <w:sz w:val="16"/>
          <w:szCs w:val="16"/>
          <w:b w:val="1"/>
          <w:bCs w:val="1"/>
          <w:i w:val="1"/>
          <w:iCs w:val="1"/>
          <w:color w:val="auto"/>
        </w:rPr>
        <w:t>J.J. Astor Loan</w:t>
      </w:r>
      <w:r>
        <w:rPr>
          <w:rFonts w:ascii="Times New Roman" w:cs="Times New Roman" w:eastAsia="Times New Roman" w:hAnsi="Times New Roman"/>
          <w:sz w:val="16"/>
          <w:szCs w:val="16"/>
          <w:color w:val="auto"/>
        </w:rPr>
        <w:t>”) and terminate that certain Share Purchase Agreement (the “</w:t>
      </w:r>
      <w:r>
        <w:rPr>
          <w:rFonts w:ascii="Times New Roman" w:cs="Times New Roman" w:eastAsia="Times New Roman" w:hAnsi="Times New Roman"/>
          <w:sz w:val="16"/>
          <w:szCs w:val="16"/>
          <w:b w:val="1"/>
          <w:bCs w:val="1"/>
          <w:i w:val="1"/>
          <w:iCs w:val="1"/>
          <w:color w:val="auto"/>
        </w:rPr>
        <w:t>Original ELOC</w:t>
      </w:r>
      <w:r>
        <w:rPr>
          <w:rFonts w:ascii="Times New Roman" w:cs="Times New Roman" w:eastAsia="Times New Roman" w:hAnsi="Times New Roman"/>
          <w:sz w:val="16"/>
          <w:szCs w:val="16"/>
          <w:color w:val="auto"/>
        </w:rPr>
        <w:t>”) with New Circle Principal Investments LLC, a Delaware limited liability company (“</w:t>
      </w:r>
      <w:r>
        <w:rPr>
          <w:rFonts w:ascii="Times New Roman" w:cs="Times New Roman" w:eastAsia="Times New Roman" w:hAnsi="Times New Roman"/>
          <w:sz w:val="16"/>
          <w:szCs w:val="16"/>
          <w:b w:val="1"/>
          <w:bCs w:val="1"/>
          <w:i w:val="1"/>
          <w:iCs w:val="1"/>
          <w:color w:val="auto"/>
        </w:rPr>
        <w:t>New Circle</w:t>
      </w:r>
      <w:r>
        <w:rPr>
          <w:rFonts w:ascii="Times New Roman" w:cs="Times New Roman" w:eastAsia="Times New Roman" w:hAnsi="Times New Roman"/>
          <w:sz w:val="16"/>
          <w:szCs w:val="16"/>
          <w:color w:val="auto"/>
        </w:rPr>
        <w:t>”), in an amount that may exceed 20% of the Company’s Common Stock currently outstanding;</w:t>
      </w:r>
    </w:p>
    <w:p>
      <w:pPr>
        <w:spacing w:after="0" w:line="95" w:lineRule="exact"/>
        <w:rPr>
          <w:rFonts w:ascii="Times New Roman" w:cs="Times New Roman" w:eastAsia="Times New Roman" w:hAnsi="Times New Roman"/>
          <w:sz w:val="17"/>
          <w:szCs w:val="17"/>
          <w:color w:val="auto"/>
        </w:rPr>
      </w:pPr>
    </w:p>
    <w:p>
      <w:pPr>
        <w:jc w:val="both"/>
        <w:ind w:left="1840" w:right="579" w:hanging="427"/>
        <w:spacing w:after="0" w:line="259" w:lineRule="auto"/>
        <w:tabs>
          <w:tab w:leader="none" w:pos="183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Proposal B: Financing documents between the Company and one or more financing sources (“</w:t>
      </w:r>
      <w:r>
        <w:rPr>
          <w:rFonts w:ascii="Times New Roman" w:cs="Times New Roman" w:eastAsia="Times New Roman" w:hAnsi="Times New Roman"/>
          <w:sz w:val="16"/>
          <w:szCs w:val="16"/>
          <w:b w:val="1"/>
          <w:bCs w:val="1"/>
          <w:i w:val="1"/>
          <w:iCs w:val="1"/>
          <w:color w:val="auto"/>
        </w:rPr>
        <w:t>Financing Source B</w:t>
      </w:r>
      <w:r>
        <w:rPr>
          <w:rFonts w:ascii="Times New Roman" w:cs="Times New Roman" w:eastAsia="Times New Roman" w:hAnsi="Times New Roman"/>
          <w:sz w:val="16"/>
          <w:szCs w:val="16"/>
          <w:color w:val="auto"/>
        </w:rPr>
        <w:t>”), including a common stock purchase agreement establishing an equity line of credit, a preferred stock purchase agreement, and a common stock purchase warrant, in order to, among other things, entirely pay off the J.J. Astor Loan and terminate the Original ELOC, in an amount that may exceed 20% of the Company’s Common Stock currently outstanding.</w:t>
      </w:r>
    </w:p>
    <w:p>
      <w:pPr>
        <w:spacing w:after="0" w:line="82"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approve, for purposes of complying with Nasdaq Listing Rule 5635(b) and 5635(d), solely if the Company defaults on the J.J. Astor Loan, the issuance of shares of Common Stock upon conversion of the remaining balance of the senior convertible note issued by the Company pursuant to the terms of the J.J. Astor Loan, without giving effect to the exchange cap in such convertible note;</w:t>
      </w:r>
    </w:p>
    <w:p>
      <w:pPr>
        <w:spacing w:after="0" w:line="80"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approve, for purposes of complying with Nasdaq Listing Rule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and</w:t>
      </w:r>
    </w:p>
    <w:p>
      <w:pPr>
        <w:spacing w:after="0" w:line="94"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approve an amendment to the Company’s Equity Incentive Plan to increase the number of shares of Common Stock available for issuance thereunder to 19,959,853 shares.</w:t>
      </w:r>
    </w:p>
    <w:p>
      <w:pPr>
        <w:spacing w:after="0" w:line="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6"/>
          <w:szCs w:val="16"/>
          <w:color w:val="auto"/>
        </w:rPr>
        <w:t>Your vote is important to us. Whether or not you plan to virtually attend the Annual Meeting, we encourage you to vote your shares. Accordingly, we request that as soon as possible, you vote via the Internet or, if you have received printed proxy materials, you vote by telephone or by mailing your completed proxy card or voting instruction form.</w:t>
      </w:r>
    </w:p>
    <w:p>
      <w:pPr>
        <w:spacing w:after="0" w:line="58" w:lineRule="exact"/>
        <w:rPr>
          <w:sz w:val="20"/>
          <w:szCs w:val="20"/>
          <w:color w:val="auto"/>
        </w:rPr>
      </w:pPr>
    </w:p>
    <w:p>
      <w:pPr>
        <w:jc w:val="both"/>
        <w:ind w:left="580" w:right="579" w:firstLine="419"/>
        <w:spacing w:after="0" w:line="287" w:lineRule="auto"/>
        <w:rPr>
          <w:sz w:val="20"/>
          <w:szCs w:val="20"/>
          <w:color w:val="auto"/>
        </w:rPr>
      </w:pPr>
      <w:r>
        <w:rPr>
          <w:rFonts w:ascii="Times New Roman" w:cs="Times New Roman" w:eastAsia="Times New Roman" w:hAnsi="Times New Roman"/>
          <w:sz w:val="16"/>
          <w:szCs w:val="16"/>
          <w:b w:val="1"/>
          <w:bCs w:val="1"/>
          <w:color w:val="auto"/>
        </w:rPr>
        <w:t>If you have any questions, or need any assistance in voting your shares, please contact a Company representative at (262) 357-2918 or by email at ir@daic.ai.</w:t>
      </w:r>
    </w:p>
    <w:p>
      <w:pPr>
        <w:spacing w:after="0" w:line="58" w:lineRule="exact"/>
        <w:rPr>
          <w:sz w:val="20"/>
          <w:szCs w:val="20"/>
          <w:color w:val="auto"/>
        </w:rPr>
      </w:pPr>
    </w:p>
    <w:p>
      <w:pPr>
        <w:jc w:val="both"/>
        <w:ind w:left="580" w:right="599" w:firstLine="419"/>
        <w:spacing w:after="0" w:line="287" w:lineRule="auto"/>
        <w:rPr>
          <w:sz w:val="20"/>
          <w:szCs w:val="20"/>
          <w:color w:val="auto"/>
        </w:rPr>
      </w:pPr>
      <w:r>
        <w:rPr>
          <w:rFonts w:ascii="Times New Roman" w:cs="Times New Roman" w:eastAsia="Times New Roman" w:hAnsi="Times New Roman"/>
          <w:sz w:val="16"/>
          <w:szCs w:val="16"/>
          <w:b w:val="1"/>
          <w:bCs w:val="1"/>
          <w:color w:val="auto"/>
        </w:rPr>
        <w:t>WE ARE GRATEFUL FOR YOUR CONTINUED SUPPORT AND WILL WORK EVERYDAY TO TAKE FULL ADVANTAGE OF ALL OPPORTUNITIES TO ENHANCE LONG-TERM VALUE.</w:t>
      </w:r>
    </w:p>
    <w:p>
      <w:pPr>
        <w:spacing w:after="0" w:line="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Thank you for your interest and investment in CID HoldCo, Inc.</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Sincerely,</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Edmund Nabrotzky</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316230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12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5"/>
          <w:szCs w:val="15"/>
          <w:color w:val="auto"/>
        </w:rPr>
        <w:t>April 17, 2026</w:t>
      </w:r>
    </w:p>
    <w:p>
      <w:pPr>
        <w:spacing w:after="0" w:line="12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6"/>
          <w:szCs w:val="16"/>
          <w:color w:val="auto"/>
        </w:rPr>
        <w:t>The Annual Meeting of Stockholders (the “</w:t>
      </w:r>
      <w:r>
        <w:rPr>
          <w:rFonts w:ascii="Times New Roman" w:cs="Times New Roman" w:eastAsia="Times New Roman" w:hAnsi="Times New Roman"/>
          <w:sz w:val="16"/>
          <w:szCs w:val="16"/>
          <w:b w:val="1"/>
          <w:bCs w:val="1"/>
          <w:i w:val="1"/>
          <w:iCs w:val="1"/>
          <w:color w:val="auto"/>
        </w:rPr>
        <w:t>Annual Meeting</w:t>
      </w:r>
      <w:r>
        <w:rPr>
          <w:rFonts w:ascii="Times New Roman" w:cs="Times New Roman" w:eastAsia="Times New Roman" w:hAnsi="Times New Roman"/>
          <w:sz w:val="16"/>
          <w:szCs w:val="16"/>
          <w:color w:val="auto"/>
        </w:rPr>
        <w:t>”) of CID HoldCo, Inc. (“</w:t>
      </w:r>
      <w:r>
        <w:rPr>
          <w:rFonts w:ascii="Times New Roman" w:cs="Times New Roman" w:eastAsia="Times New Roman" w:hAnsi="Times New Roman"/>
          <w:sz w:val="16"/>
          <w:szCs w:val="16"/>
          <w:b w:val="1"/>
          <w:bCs w:val="1"/>
          <w:i w:val="1"/>
          <w:iCs w:val="1"/>
          <w:color w:val="auto"/>
        </w:rPr>
        <w:t>CID</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will be held on May 12, 2026, at 11:00 a.m. Pacific Time. The Annual Meeting will be a virtual meeting of stockholders, which will be conducted via a live video webcast. You will be able to attend the Annual Meeting, submit your questions and vote online during the Annual Meeting by visiting </w:t>
      </w:r>
      <w:r>
        <w:rPr>
          <w:rFonts w:ascii="Times New Roman" w:cs="Times New Roman" w:eastAsia="Times New Roman" w:hAnsi="Times New Roman"/>
          <w:sz w:val="16"/>
          <w:szCs w:val="16"/>
          <w:i w:val="1"/>
          <w:iCs w:val="1"/>
          <w:color w:val="auto"/>
        </w:rPr>
        <w:t>https://www.cstproxy.com/cidholdco/2026</w:t>
      </w:r>
      <w:r>
        <w:rPr>
          <w:rFonts w:ascii="Times New Roman" w:cs="Times New Roman" w:eastAsia="Times New Roman" w:hAnsi="Times New Roman"/>
          <w:sz w:val="16"/>
          <w:szCs w:val="16"/>
          <w:color w:val="auto"/>
        </w:rPr>
        <w:t>.</w:t>
      </w:r>
    </w:p>
    <w:p>
      <w:pPr>
        <w:spacing w:after="0" w:line="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Annual Meeting will take place for the following purposes:</w:t>
      </w:r>
    </w:p>
    <w:p>
      <w:pPr>
        <w:spacing w:after="0" w:line="117" w:lineRule="exact"/>
        <w:rPr>
          <w:sz w:val="20"/>
          <w:szCs w:val="20"/>
          <w:color w:val="auto"/>
        </w:rPr>
      </w:pPr>
    </w:p>
    <w:p>
      <w:pPr>
        <w:ind w:left="1420" w:right="579" w:hanging="426"/>
        <w:spacing w:after="0" w:line="285"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one Class I director nominee, Phyllis Newhouse, to serve until her term expires or until her successor is duly elected and qualified, as described herein;</w:t>
      </w:r>
    </w:p>
    <w:p>
      <w:pPr>
        <w:spacing w:after="0" w:line="60" w:lineRule="exact"/>
        <w:rPr>
          <w:rFonts w:ascii="Times New Roman" w:cs="Times New Roman" w:eastAsia="Times New Roman" w:hAnsi="Times New Roman"/>
          <w:sz w:val="16"/>
          <w:szCs w:val="16"/>
          <w:color w:val="auto"/>
        </w:rPr>
      </w:pPr>
    </w:p>
    <w:p>
      <w:pPr>
        <w:ind w:left="1420" w:right="579" w:hanging="426"/>
        <w:spacing w:after="0" w:line="285"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Carr, Riggs &amp; Ingram, LLC as our independent registered public accounting firm for the fiscal year ending December 31, 2026;</w:t>
      </w:r>
    </w:p>
    <w:p>
      <w:pPr>
        <w:spacing w:after="0" w:line="60" w:lineRule="exact"/>
        <w:rPr>
          <w:rFonts w:ascii="Times New Roman" w:cs="Times New Roman" w:eastAsia="Times New Roman" w:hAnsi="Times New Roman"/>
          <w:sz w:val="16"/>
          <w:szCs w:val="16"/>
          <w:color w:val="auto"/>
        </w:rPr>
      </w:pPr>
    </w:p>
    <w:p>
      <w:pPr>
        <w:jc w:val="both"/>
        <w:ind w:left="1420" w:right="579" w:hanging="426"/>
        <w:spacing w:after="0" w:line="262"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 amendment to our Amended and Restated Certificate of Incorporation to authorize the Board to effect one or more reverse stock splits of our common stock, par value $0.0001 per share (the “</w:t>
      </w:r>
      <w:r>
        <w:rPr>
          <w:rFonts w:ascii="Times New Roman" w:cs="Times New Roman" w:eastAsia="Times New Roman" w:hAnsi="Times New Roman"/>
          <w:sz w:val="16"/>
          <w:szCs w:val="16"/>
          <w:b w:val="1"/>
          <w:bCs w:val="1"/>
          <w:i w:val="1"/>
          <w:iCs w:val="1"/>
          <w:color w:val="auto"/>
        </w:rPr>
        <w:t>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Stock</w:t>
      </w:r>
      <w:r>
        <w:rPr>
          <w:rFonts w:ascii="Times New Roman" w:cs="Times New Roman" w:eastAsia="Times New Roman" w:hAnsi="Times New Roman"/>
          <w:sz w:val="16"/>
          <w:szCs w:val="16"/>
          <w:color w:val="auto"/>
        </w:rPr>
        <w:t>”) by a ratio of not less than one-for-ten (1:10) and not more than one-for-twenty-five (1:25)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(the “</w:t>
      </w:r>
      <w:r>
        <w:rPr>
          <w:rFonts w:ascii="Times New Roman" w:cs="Times New Roman" w:eastAsia="Times New Roman" w:hAnsi="Times New Roman"/>
          <w:sz w:val="16"/>
          <w:szCs w:val="16"/>
          <w:b w:val="1"/>
          <w:bCs w:val="1"/>
          <w:i w:val="1"/>
          <w:iCs w:val="1"/>
          <w:color w:val="auto"/>
        </w:rPr>
        <w:t>Reverse Stock Split</w:t>
      </w:r>
      <w:r>
        <w:rPr>
          <w:rFonts w:ascii="Times New Roman" w:cs="Times New Roman" w:eastAsia="Times New Roman" w:hAnsi="Times New Roman"/>
          <w:sz w:val="16"/>
          <w:szCs w:val="16"/>
          <w:color w:val="auto"/>
        </w:rPr>
        <w:t>”), with the exact ratio to be set within this range by the Board in its sole discretion, and with the number of Reverse Stock Splits, if any, to be determined by the Board in its sole discretion;</w:t>
      </w:r>
    </w:p>
    <w:p>
      <w:pPr>
        <w:spacing w:after="0" w:line="78" w:lineRule="exact"/>
        <w:rPr>
          <w:rFonts w:ascii="Times New Roman" w:cs="Times New Roman" w:eastAsia="Times New Roman" w:hAnsi="Times New Roman"/>
          <w:sz w:val="16"/>
          <w:szCs w:val="16"/>
          <w:color w:val="auto"/>
        </w:rPr>
      </w:pPr>
    </w:p>
    <w:p>
      <w:pPr>
        <w:jc w:val="both"/>
        <w:ind w:left="1420" w:right="599" w:hanging="426"/>
        <w:spacing w:after="0" w:line="270"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for purposes of complying with Nasdaq Listing Rules 5635(b) and 5635(d), the issuance of shares of Common Stock and warrants to purchase shares of Common Stock in connection with the following potential financing transactions:</w:t>
      </w:r>
    </w:p>
    <w:p>
      <w:pPr>
        <w:spacing w:after="0" w:line="86" w:lineRule="exact"/>
        <w:rPr>
          <w:rFonts w:ascii="Times New Roman" w:cs="Times New Roman" w:eastAsia="Times New Roman" w:hAnsi="Times New Roman"/>
          <w:sz w:val="16"/>
          <w:szCs w:val="16"/>
          <w:color w:val="auto"/>
        </w:rPr>
      </w:pPr>
    </w:p>
    <w:p>
      <w:pPr>
        <w:jc w:val="both"/>
        <w:ind w:left="1840" w:right="579" w:hanging="427"/>
        <w:spacing w:after="0" w:line="258" w:lineRule="auto"/>
        <w:tabs>
          <w:tab w:leader="none" w:pos="183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Proposal A: Financing documents between the Company and one or more potential financing sources (“</w:t>
      </w:r>
      <w:r>
        <w:rPr>
          <w:rFonts w:ascii="Times New Roman" w:cs="Times New Roman" w:eastAsia="Times New Roman" w:hAnsi="Times New Roman"/>
          <w:sz w:val="16"/>
          <w:szCs w:val="16"/>
          <w:b w:val="1"/>
          <w:bCs w:val="1"/>
          <w:i w:val="1"/>
          <w:iCs w:val="1"/>
          <w:color w:val="auto"/>
        </w:rPr>
        <w:t>Financing Source A</w:t>
      </w:r>
      <w:r>
        <w:rPr>
          <w:rFonts w:ascii="Times New Roman" w:cs="Times New Roman" w:eastAsia="Times New Roman" w:hAnsi="Times New Roman"/>
          <w:sz w:val="16"/>
          <w:szCs w:val="16"/>
          <w:color w:val="auto"/>
        </w:rPr>
        <w:t>”), including a common stock purchase agreement establishing an equity line of credit, a note purchase agreement and related senior secured convertible promissory note, and a common stock purchase warrant, in order to, among other things, make scheduled monthly payments under that certain Loan Agreement, dated December 4, 2025, between the Company and J.J. Astor &amp; Co. (the “</w:t>
      </w:r>
      <w:r>
        <w:rPr>
          <w:rFonts w:ascii="Times New Roman" w:cs="Times New Roman" w:eastAsia="Times New Roman" w:hAnsi="Times New Roman"/>
          <w:sz w:val="16"/>
          <w:szCs w:val="16"/>
          <w:b w:val="1"/>
          <w:bCs w:val="1"/>
          <w:i w:val="1"/>
          <w:iCs w:val="1"/>
          <w:color w:val="auto"/>
        </w:rPr>
        <w:t>J.J. Astor Loan</w:t>
      </w:r>
      <w:r>
        <w:rPr>
          <w:rFonts w:ascii="Times New Roman" w:cs="Times New Roman" w:eastAsia="Times New Roman" w:hAnsi="Times New Roman"/>
          <w:sz w:val="16"/>
          <w:szCs w:val="16"/>
          <w:color w:val="auto"/>
        </w:rPr>
        <w:t>”) and terminate that certain Share Purchase Agreement (the “</w:t>
      </w:r>
      <w:r>
        <w:rPr>
          <w:rFonts w:ascii="Times New Roman" w:cs="Times New Roman" w:eastAsia="Times New Roman" w:hAnsi="Times New Roman"/>
          <w:sz w:val="16"/>
          <w:szCs w:val="16"/>
          <w:b w:val="1"/>
          <w:bCs w:val="1"/>
          <w:i w:val="1"/>
          <w:iCs w:val="1"/>
          <w:color w:val="auto"/>
        </w:rPr>
        <w:t>Original ELOC</w:t>
      </w:r>
      <w:r>
        <w:rPr>
          <w:rFonts w:ascii="Times New Roman" w:cs="Times New Roman" w:eastAsia="Times New Roman" w:hAnsi="Times New Roman"/>
          <w:sz w:val="16"/>
          <w:szCs w:val="16"/>
          <w:color w:val="auto"/>
        </w:rPr>
        <w:t>”) with New Circle Principal Investments LLC, a Delaware limited liability company (“</w:t>
      </w:r>
      <w:r>
        <w:rPr>
          <w:rFonts w:ascii="Times New Roman" w:cs="Times New Roman" w:eastAsia="Times New Roman" w:hAnsi="Times New Roman"/>
          <w:sz w:val="16"/>
          <w:szCs w:val="16"/>
          <w:b w:val="1"/>
          <w:bCs w:val="1"/>
          <w:i w:val="1"/>
          <w:iCs w:val="1"/>
          <w:color w:val="auto"/>
        </w:rPr>
        <w:t>New Circle</w:t>
      </w:r>
      <w:r>
        <w:rPr>
          <w:rFonts w:ascii="Times New Roman" w:cs="Times New Roman" w:eastAsia="Times New Roman" w:hAnsi="Times New Roman"/>
          <w:sz w:val="16"/>
          <w:szCs w:val="16"/>
          <w:color w:val="auto"/>
        </w:rPr>
        <w:t>”), in an amount that may exceed 20% of the Company’s Common Stock currently outstanding;</w:t>
      </w:r>
    </w:p>
    <w:p>
      <w:pPr>
        <w:spacing w:after="0" w:line="95" w:lineRule="exact"/>
        <w:rPr>
          <w:rFonts w:ascii="Times New Roman" w:cs="Times New Roman" w:eastAsia="Times New Roman" w:hAnsi="Times New Roman"/>
          <w:sz w:val="17"/>
          <w:szCs w:val="17"/>
          <w:color w:val="auto"/>
        </w:rPr>
      </w:pPr>
    </w:p>
    <w:p>
      <w:pPr>
        <w:jc w:val="both"/>
        <w:ind w:left="1840" w:right="579" w:hanging="427"/>
        <w:spacing w:after="0" w:line="259" w:lineRule="auto"/>
        <w:tabs>
          <w:tab w:leader="none" w:pos="183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Proposal B: Financing documents between the Company and one or more potential financing sources (“</w:t>
      </w:r>
      <w:r>
        <w:rPr>
          <w:rFonts w:ascii="Times New Roman" w:cs="Times New Roman" w:eastAsia="Times New Roman" w:hAnsi="Times New Roman"/>
          <w:sz w:val="16"/>
          <w:szCs w:val="16"/>
          <w:b w:val="1"/>
          <w:bCs w:val="1"/>
          <w:i w:val="1"/>
          <w:iCs w:val="1"/>
          <w:color w:val="auto"/>
        </w:rPr>
        <w:t>Financing Source B</w:t>
      </w:r>
      <w:r>
        <w:rPr>
          <w:rFonts w:ascii="Times New Roman" w:cs="Times New Roman" w:eastAsia="Times New Roman" w:hAnsi="Times New Roman"/>
          <w:sz w:val="16"/>
          <w:szCs w:val="16"/>
          <w:color w:val="auto"/>
        </w:rPr>
        <w:t>”), including a common stock purchase agreement establishing an equity line of credit, a preferred stock purchase agreement, and a common stock purchase warrant, in order to, among other things, entirely pay off the J.J. Astor Loan and terminate the Original ELOC, in an amount that may exceed 20% of the Company’s Common Stock currently outstanding.</w:t>
      </w:r>
    </w:p>
    <w:p>
      <w:pPr>
        <w:spacing w:after="0" w:line="82"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for purposes of complying with Nasdaq Listing Rule 5635(b) and 5635(d), solely if the Company defaults on the J.J. Astor Loan, the issuance of shares of Common Stock upon conversion of the remaining balance of the senior convertible note issued by the Company pursuant to the terms of the J.J. Astor Loan, without giving effect to the exchange cap in such convertible note;</w:t>
      </w:r>
    </w:p>
    <w:p>
      <w:pPr>
        <w:spacing w:after="0" w:line="78" w:lineRule="exact"/>
        <w:rPr>
          <w:rFonts w:ascii="Times New Roman" w:cs="Times New Roman" w:eastAsia="Times New Roman" w:hAnsi="Times New Roman"/>
          <w:sz w:val="16"/>
          <w:szCs w:val="16"/>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for purposes of complying with Nasdaq Listing Rule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and</w:t>
      </w:r>
    </w:p>
    <w:p>
      <w:pPr>
        <w:spacing w:after="0" w:line="78" w:lineRule="exact"/>
        <w:rPr>
          <w:rFonts w:ascii="Times New Roman" w:cs="Times New Roman" w:eastAsia="Times New Roman" w:hAnsi="Times New Roman"/>
          <w:sz w:val="16"/>
          <w:szCs w:val="16"/>
          <w:color w:val="auto"/>
        </w:rPr>
      </w:pPr>
    </w:p>
    <w:p>
      <w:pPr>
        <w:ind w:left="1420" w:right="599" w:hanging="426"/>
        <w:spacing w:after="0" w:line="285" w:lineRule="auto"/>
        <w:tabs>
          <w:tab w:leader="none" w:pos="139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 amendment to the Company’s Equity Incentive Plan to increase the number of shares of Common Stock available for issuance thereunder to 19,959,853 shares.</w:t>
      </w:r>
    </w:p>
    <w:p>
      <w:pPr>
        <w:spacing w:after="0" w:line="6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6"/>
          <w:szCs w:val="16"/>
          <w:color w:val="auto"/>
        </w:rPr>
        <w:t>These items of business are more fully described in the accompanying Proxy Statement. Only stockholders of record at the close of business on March 23, 2026, the record date for the Annual Meeting, are entitled to notice of and to vote at the Annual Meeting or any adjournments or postponements.</w:t>
      </w:r>
    </w:p>
    <w:p>
      <w:pPr>
        <w:spacing w:after="0" w:line="7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6"/>
          <w:szCs w:val="16"/>
          <w:color w:val="auto"/>
        </w:rPr>
        <w:t xml:space="preserve">We are using the “Full Set Delivery” method of providing proxy materials to our stockholders. As such, on or about April 21, 2026, we will mail to our stockholders of record our Proxy Statement and proxy card, as well as provide access to the proxy materials at </w:t>
      </w:r>
      <w:r>
        <w:rPr>
          <w:rFonts w:ascii="Times New Roman" w:cs="Times New Roman" w:eastAsia="Times New Roman" w:hAnsi="Times New Roman"/>
          <w:sz w:val="16"/>
          <w:szCs w:val="16"/>
          <w:i w:val="1"/>
          <w:iCs w:val="1"/>
          <w:color w:val="auto"/>
        </w:rPr>
        <w:t>https://www.cstproxy.com/cidholdco/2026</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5"/>
          <w:szCs w:val="15"/>
          <w:color w:val="auto"/>
        </w:rPr>
        <w:t>It is important that your shares be represented and voted at the Annual Meeting. Whether or not you plan to virtually attend the Annual Meeting, we encourage you to submit your proxy as soon as possible. For specific instructions, please refer to your Notice or to the question on page 6 of the accompanying Proxy Statement entitled “</w:t>
      </w:r>
      <w:r>
        <w:rPr>
          <w:rFonts w:ascii="Times New Roman" w:cs="Times New Roman" w:eastAsia="Times New Roman" w:hAnsi="Times New Roman"/>
          <w:sz w:val="15"/>
          <w:szCs w:val="15"/>
          <w:i w:val="1"/>
          <w:iCs w:val="1"/>
          <w:color w:val="auto"/>
        </w:rPr>
        <w:t>How do I vote?</w:t>
      </w:r>
      <w:r>
        <w:rPr>
          <w:rFonts w:ascii="Times New Roman" w:cs="Times New Roman" w:eastAsia="Times New Roman" w:hAnsi="Times New Roman"/>
          <w:sz w:val="15"/>
          <w:szCs w:val="15"/>
          <w:color w:val="auto"/>
        </w:rPr>
        <w:t>”</w:t>
      </w:r>
    </w:p>
    <w:p>
      <w:pPr>
        <w:spacing w:after="0" w:line="2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Edmund Nabrotzky</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307975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20" w:type="dxa"/>
            <w:vAlign w:val="bottom"/>
            <w:tcBorders>
              <w:top w:val="single" w:sz="8" w:color="CCEEFF"/>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8"/>
              </w:rPr>
              <w:t>PROXY STATEMENT</w:t>
            </w:r>
          </w:p>
        </w:tc>
        <w:tc>
          <w:tcPr>
            <w:tcW w:w="5420" w:type="dxa"/>
            <w:vAlign w:val="bottom"/>
            <w:tcBorders>
              <w:top w:val="single" w:sz="8" w:color="CCEEFF"/>
              <w:bottom w:val="single" w:sz="8" w:color="CCEEFF"/>
            </w:tcBorders>
            <w:gridSpan w:val="17"/>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BOARD OF DIRECTORS AND CORPORATE GOVERNANCE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1 ELECTION OF DIRECTORS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400" w:type="dxa"/>
            <w:vAlign w:val="bottom"/>
            <w:tcBorders>
              <w:bottom w:val="single" w:sz="8" w:color="0000EE"/>
            </w:tcBorders>
            <w:gridSpan w:val="1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PROPOSAL 2 RATIFICATION OF APPOINTMENT OF INDEPENDENT REGISTERED</w:t>
            </w:r>
          </w:p>
        </w:tc>
        <w:tc>
          <w:tcPr>
            <w:tcW w:w="6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PUBLIC ACCOUNTING FIRM</w:t>
            </w:r>
          </w:p>
        </w:tc>
        <w:tc>
          <w:tcPr>
            <w:tcW w:w="4600" w:type="dxa"/>
            <w:vAlign w:val="bottom"/>
            <w:tcBorders>
              <w:bottom w:val="single" w:sz="8" w:color="CCEEFF"/>
            </w:tcBorders>
            <w:gridSpan w:val="12"/>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AUDIT COMMITTEE REPORT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3 APPROVAL OF THE REVERSE SPLIT PROPOSAL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PROPOSAL 4 APPROVAL OF THE NASDAQ SERVICE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5 APPROVAL OF THE NASDAQ CONVERSION PROPOSAL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PROPOSAL 6 APPROVAL OF THE NASDAQ 20%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18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7 APPROVAL OF THE INCENTIVE PLAN AMENDMENT PROPOSAL</w:t>
            </w:r>
          </w:p>
        </w:tc>
        <w:tc>
          <w:tcPr>
            <w:tcW w:w="86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CERTAIN BENEFICIAL OWNERSHIP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COMPENSATION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TRANSACTIONS WITH RELATED PERSONS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DELINQUENT SECTION 16(A) REPORTS</w:t>
            </w:r>
          </w:p>
        </w:tc>
        <w:tc>
          <w:tcPr>
            <w:tcW w:w="3900" w:type="dxa"/>
            <w:vAlign w:val="bottom"/>
            <w:tcBorders>
              <w:bottom w:val="single" w:sz="8" w:color="CCEEFF"/>
            </w:tcBorders>
            <w:gridSpan w:val="11"/>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96"/>
        </w:trPr>
        <w:tc>
          <w:tcPr>
            <w:tcW w:w="706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2026 ANNUAL MEETING OF STOCKHOLDERS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AT 11:00 A.M. PACIFIC TIME ON MAY 12, 2026</w:t>
      </w:r>
    </w:p>
    <w:p>
      <w:pPr>
        <w:spacing w:after="0" w:line="12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CID’s 2026 Annual Meeting of Stockholders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will be held via a live audio webcast on May 12, 2026, at 11:00 a.m. Pacific Time. You are invited to attend the Annual Meeting to vote on the proposals described in this proxy statement (this “</w:t>
      </w:r>
      <w:r>
        <w:rPr>
          <w:rFonts w:ascii="Times New Roman" w:cs="Times New Roman" w:eastAsia="Times New Roman" w:hAnsi="Times New Roman"/>
          <w:sz w:val="17"/>
          <w:szCs w:val="17"/>
          <w:b w:val="1"/>
          <w:bCs w:val="1"/>
          <w:i w:val="1"/>
          <w:iCs w:val="1"/>
          <w:color w:val="auto"/>
        </w:rPr>
        <w:t>Proxy Statement</w:t>
      </w:r>
      <w:r>
        <w:rPr>
          <w:rFonts w:ascii="Times New Roman" w:cs="Times New Roman" w:eastAsia="Times New Roman" w:hAnsi="Times New Roman"/>
          <w:sz w:val="17"/>
          <w:szCs w:val="17"/>
          <w:color w:val="auto"/>
        </w:rPr>
        <w:t>”) if you are a stockholder as of the close of business on March 23, 2026, the record date for the Annual Meeting (the “</w:t>
      </w:r>
      <w:r>
        <w:rPr>
          <w:rFonts w:ascii="Times New Roman" w:cs="Times New Roman" w:eastAsia="Times New Roman" w:hAnsi="Times New Roman"/>
          <w:sz w:val="17"/>
          <w:szCs w:val="17"/>
          <w:b w:val="1"/>
          <w:bCs w:val="1"/>
          <w:i w:val="1"/>
          <w:iCs w:val="1"/>
          <w:color w:val="auto"/>
        </w:rPr>
        <w:t>Record Date</w:t>
      </w:r>
      <w:r>
        <w:rPr>
          <w:rFonts w:ascii="Times New Roman" w:cs="Times New Roman" w:eastAsia="Times New Roman" w:hAnsi="Times New Roman"/>
          <w:sz w:val="17"/>
          <w:szCs w:val="17"/>
          <w:color w:val="auto"/>
        </w:rPr>
        <w:t>”) or hold a valid proxy for the Annual Meeting. However, you do not need to attend the Annual Meeting to vote your shares. Instead, you may simply follow the instructions below to submit your proxy.</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proxy materials, including this Proxy Statement and our Annual Report on Form 10-K for the year ended December 31, 2025 (the “</w:t>
      </w:r>
      <w:r>
        <w:rPr>
          <w:rFonts w:ascii="Times New Roman" w:cs="Times New Roman" w:eastAsia="Times New Roman" w:hAnsi="Times New Roman"/>
          <w:sz w:val="17"/>
          <w:szCs w:val="17"/>
          <w:b w:val="1"/>
          <w:bCs w:val="1"/>
          <w:i w:val="1"/>
          <w:iCs w:val="1"/>
          <w:color w:val="auto"/>
        </w:rPr>
        <w:t>Annual Report</w:t>
      </w:r>
      <w:r>
        <w:rPr>
          <w:rFonts w:ascii="Times New Roman" w:cs="Times New Roman" w:eastAsia="Times New Roman" w:hAnsi="Times New Roman"/>
          <w:sz w:val="17"/>
          <w:szCs w:val="17"/>
          <w:color w:val="auto"/>
        </w:rPr>
        <w:t>,” and, together with this Proxy Statement, the “</w:t>
      </w:r>
      <w:r>
        <w:rPr>
          <w:rFonts w:ascii="Times New Roman" w:cs="Times New Roman" w:eastAsia="Times New Roman" w:hAnsi="Times New Roman"/>
          <w:sz w:val="17"/>
          <w:szCs w:val="17"/>
          <w:b w:val="1"/>
          <w:bCs w:val="1"/>
          <w:i w:val="1"/>
          <w:iCs w:val="1"/>
          <w:color w:val="auto"/>
        </w:rPr>
        <w:t>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Materials</w:t>
      </w:r>
      <w:r>
        <w:rPr>
          <w:rFonts w:ascii="Times New Roman" w:cs="Times New Roman" w:eastAsia="Times New Roman" w:hAnsi="Times New Roman"/>
          <w:sz w:val="17"/>
          <w:szCs w:val="17"/>
          <w:color w:val="auto"/>
        </w:rPr>
        <w:t>”), are being mailed and distributed to the stockholders on or about April 21, 2026.</w:t>
      </w:r>
    </w:p>
    <w:p>
      <w:pPr>
        <w:spacing w:after="0" w:line="94"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CID Holdco,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CID Holdco</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CID</w:t>
      </w:r>
      <w:r>
        <w:rPr>
          <w:rFonts w:ascii="Times New Roman" w:cs="Times New Roman" w:eastAsia="Times New Roman" w:hAnsi="Times New Roman"/>
          <w:sz w:val="17"/>
          <w:szCs w:val="17"/>
          <w:color w:val="auto"/>
        </w:rPr>
        <w:t>”), formerly known as SEE ID Inc., dba Dot AI (the “</w:t>
      </w:r>
      <w:r>
        <w:rPr>
          <w:rFonts w:ascii="Times New Roman" w:cs="Times New Roman" w:eastAsia="Times New Roman" w:hAnsi="Times New Roman"/>
          <w:sz w:val="17"/>
          <w:szCs w:val="17"/>
          <w:b w:val="1"/>
          <w:bCs w:val="1"/>
          <w:i w:val="1"/>
          <w:iCs w:val="1"/>
          <w:color w:val="auto"/>
        </w:rPr>
        <w:t>Legacy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SEE ID</w:t>
      </w:r>
      <w:r>
        <w:rPr>
          <w:rFonts w:ascii="Times New Roman" w:cs="Times New Roman" w:eastAsia="Times New Roman" w:hAnsi="Times New Roman"/>
          <w:sz w:val="17"/>
          <w:szCs w:val="17"/>
          <w:color w:val="auto"/>
        </w:rPr>
        <w:t>”),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9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w:t>
      </w:r>
      <w:r>
        <w:rPr>
          <w:rFonts w:ascii="Times New Roman" w:cs="Times New Roman" w:eastAsia="Times New Roman" w:hAnsi="Times New Roman"/>
          <w:sz w:val="17"/>
          <w:szCs w:val="17"/>
          <w:b w:val="1"/>
          <w:bCs w:val="1"/>
          <w:i w:val="1"/>
          <w:iCs w:val="1"/>
          <w:color w:val="auto"/>
        </w:rPr>
        <w:t>DFM</w:t>
      </w:r>
      <w:r>
        <w:rPr>
          <w:rFonts w:ascii="Times New Roman" w:cs="Times New Roman" w:eastAsia="Times New Roman" w:hAnsi="Times New Roman"/>
          <w:sz w:val="17"/>
          <w:szCs w:val="17"/>
          <w:color w:val="auto"/>
        </w:rPr>
        <w:t>”) capability is built around our CTO in Worcester, MA and our core software team is in Bangalore, India.</w:t>
      </w:r>
    </w:p>
    <w:p>
      <w:pPr>
        <w:spacing w:after="0" w:line="10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Throughout this Proxy Statement,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THESE PROXY MATERIALS AND VOTING</w:t>
      </w:r>
    </w:p>
    <w:p>
      <w:pPr>
        <w:spacing w:after="0" w:line="1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information provided below is for your convenience only and is merely a summary of the information contained in this Proxy Statement. You should read this entire Proxy Statement carefully before casting your vote. Information contained on, or that can be accessed through our website is not intended to be incorporated by reference into this Proxy Statement, and references to our website addressed in this Proxy Statement are inactive textual references only.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receiving these materials?</w:t>
      </w:r>
    </w:p>
    <w:p>
      <w:pPr>
        <w:spacing w:after="0" w:line="11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is soliciting your proxy to vote at the Annual Meeting, including any adjournments or postponements thereof. Only stockholders of record at the close of business on the Record Date will be entitled to vote at the Annual Meeting. On the Record Date, there were 29,293,322 shares of common stock of CID, par value $0.0001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outstanding and entitled to vote. As a stockholder of record of our Common Stock at the close of business on the Record Date, you are invited to attend the Annual Meeting and are entitled to and requested to vote on the items of business described in this Proxy Statement.</w:t>
      </w:r>
    </w:p>
    <w:p>
      <w:pPr>
        <w:spacing w:after="0" w:line="2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Proxy Statement, along with the accompanying notice, summarizes the purposes of the Annual Meeting and the information you need to know to vote on the proposals described in this Proxy Statement.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electronically access the Proxy Materials?</w:t>
      </w:r>
    </w:p>
    <w:p>
      <w:pPr>
        <w:spacing w:after="0" w:line="12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On or about April 21, 2026, you can access the Proxy Materials online at </w:t>
      </w:r>
      <w:r>
        <w:rPr>
          <w:rFonts w:ascii="Times New Roman" w:cs="Times New Roman" w:eastAsia="Times New Roman" w:hAnsi="Times New Roman"/>
          <w:sz w:val="17"/>
          <w:szCs w:val="17"/>
          <w:i w:val="1"/>
          <w:iCs w:val="1"/>
          <w:color w:val="auto"/>
        </w:rPr>
        <w:t>https://www.cstproxy.com/cidholdco/2026</w:t>
      </w:r>
      <w:r>
        <w:rPr>
          <w:rFonts w:ascii="Times New Roman" w:cs="Times New Roman" w:eastAsia="Times New Roman" w:hAnsi="Times New Roman"/>
          <w:sz w:val="17"/>
          <w:szCs w:val="17"/>
          <w:color w:val="auto"/>
        </w:rPr>
        <w:t>. The Proxy Materials are also available on our own website at</w:t>
      </w:r>
      <w:r>
        <w:rPr>
          <w:rFonts w:ascii="Times New Roman" w:cs="Times New Roman" w:eastAsia="Times New Roman" w:hAnsi="Times New Roman"/>
          <w:sz w:val="17"/>
          <w:szCs w:val="17"/>
          <w:i w:val="1"/>
          <w:iCs w:val="1"/>
          <w:color w:val="auto"/>
        </w:rPr>
        <w:t xml:space="preserve"> https://ir.daic.ai/ </w:t>
      </w:r>
      <w:r>
        <w:rPr>
          <w:rFonts w:ascii="Times New Roman" w:cs="Times New Roman" w:eastAsia="Times New Roman" w:hAnsi="Times New Roman"/>
          <w:sz w:val="17"/>
          <w:szCs w:val="17"/>
          <w:color w:val="auto"/>
        </w:rPr>
        <w:t>(information at or connected to our website is not and should not be considered part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Statement).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information is contained in this Proxy Statement?</w:t>
      </w:r>
    </w:p>
    <w:p>
      <w:pPr>
        <w:spacing w:after="0" w:line="12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Proxy Statement includes information about the nominees for directors and other matters to be voted on at our Annual Meeting. It also explains the voting process and requirements; describes the compensation of our principal executive officer and the next two most highly compensated executive officers; describes the compensation of our directors; and provides certain other information that the SEC rules require.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attend and participate in the Annual Meeting online?</w:t>
      </w:r>
    </w:p>
    <w:p>
      <w:pPr>
        <w:spacing w:after="0" w:line="12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We will be hosting the meeting via live webcast only. Only registered stockholders (holders of record) and other persons holding a valid legal proxy and a control number may attend the meeting live online at </w:t>
      </w:r>
      <w:r>
        <w:rPr>
          <w:rFonts w:ascii="Times New Roman" w:cs="Times New Roman" w:eastAsia="Times New Roman" w:hAnsi="Times New Roman"/>
          <w:sz w:val="17"/>
          <w:szCs w:val="17"/>
          <w:i w:val="1"/>
          <w:iCs w:val="1"/>
          <w:color w:val="auto"/>
        </w:rPr>
        <w:t>https://www.cstproxy.com/cidholdco/2026</w:t>
      </w:r>
      <w:r>
        <w:rPr>
          <w:rFonts w:ascii="Times New Roman" w:cs="Times New Roman" w:eastAsia="Times New Roman" w:hAnsi="Times New Roman"/>
          <w:sz w:val="17"/>
          <w:szCs w:val="17"/>
          <w:color w:val="auto"/>
        </w:rPr>
        <w:t>. The webcast will start at 11:00 a.m. Pacific Time. Stockholders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vote and submit questions while attending the meeting online. We encourage you to access the meeting prior to the start time. The webcast will open 15 minutes before the start of the meeting. In order to enter the meeting, you will need the control number. The control number will be included in the Notice and on your proxy card if you are a stockholder of record of shares of Common Stock. Beneficial owners who hold shares in “street name” and do not obtain a legal proxy may listen to the Annual Meeting by telephone by dialing 1 800-450-7155 (within the U.S. and Canada; toll-free) or +1 857-999-9155 (outside the U.S. and Canada; standard rates apply) and entering conference ID: 2545698# (listen-only). A beneficial owner who wishes to attend and vote through the meeting website must obtain a legal proxy from such beneficial owner’s broker, bank or other agent and deliver such legal proxy to Continental at least 72 hours prior to the meeting date, after which Continental will issue a control number that will also provide voting access. Instructions on how to attend and participate online are available at </w:t>
      </w:r>
      <w:r>
        <w:rPr>
          <w:rFonts w:ascii="Times New Roman" w:cs="Times New Roman" w:eastAsia="Times New Roman" w:hAnsi="Times New Roman"/>
          <w:sz w:val="17"/>
          <w:szCs w:val="17"/>
          <w:i w:val="1"/>
          <w:iCs w:val="1"/>
          <w:color w:val="auto"/>
        </w:rPr>
        <w:t>https://www.cstproxy.com/cidholdco/2026</w:t>
      </w:r>
      <w:r>
        <w:rPr>
          <w:rFonts w:ascii="Times New Roman" w:cs="Times New Roman" w:eastAsia="Times New Roman" w:hAnsi="Times New Roman"/>
          <w:sz w:val="17"/>
          <w:szCs w:val="17"/>
          <w:color w:val="auto"/>
        </w:rPr>
        <w:t xml:space="preserve">. The webcast will be recorded and available for replay for at least 30 days following the Annual Meeting on our investor relations website at </w:t>
      </w:r>
      <w:r>
        <w:rPr>
          <w:rFonts w:ascii="Times New Roman" w:cs="Times New Roman" w:eastAsia="Times New Roman" w:hAnsi="Times New Roman"/>
          <w:sz w:val="17"/>
          <w:szCs w:val="17"/>
          <w:i w:val="1"/>
          <w:iCs w:val="1"/>
          <w:color w:val="auto"/>
        </w:rPr>
        <w:t>https://ir.daic.ai/</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shares are eligible to be voted and how many shares are required to hold the Annual Meeting?</w:t>
      </w:r>
    </w:p>
    <w:p>
      <w:pPr>
        <w:spacing w:after="0" w:line="1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 quorum is required to hold the Annual Meeting and conduct business. The presence at the Annual Meeting, virtually or by proxy, of stockholders representing a majority of the voting power of all the outstanding shares of stock entitled to vote at the Annual Meeting as of the close of business on the Record Date, will constitute a quorum for purposes of holding and conducting business at the Annual Meeting. As of the Record Date, we had 29,293,322 shares of our Common Stock outstanding, each entitled to one vote at the Annual Meeting, meaning that 14,646,662 shares of Common Stock must be represented virtually or by proxy to have a quorum. Our Common Stock is our only outstanding class of voting securities. For purposes of determining whether a quorum exists, broker non-votes and proxies received but marked “ABSTAIN” will be counted.</w:t>
      </w:r>
    </w:p>
    <w:p>
      <w:pPr>
        <w:sectPr>
          <w:pgSz w:w="11900" w:h="16838" w:orient="portrait"/>
          <w:cols w:equalWidth="0" w:num="1">
            <w:col w:w="9019"/>
          </w:cols>
          <w:pgMar w:left="1440" w:top="265"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matters am I voting on?</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There are seven matters scheduled for a vote. The following table sets forth a description of each of the proposals you are being asked to vote on, how you may vote on each proposal, and how our Board recommends that you vote on each proposal.</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How Does our Board Recommend</w:t>
            </w:r>
          </w:p>
        </w:tc>
        <w:tc>
          <w:tcPr>
            <w:tcW w:w="0" w:type="dxa"/>
            <w:vAlign w:val="bottom"/>
          </w:tcPr>
          <w:p>
            <w:pPr>
              <w:spacing w:after="0"/>
              <w:rPr>
                <w:sz w:val="1"/>
                <w:szCs w:val="1"/>
                <w:color w:val="auto"/>
              </w:rPr>
            </w:pPr>
          </w:p>
        </w:tc>
      </w:tr>
      <w:tr>
        <w:trPr>
          <w:trHeight w:val="208"/>
        </w:trPr>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20" w:type="dxa"/>
            <w:vAlign w:val="bottom"/>
          </w:tcPr>
          <w:p>
            <w:pPr>
              <w:spacing w:after="0"/>
              <w:rPr>
                <w:sz w:val="18"/>
                <w:szCs w:val="18"/>
                <w:color w:val="auto"/>
              </w:rPr>
            </w:pPr>
          </w:p>
        </w:tc>
        <w:tc>
          <w:tcPr>
            <w:tcW w:w="22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How May I Vote?</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That I Vote?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340" w:type="dxa"/>
            <w:vAlign w:val="bottom"/>
            <w:tcBorders>
              <w:bottom w:val="single" w:sz="8" w:color="auto"/>
            </w:tcBorders>
            <w:gridSpan w:val="4"/>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06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Proposal No. 1:</w:t>
            </w:r>
          </w:p>
        </w:tc>
        <w:tc>
          <w:tcPr>
            <w:tcW w:w="120" w:type="dxa"/>
            <w:vAlign w:val="bottom"/>
            <w:vMerge w:val="continue"/>
          </w:tcPr>
          <w:p>
            <w:pPr>
              <w:spacing w:after="0"/>
              <w:rPr>
                <w:sz w:val="14"/>
                <w:szCs w:val="14"/>
                <w:color w:val="auto"/>
              </w:rPr>
            </w:pPr>
          </w:p>
        </w:tc>
        <w:tc>
          <w:tcPr>
            <w:tcW w:w="224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You may either vote FOR or</w:t>
            </w:r>
          </w:p>
        </w:tc>
        <w:tc>
          <w:tcPr>
            <w:tcW w:w="80" w:type="dxa"/>
            <w:vAlign w:val="bottom"/>
            <w:vMerge w:val="continue"/>
          </w:tcPr>
          <w:p>
            <w:pPr>
              <w:spacing w:after="0"/>
              <w:rPr>
                <w:sz w:val="14"/>
                <w:szCs w:val="14"/>
                <w:color w:val="auto"/>
              </w:rPr>
            </w:pPr>
          </w:p>
        </w:tc>
        <w:tc>
          <w:tcPr>
            <w:tcW w:w="2340" w:type="dxa"/>
            <w:vAlign w:val="bottom"/>
            <w:gridSpan w:val="4"/>
          </w:tcPr>
          <w:p>
            <w:pPr>
              <w:spacing w:after="0" w:line="163" w:lineRule="exact"/>
              <w:rPr>
                <w:sz w:val="20"/>
                <w:szCs w:val="20"/>
                <w:color w:val="auto"/>
              </w:rPr>
            </w:pPr>
            <w:r>
              <w:rPr>
                <w:rFonts w:ascii="Times New Roman" w:cs="Times New Roman" w:eastAsia="Times New Roman" w:hAnsi="Times New Roman"/>
                <w:sz w:val="17"/>
                <w:szCs w:val="17"/>
                <w:color w:val="auto"/>
              </w:rPr>
              <w:t>Our Board recommends a vote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 elect one Class I director nominee,</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AGAINST with respect to the</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FOR each of the Class I director</w:t>
            </w:r>
          </w:p>
        </w:tc>
        <w:tc>
          <w:tcPr>
            <w:tcW w:w="0" w:type="dxa"/>
            <w:vAlign w:val="bottom"/>
          </w:tcPr>
          <w:p>
            <w:pPr>
              <w:spacing w:after="0"/>
              <w:rPr>
                <w:sz w:val="1"/>
                <w:szCs w:val="1"/>
                <w:color w:val="auto"/>
              </w:rPr>
            </w:pPr>
          </w:p>
        </w:tc>
      </w:tr>
      <w:tr>
        <w:trPr>
          <w:trHeight w:val="210"/>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Phyllis Newhouse, to serve until her term</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election of each nominee.</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nominees.</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expires or until her successor is duly elected</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 qualified, as described herein.</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No. 2:</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You   may   vote   FOR   or</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Our Board recommends a vote</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 ratify the appointment of Carr, Riggs &amp;</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AGAINST   or   you   may</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FOR  the  ratification  of  the</w:t>
            </w:r>
          </w:p>
        </w:tc>
        <w:tc>
          <w:tcPr>
            <w:tcW w:w="0" w:type="dxa"/>
            <w:vAlign w:val="bottom"/>
          </w:tcPr>
          <w:p>
            <w:pPr>
              <w:spacing w:after="0"/>
              <w:rPr>
                <w:sz w:val="1"/>
                <w:szCs w:val="1"/>
                <w:color w:val="auto"/>
              </w:rPr>
            </w:pPr>
          </w:p>
        </w:tc>
      </w:tr>
      <w:tr>
        <w:trPr>
          <w:trHeight w:val="214"/>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Ingram, LLC (“</w:t>
            </w:r>
            <w:r>
              <w:rPr>
                <w:rFonts w:ascii="Times New Roman" w:cs="Times New Roman" w:eastAsia="Times New Roman" w:hAnsi="Times New Roman"/>
                <w:sz w:val="17"/>
                <w:szCs w:val="17"/>
                <w:b w:val="1"/>
                <w:bCs w:val="1"/>
                <w:i w:val="1"/>
                <w:iCs w:val="1"/>
                <w:color w:val="auto"/>
              </w:rPr>
              <w:t>CRI</w:t>
            </w:r>
            <w:r>
              <w:rPr>
                <w:rFonts w:ascii="Times New Roman" w:cs="Times New Roman" w:eastAsia="Times New Roman" w:hAnsi="Times New Roman"/>
                <w:sz w:val="17"/>
                <w:szCs w:val="17"/>
                <w:color w:val="auto"/>
              </w:rPr>
              <w:t>”) as our independent</w:t>
            </w: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ABSTAIN from voting.</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appointment of Carr, Riggs &amp;</w:t>
            </w:r>
          </w:p>
        </w:tc>
        <w:tc>
          <w:tcPr>
            <w:tcW w:w="0" w:type="dxa"/>
            <w:vAlign w:val="bottom"/>
          </w:tcPr>
          <w:p>
            <w:pPr>
              <w:spacing w:after="0"/>
              <w:rPr>
                <w:sz w:val="1"/>
                <w:szCs w:val="1"/>
                <w:color w:val="auto"/>
              </w:rPr>
            </w:pPr>
          </w:p>
        </w:tc>
      </w:tr>
      <w:tr>
        <w:trPr>
          <w:trHeight w:val="210"/>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registered public accounting firm for the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auto"/>
              </w:rPr>
              <w:t>Ingram, LLC as our independent</w:t>
            </w:r>
          </w:p>
        </w:tc>
        <w:tc>
          <w:tcPr>
            <w:tcW w:w="0" w:type="dxa"/>
            <w:vAlign w:val="bottom"/>
          </w:tcPr>
          <w:p>
            <w:pPr>
              <w:spacing w:after="0"/>
              <w:rPr>
                <w:sz w:val="1"/>
                <w:szCs w:val="1"/>
                <w:color w:val="auto"/>
              </w:rPr>
            </w:pPr>
          </w:p>
        </w:tc>
      </w:tr>
      <w:tr>
        <w:trPr>
          <w:trHeight w:val="210"/>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fiscal year ending December 31, 2026.</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registered  accounting</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firm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w:t>
            </w:r>
          </w:p>
        </w:tc>
        <w:tc>
          <w:tcPr>
            <w:tcW w:w="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fiscal</w:t>
            </w: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year</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ending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December 31, 2026.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3</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approve an amendment to our Amended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and Restated Certificate of Incorporation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authorize the Board to effect one or more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reverse stock splits of our Common Stock</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a ratio of not less than one-for-ten (1:10)</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and not more than one-for-twenty-five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(1:25) of the Common Stock (the “</w:t>
      </w:r>
      <w:r>
        <w:rPr>
          <w:rFonts w:ascii="Times New Roman" w:cs="Times New Roman" w:eastAsia="Times New Roman" w:hAnsi="Times New Roman"/>
          <w:sz w:val="17"/>
          <w:szCs w:val="17"/>
          <w:b w:val="1"/>
          <w:bCs w:val="1"/>
          <w:i w:val="1"/>
          <w:iCs w:val="1"/>
          <w:color w:val="auto"/>
        </w:rPr>
        <w:t>Reverse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Stock Split</w:t>
      </w:r>
      <w:r>
        <w:rPr>
          <w:rFonts w:ascii="Times New Roman" w:cs="Times New Roman" w:eastAsia="Times New Roman" w:hAnsi="Times New Roman"/>
          <w:sz w:val="17"/>
          <w:szCs w:val="17"/>
          <w:color w:val="auto"/>
        </w:rPr>
        <w:t>”), with the exact ratio to be set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within this range by our Board in its sole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discretion, with the number of Reverse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 Splits, if any, and the exact ratio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each Reverse Stock Split to be determined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 the discretion of the Board in its sole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discretion (the “</w:t>
      </w:r>
      <w:r>
        <w:rPr>
          <w:rFonts w:ascii="Times New Roman" w:cs="Times New Roman" w:eastAsia="Times New Roman" w:hAnsi="Times New Roman"/>
          <w:sz w:val="17"/>
          <w:szCs w:val="17"/>
          <w:b w:val="1"/>
          <w:bCs w:val="1"/>
          <w:i w:val="1"/>
          <w:iCs w:val="1"/>
          <w:color w:val="auto"/>
        </w:rPr>
        <w:t>Reverse Split Proposal</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4</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7"/>
          <w:szCs w:val="17"/>
          <w:color w:val="auto"/>
        </w:rPr>
        <w:t>To approve, for purposes of complying with Nasdaq Listing Rules 5635(b) and 5635(d), the issuance of shares of Common Stock and warrants to purchase shares of Common Stock in connection with certain financing transactions between one of two or more potential financing sources, in order to, among other things, either make scheduled monthly payments under or entirely pay off that certain Loan Agreement, dated December 4, 2025, between the Company and J.J. Astor &amp; Co. (the “</w:t>
      </w:r>
      <w:r>
        <w:rPr>
          <w:rFonts w:ascii="Times New Roman" w:cs="Times New Roman" w:eastAsia="Times New Roman" w:hAnsi="Times New Roman"/>
          <w:sz w:val="17"/>
          <w:szCs w:val="17"/>
          <w:b w:val="1"/>
          <w:bCs w:val="1"/>
          <w:i w:val="1"/>
          <w:iCs w:val="1"/>
          <w:color w:val="auto"/>
        </w:rPr>
        <w:t>J.J. Astor Loan</w:t>
      </w:r>
      <w:r>
        <w:rPr>
          <w:rFonts w:ascii="Times New Roman" w:cs="Times New Roman" w:eastAsia="Times New Roman" w:hAnsi="Times New Roman"/>
          <w:sz w:val="17"/>
          <w:szCs w:val="17"/>
          <w:color w:val="auto"/>
        </w:rPr>
        <w:t>”) and terminate that certain Share Purchase Agreement (the “</w:t>
      </w:r>
      <w:r>
        <w:rPr>
          <w:rFonts w:ascii="Times New Roman" w:cs="Times New Roman" w:eastAsia="Times New Roman" w:hAnsi="Times New Roman"/>
          <w:sz w:val="17"/>
          <w:szCs w:val="17"/>
          <w:b w:val="1"/>
          <w:bCs w:val="1"/>
          <w:i w:val="1"/>
          <w:iCs w:val="1"/>
          <w:color w:val="auto"/>
        </w:rPr>
        <w:t>Original ELOC</w:t>
      </w:r>
      <w:r>
        <w:rPr>
          <w:rFonts w:ascii="Times New Roman" w:cs="Times New Roman" w:eastAsia="Times New Roman" w:hAnsi="Times New Roman"/>
          <w:sz w:val="17"/>
          <w:szCs w:val="17"/>
          <w:color w:val="auto"/>
        </w:rPr>
        <w:t>”) with New Circle Principal Investments LLC, a Delaware limited liability company (“</w:t>
      </w:r>
      <w:r>
        <w:rPr>
          <w:rFonts w:ascii="Times New Roman" w:cs="Times New Roman" w:eastAsia="Times New Roman" w:hAnsi="Times New Roman"/>
          <w:sz w:val="17"/>
          <w:szCs w:val="17"/>
          <w:b w:val="1"/>
          <w:bCs w:val="1"/>
          <w:i w:val="1"/>
          <w:iCs w:val="1"/>
          <w:color w:val="auto"/>
        </w:rPr>
        <w:t>New Circle</w:t>
      </w:r>
      <w:r>
        <w:rPr>
          <w:rFonts w:ascii="Times New Roman" w:cs="Times New Roman" w:eastAsia="Times New Roman" w:hAnsi="Times New Roman"/>
          <w:sz w:val="17"/>
          <w:szCs w:val="17"/>
          <w:color w:val="auto"/>
        </w:rPr>
        <w:t>”), in an amount that may exceed 20% of the Company’s Common Stock currently outstanding (the “</w:t>
      </w:r>
      <w:r>
        <w:rPr>
          <w:rFonts w:ascii="Times New Roman" w:cs="Times New Roman" w:eastAsia="Times New Roman" w:hAnsi="Times New Roman"/>
          <w:sz w:val="17"/>
          <w:szCs w:val="17"/>
          <w:b w:val="1"/>
          <w:bCs w:val="1"/>
          <w:i w:val="1"/>
          <w:iCs w:val="1"/>
          <w:color w:val="auto"/>
        </w:rPr>
        <w:t>Nasdaq Service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Proposal</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Times New Roman" w:cs="Times New Roman" w:eastAsia="Times New Roman" w:hAnsi="Times New Roman"/>
          <w:sz w:val="17"/>
          <w:szCs w:val="17"/>
          <w:color w:val="auto"/>
        </w:rPr>
        <w:t>You may vote FOR AGAINST or you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You may vote FOR AGAINST or you ABSTAIN from voting.</w:t>
      </w:r>
    </w:p>
    <w:p>
      <w:pPr>
        <w:spacing w:after="0" w:line="20" w:lineRule="exact"/>
        <w:rPr>
          <w:sz w:val="20"/>
          <w:szCs w:val="20"/>
          <w:color w:val="auto"/>
        </w:rPr>
      </w:pPr>
      <w:r>
        <w:rPr>
          <w:sz w:val="20"/>
          <w:szCs w:val="20"/>
          <w:color w:val="auto"/>
        </w:rPr>
        <w:br w:type="column"/>
      </w:r>
    </w:p>
    <w:p>
      <w:pPr>
        <w:jc w:val="both"/>
        <w:ind w:right="599" w:firstLine="160"/>
        <w:spacing w:after="0" w:line="296" w:lineRule="auto"/>
        <w:rPr>
          <w:sz w:val="20"/>
          <w:szCs w:val="20"/>
          <w:color w:val="auto"/>
        </w:rPr>
      </w:pPr>
      <w:r>
        <w:rPr>
          <w:rFonts w:ascii="Times New Roman" w:cs="Times New Roman" w:eastAsia="Times New Roman" w:hAnsi="Times New Roman"/>
          <w:sz w:val="17"/>
          <w:szCs w:val="17"/>
          <w:color w:val="auto"/>
        </w:rPr>
        <w:t>or Our Board recommends a vote may FOR the Reverse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99" w:firstLine="160"/>
        <w:spacing w:after="0" w:line="268" w:lineRule="auto"/>
        <w:rPr>
          <w:sz w:val="20"/>
          <w:szCs w:val="20"/>
          <w:color w:val="auto"/>
        </w:rPr>
      </w:pPr>
      <w:r>
        <w:rPr>
          <w:rFonts w:ascii="Times New Roman" w:cs="Times New Roman" w:eastAsia="Times New Roman" w:hAnsi="Times New Roman"/>
          <w:sz w:val="17"/>
          <w:szCs w:val="17"/>
          <w:color w:val="auto"/>
        </w:rPr>
        <w:t>or Our Board recommends a vote may FOR the Nasdaq Service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Proposal.</w:t>
      </w:r>
    </w:p>
    <w:p>
      <w:pPr>
        <w:spacing w:after="0" w:line="3997" w:lineRule="exact"/>
        <w:rPr>
          <w:sz w:val="20"/>
          <w:szCs w:val="20"/>
          <w:color w:val="auto"/>
        </w:rPr>
      </w:pPr>
    </w:p>
    <w:p>
      <w:pPr>
        <w:sectPr>
          <w:pgSz w:w="11900" w:h="16838" w:orient="portrait"/>
          <w:cols w:equalWidth="0" w:num="3">
            <w:col w:w="3660" w:space="120"/>
            <w:col w:w="1860" w:space="60"/>
            <w:col w:w="3319"/>
          </w:cols>
          <w:pgMar w:left="1440" w:top="265" w:right="1440"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Proposal</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5</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1962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2" w:lineRule="exact"/>
        <w:rPr>
          <w:sz w:val="20"/>
          <w:szCs w:val="20"/>
          <w:color w:val="auto"/>
        </w:rPr>
      </w:pPr>
    </w:p>
    <w:p>
      <w:pPr>
        <w:ind w:left="580"/>
        <w:spacing w:after="0" w:line="257" w:lineRule="auto"/>
        <w:rPr>
          <w:sz w:val="20"/>
          <w:szCs w:val="20"/>
          <w:color w:val="auto"/>
        </w:rPr>
      </w:pPr>
      <w:r>
        <w:rPr>
          <w:rFonts w:ascii="Times New Roman" w:cs="Times New Roman" w:eastAsia="Times New Roman" w:hAnsi="Times New Roman"/>
          <w:sz w:val="17"/>
          <w:szCs w:val="17"/>
          <w:color w:val="auto"/>
        </w:rPr>
        <w:t>To approve, for purposes of complying with Nasdaq Listing Rule 5635(b) and 5635(d), solely if the Company defaults on the</w:t>
      </w:r>
    </w:p>
    <w:p>
      <w:pPr>
        <w:spacing w:after="0" w:line="1" w:lineRule="exact"/>
        <w:rPr>
          <w:sz w:val="20"/>
          <w:szCs w:val="20"/>
          <w:color w:val="auto"/>
        </w:rPr>
      </w:pPr>
    </w:p>
    <w:p>
      <w:pPr>
        <w:ind w:left="580" w:right="100" w:hanging="6"/>
        <w:spacing w:after="0" w:line="257" w:lineRule="auto"/>
        <w:tabs>
          <w:tab w:leader="none" w:pos="83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Astor Loan, the issuance of shares of the Company’s common stock upon conversion of the remaining balance of the senior convertible note issued by the Company pursuant to the terms of the</w:t>
      </w:r>
    </w:p>
    <w:p>
      <w:pPr>
        <w:spacing w:after="0" w:line="1" w:lineRule="exact"/>
        <w:rPr>
          <w:rFonts w:ascii="Times New Roman" w:cs="Times New Roman" w:eastAsia="Times New Roman" w:hAnsi="Times New Roman"/>
          <w:sz w:val="17"/>
          <w:szCs w:val="17"/>
          <w:color w:val="auto"/>
        </w:rPr>
      </w:pPr>
    </w:p>
    <w:p>
      <w:pPr>
        <w:jc w:val="both"/>
        <w:ind w:left="580" w:right="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J.J. Astor Loan, without giving effect to the exchange cap in such convertible note (the “</w:t>
      </w:r>
      <w:r>
        <w:rPr>
          <w:rFonts w:ascii="Times New Roman" w:cs="Times New Roman" w:eastAsia="Times New Roman" w:hAnsi="Times New Roman"/>
          <w:sz w:val="17"/>
          <w:szCs w:val="17"/>
          <w:b w:val="1"/>
          <w:bCs w:val="1"/>
          <w:i w:val="1"/>
          <w:iCs w:val="1"/>
          <w:color w:val="auto"/>
        </w:rPr>
        <w:t>Nasdaq Conversion Proposal</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6</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7"/>
          <w:szCs w:val="17"/>
          <w:color w:val="auto"/>
        </w:rPr>
        <w:t>To approve, for purposes of complying with Nasdaq Listing Rule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(the “</w:t>
      </w:r>
      <w:r>
        <w:rPr>
          <w:rFonts w:ascii="Times New Roman" w:cs="Times New Roman" w:eastAsia="Times New Roman" w:hAnsi="Times New Roman"/>
          <w:sz w:val="17"/>
          <w:szCs w:val="17"/>
          <w:b w:val="1"/>
          <w:bCs w:val="1"/>
          <w:i w:val="1"/>
          <w:iCs w:val="1"/>
          <w:color w:val="auto"/>
        </w:rPr>
        <w:t>Nasdaq 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Proposal</w:t>
      </w:r>
      <w:r>
        <w:rPr>
          <w:rFonts w:ascii="Times New Roman" w:cs="Times New Roman" w:eastAsia="Times New Roman" w:hAnsi="Times New Roman"/>
          <w:sz w:val="17"/>
          <w:szCs w:val="17"/>
          <w:color w:val="auto"/>
        </w:rPr>
        <w:t>” and, together with the Nasdaq</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 Proposal and the Nasdaq Conversion Proposal, the “</w:t>
      </w:r>
      <w:r>
        <w:rPr>
          <w:rFonts w:ascii="Times New Roman" w:cs="Times New Roman" w:eastAsia="Times New Roman" w:hAnsi="Times New Roman"/>
          <w:sz w:val="17"/>
          <w:szCs w:val="17"/>
          <w:b w:val="1"/>
          <w:bCs w:val="1"/>
          <w:i w:val="1"/>
          <w:iCs w:val="1"/>
          <w:color w:val="auto"/>
        </w:rPr>
        <w:t>Nasdaq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Proposals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7:</w:t>
      </w:r>
    </w:p>
    <w:p>
      <w:pPr>
        <w:spacing w:after="0" w:line="32" w:lineRule="exact"/>
        <w:rPr>
          <w:sz w:val="20"/>
          <w:szCs w:val="20"/>
          <w:color w:val="auto"/>
        </w:rPr>
      </w:pPr>
    </w:p>
    <w:p>
      <w:pPr>
        <w:ind w:left="580" w:right="120"/>
        <w:spacing w:after="0" w:line="260" w:lineRule="auto"/>
        <w:rPr>
          <w:sz w:val="20"/>
          <w:szCs w:val="20"/>
          <w:color w:val="auto"/>
        </w:rPr>
      </w:pPr>
      <w:r>
        <w:rPr>
          <w:rFonts w:ascii="Times New Roman" w:cs="Times New Roman" w:eastAsia="Times New Roman" w:hAnsi="Times New Roman"/>
          <w:sz w:val="17"/>
          <w:szCs w:val="17"/>
          <w:color w:val="auto"/>
        </w:rPr>
        <w:t>To approve an amendment to the Company’s Equity Incentive Plan to increase the number of shares of Common Stock available for issuance thereunder to 19,959,853 shares (the “</w:t>
      </w:r>
      <w:r>
        <w:rPr>
          <w:rFonts w:ascii="Times New Roman" w:cs="Times New Roman" w:eastAsia="Times New Roman" w:hAnsi="Times New Roman"/>
          <w:sz w:val="17"/>
          <w:szCs w:val="17"/>
          <w:b w:val="1"/>
          <w:bCs w:val="1"/>
          <w:i w:val="1"/>
          <w:iCs w:val="1"/>
          <w:color w:val="auto"/>
        </w:rPr>
        <w:t>Incentive Plan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Amendment Proposal</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How Does our Board Recommend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8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How May I Vote?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That I Vote?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You   may</w:t>
            </w:r>
          </w:p>
        </w:tc>
        <w:tc>
          <w:tcPr>
            <w:tcW w:w="46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rPr>
              <w:t>vote</w:t>
            </w:r>
          </w:p>
        </w:tc>
        <w:tc>
          <w:tcPr>
            <w:tcW w:w="540" w:type="dxa"/>
            <w:vAlign w:val="bottom"/>
          </w:tcPr>
          <w:p>
            <w:pPr>
              <w:ind w:left="160"/>
              <w:spacing w:after="0" w:line="185" w:lineRule="exact"/>
              <w:rPr>
                <w:sz w:val="20"/>
                <w:szCs w:val="20"/>
                <w:color w:val="auto"/>
              </w:rPr>
            </w:pPr>
            <w:r>
              <w:rPr>
                <w:rFonts w:ascii="Times New Roman" w:cs="Times New Roman" w:eastAsia="Times New Roman" w:hAnsi="Times New Roman"/>
                <w:sz w:val="17"/>
                <w:szCs w:val="17"/>
                <w:color w:val="auto"/>
              </w:rPr>
              <w:t>FOR</w:t>
            </w:r>
          </w:p>
        </w:tc>
        <w:tc>
          <w:tcPr>
            <w:tcW w:w="3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or</w:t>
            </w:r>
          </w:p>
        </w:tc>
        <w:tc>
          <w:tcPr>
            <w:tcW w:w="80" w:type="dxa"/>
            <w:vAlign w:val="bottom"/>
            <w:vMerge w:val="continue"/>
          </w:tcPr>
          <w:p>
            <w:pPr>
              <w:spacing w:after="0"/>
              <w:rPr>
                <w:sz w:val="16"/>
                <w:szCs w:val="16"/>
                <w:color w:val="auto"/>
              </w:rPr>
            </w:pPr>
          </w:p>
        </w:tc>
        <w:tc>
          <w:tcPr>
            <w:tcW w:w="23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Our Board recommends a vote</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AGAINST</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you</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w:t>
            </w: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FOR  the  Nasdaq  Conversion</w:t>
            </w:r>
          </w:p>
        </w:tc>
        <w:tc>
          <w:tcPr>
            <w:tcW w:w="0" w:type="dxa"/>
            <w:vAlign w:val="bottom"/>
          </w:tcPr>
          <w:p>
            <w:pPr>
              <w:spacing w:after="0"/>
              <w:rPr>
                <w:sz w:val="1"/>
                <w:szCs w:val="1"/>
                <w:color w:val="auto"/>
              </w:rPr>
            </w:pPr>
          </w:p>
        </w:tc>
      </w:tr>
      <w:tr>
        <w:trPr>
          <w:trHeight w:val="228"/>
        </w:trPr>
        <w:tc>
          <w:tcPr>
            <w:tcW w:w="1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ABSTAIN from voting.</w:t>
            </w:r>
          </w:p>
        </w:tc>
        <w:tc>
          <w:tcPr>
            <w:tcW w:w="340" w:type="dxa"/>
            <w:vAlign w:val="bottom"/>
          </w:tcPr>
          <w:p>
            <w:pPr>
              <w:spacing w:after="0"/>
              <w:rPr>
                <w:sz w:val="19"/>
                <w:szCs w:val="19"/>
                <w:color w:val="auto"/>
              </w:rPr>
            </w:pP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99"/>
        <w:spacing w:after="0" w:line="289" w:lineRule="auto"/>
        <w:rPr>
          <w:sz w:val="20"/>
          <w:szCs w:val="20"/>
          <w:color w:val="auto"/>
        </w:rPr>
      </w:pPr>
      <w:r>
        <w:rPr>
          <w:rFonts w:ascii="Times New Roman" w:cs="Times New Roman" w:eastAsia="Times New Roman" w:hAnsi="Times New Roman"/>
          <w:sz w:val="17"/>
          <w:szCs w:val="17"/>
          <w:color w:val="auto"/>
        </w:rPr>
        <w:t>You may vote FOR or Our Board recommends a vote AGAINST or you may FOR the Nasdaq 20% Proposal.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You   may</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vote</w:t>
            </w: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or</w:t>
            </w:r>
          </w:p>
        </w:tc>
        <w:tc>
          <w:tcPr>
            <w:tcW w:w="2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Our Board recommends a vote</w:t>
            </w: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AGAINST</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you</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w:t>
            </w:r>
          </w:p>
        </w:tc>
        <w:tc>
          <w:tcPr>
            <w:tcW w:w="2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   the   Incentive   Plan</w:t>
            </w:r>
          </w:p>
        </w:tc>
      </w:tr>
      <w:tr>
        <w:trPr>
          <w:trHeight w:val="228"/>
        </w:trPr>
        <w:tc>
          <w:tcPr>
            <w:tcW w:w="1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ABSTAIN from voting.</w:t>
            </w:r>
          </w:p>
        </w:tc>
        <w:tc>
          <w:tcPr>
            <w:tcW w:w="380" w:type="dxa"/>
            <w:vAlign w:val="bottom"/>
          </w:tcPr>
          <w:p>
            <w:pPr>
              <w:spacing w:after="0"/>
              <w:rPr>
                <w:sz w:val="19"/>
                <w:szCs w:val="19"/>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Amendment Proposal.</w:t>
            </w:r>
          </w:p>
        </w:tc>
      </w:tr>
    </w:tbl>
    <w:p>
      <w:pPr>
        <w:spacing w:after="0" w:line="907" w:lineRule="exact"/>
        <w:rPr>
          <w:sz w:val="20"/>
          <w:szCs w:val="20"/>
          <w:color w:val="auto"/>
        </w:rPr>
      </w:pPr>
    </w:p>
    <w:p>
      <w:pPr>
        <w:sectPr>
          <w:pgSz w:w="11900" w:h="16838" w:orient="portrait"/>
          <w:cols w:equalWidth="0" w:num="2">
            <w:col w:w="3660" w:space="120"/>
            <w:col w:w="5239"/>
          </w:cols>
          <w:pgMar w:left="1440" w:top="265" w:right="1440" w:bottom="1440" w:gutter="0" w:footer="0" w:header="0"/>
        </w:sectPr>
      </w:pP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being asked to vote on each proposal?</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Election of our Class I Director</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Our Board of Directors is divided into three classes of directors, with each class serving a staggered three-year term. At each annual meeting, the term of one class of directors expires and stockholders are asked to elect directors to that class for a new three-year term. At this Annual Meeting, the term of our Class I directors is expiring, and one Class I director nominee, Phyllis Newhouse, is seeking re-election to serve until the annual meeting of stockholders to be held in 2029 and until her successor is duly elected and qualified. The election of directors is a routine, recurring matter that comes before stockholders at each annual meeting as part of the Company’s normal governance process.</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Ratify the Appointment of CRI</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is submitting this appointment to stockholders for ratification as a matter of good corporate governance and because the Company values its stockholders’ views on the selection of its independent auditors. Although neither our bylaws nor other governing documents require stockholder ratification of this appointment, the ratification of the auditor is a routine governance matter.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Approval of Reverse Split Proposal</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February 5, 2026, the Company received written notification from Nasdaq that the bid price of its Common Stock had failed to meet the $1.00 per share minimum bid price requirement for the required period. Under Nasdaq Rules, the Company has 180 calendar days — until August 4, 2026 — to regain compliance. The Board believes that effecting a reverse stock split may be the best available means of increasing the per-share price of the Common Stock above $1.00 per share in order to maintain the Company’s continued listing on The Nasdaq Global Select Market.</w:t>
      </w:r>
    </w:p>
    <w:p>
      <w:pPr>
        <w:spacing w:after="0" w:line="106"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Board also believes that the low per-share market price of the Common Stock impairs its marketability to institutional investors and other members of the investing public, and that continued listing on Nasdaq provides overall credibility to an investment in the Company’s stock. Approval of this proposal would not automatically cause a reverse stock split to occur; rather, it would grant the Board the authority to effect a reverse stock split if and when the Board determines that doing so is in the best interests of the Company and its stockholders.</w:t>
      </w:r>
    </w:p>
    <w:p>
      <w:pPr>
        <w:spacing w:after="0" w:line="3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Approval of Nasdaq Service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is seeking this approval because the Company intends to enter into definitive financing arrangements with one of two or more potential financing sources, the proceeds from which will be used to either (i) make scheduled monthly payments under the Original Loan Agreement with J.J. Astor, or (ii) entirely pay off the Original Loan Agreement with J.J. Astor and terminate the Original ELOC with New Circle, many of the terms of which the Board has determined are unfavorable to the Company. Under Nasdaq Listing Rule 5635(d), stockholder approval is required before a company may issue, in a private offering, more than 20% of its outstanding Common Stock at a price below the applicable “Minimum Price.” Nasdaq Listing Rule 5635(b) separately requires stockholder approval for any issuance of securities that could result in a change of control.</w:t>
      </w:r>
    </w:p>
    <w:p>
      <w:pPr>
        <w:spacing w:after="0" w:line="3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has determined that the potential financing transactions as outlined in the Nasdaq Service Proposal are in the best interests of the Company and its stockholders, and that their terms are fair, reasonable, and preferable to those of the existing financing arrangements. Without stockholder approval, the Company would be unable to issue shares to either potential financing source in an amount exceeding 19.99% of outstanding Common Stock, making it unlikely that it could raise sufficient capital to make scheduled monthly payments under or pay off the Original Loan Agreement with J.J. Astor and terminate the Original ELOC with New Circle.</w:t>
      </w:r>
    </w:p>
    <w:p>
      <w:pPr>
        <w:spacing w:after="0" w:line="3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Approval of Nasdaq Conversion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 entered into the Original Loan Agreement with J.J. Astor on December 4, 2025, pursuant to which the Company issued a Senior Secured Convertible Note in the original principal amount of $2,600,000. The securities issuance provisions of that note, in the event of a default, could result in the issuance of shares of Common Stock in excess of the 20% threshold under Nasdaq Listing Rules 5635(b) and 5635(d). Without stockholder approval, the Company may not issue shares of Common Stock pursuant to a conversion of the note in an amount exceeding 19.99% of the shares outstanding immediately prior to the execution of the Original Loan Agreement, and failure to satisfy the Company’s issuance obligations upon a default could adversely affect the Company’s ability to comply with its binding contractual commitments, potentially triggering additional adverse consequences under the loan documents and related registration rights agreement.</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Approval of Nasdaq 20%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Board is seeking this approval in order to preserve the Company’s ability to obtain additional financing through non-public transactions without the delays and expense associated with a public offering. The Company plans to use any proceeds from transactions entered into under this authorization to pay off the Financing Source A convertible note and for working capital, repayment or refinancing of indebtedness, and funding of software development initiatives. If this proposal is not approved, the Company may be unable to obtain sufficient financing to fund its operations and implement its business strategy, and may be required to seek alternative sources of financing that may not be available or may not be available on commercially reasonable terms.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Approval of Incentive Plan Amendment Proposal</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Board is seeking stockholder approval of this amendment because it believes the Company’s success depends, in large part, on its ability to attract, retain, and motivate key employees with experience and ability, and that an equity-based compensation program is central to achieving those objectives. The Board believes that equity compensation directly aligns the interests of employees and non-employee directors with those of stockholders, is inherently performance-based, and is consistent with the Company’s pay-for-performance compensation philosophy. The Board has determined that the proposed increase is judicious, sustainable, and critical to meeting the Company’s business goals.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procedures for voting are as follows: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on the Record Date, your shares of Common Stock are registered directly in your name with our transfer agent, Continental Stock Transfer &amp; Trust Company (“</w:t>
      </w:r>
      <w:r>
        <w:rPr>
          <w:rFonts w:ascii="Times New Roman" w:cs="Times New Roman" w:eastAsia="Times New Roman" w:hAnsi="Times New Roman"/>
          <w:sz w:val="17"/>
          <w:szCs w:val="17"/>
          <w:b w:val="1"/>
          <w:bCs w:val="1"/>
          <w:i w:val="1"/>
          <w:iCs w:val="1"/>
          <w:color w:val="auto"/>
        </w:rPr>
        <w:t>Continental</w:t>
      </w:r>
      <w:r>
        <w:rPr>
          <w:rFonts w:ascii="Times New Roman" w:cs="Times New Roman" w:eastAsia="Times New Roman" w:hAnsi="Times New Roman"/>
          <w:sz w:val="17"/>
          <w:szCs w:val="17"/>
          <w:color w:val="auto"/>
        </w:rPr>
        <w:t>”), then you are a stockholder of record. As a stockholder of record, you may vote virtually during the Annual Meeting or vote by proxy through the Internet, over the telephone or using a proxy card that you may request. Whether or not you plan to attend the Annual Meeting, we urge you to vote by proxy to ensure your vote is counted. Even if you have submitted a proxy before the Annual Meeting, you may still attend and vote during the Annual Meeting. In such case, your previously submitted proxy will be disregarded.</w:t>
      </w:r>
    </w:p>
    <w:p>
      <w:pPr>
        <w:spacing w:after="0" w:line="98" w:lineRule="exact"/>
        <w:rPr>
          <w:sz w:val="20"/>
          <w:szCs w:val="20"/>
          <w:color w:val="auto"/>
        </w:rPr>
      </w:pPr>
    </w:p>
    <w:p>
      <w:pPr>
        <w:ind w:left="1420" w:right="599" w:hanging="426"/>
        <w:spacing w:after="0" w:line="29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online during the Annual Meeting, follow the provided instructions to join the meeting at </w:t>
      </w:r>
      <w:r>
        <w:rPr>
          <w:rFonts w:ascii="Times New Roman" w:cs="Times New Roman" w:eastAsia="Times New Roman" w:hAnsi="Times New Roman"/>
          <w:sz w:val="17"/>
          <w:szCs w:val="17"/>
          <w:i w:val="1"/>
          <w:iCs w:val="1"/>
          <w:color w:val="auto"/>
        </w:rPr>
        <w:t>https://www.cstproxy.com/cidholdco/2026</w:t>
      </w:r>
      <w:r>
        <w:rPr>
          <w:rFonts w:ascii="Times New Roman" w:cs="Times New Roman" w:eastAsia="Times New Roman" w:hAnsi="Times New Roman"/>
          <w:sz w:val="17"/>
          <w:szCs w:val="17"/>
          <w:color w:val="auto"/>
        </w:rPr>
        <w:t>.</w:t>
      </w:r>
    </w:p>
    <w:p>
      <w:pPr>
        <w:spacing w:after="0" w:line="79"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online before the Annual Meeting, go to </w:t>
      </w:r>
      <w:r>
        <w:rPr>
          <w:rFonts w:ascii="Times New Roman" w:cs="Times New Roman" w:eastAsia="Times New Roman" w:hAnsi="Times New Roman"/>
          <w:sz w:val="17"/>
          <w:szCs w:val="17"/>
          <w:i w:val="1"/>
          <w:iCs w:val="1"/>
          <w:color w:val="auto"/>
        </w:rPr>
        <w:t>https://www.cstproxy.com/cidholdco/2026</w:t>
      </w:r>
      <w:r>
        <w:rPr>
          <w:rFonts w:ascii="Times New Roman" w:cs="Times New Roman" w:eastAsia="Times New Roman" w:hAnsi="Times New Roman"/>
          <w:sz w:val="17"/>
          <w:szCs w:val="17"/>
          <w:color w:val="auto"/>
        </w:rPr>
        <w:t>. You will be asked to provide the company number and control number from the enclosed proxy cards. Your internet vote must be received by 11:59 PM Pacific Time, on May 11, 2026 to be counted.</w:t>
      </w:r>
    </w:p>
    <w:p>
      <w:pPr>
        <w:spacing w:after="0" w:line="9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using the enclosed proxy card, simply complete, sign and date the enclosed proxy card that may be delivered and return it promptly in the envelope provided. If you return your signed proxy card to us before the Annual Meeting, we will vote your shares as you direct.</w:t>
      </w:r>
    </w:p>
    <w:p>
      <w:pPr>
        <w:spacing w:after="0" w:line="83"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through the internet, go to </w:t>
      </w:r>
      <w:r>
        <w:rPr>
          <w:rFonts w:ascii="Times New Roman" w:cs="Times New Roman" w:eastAsia="Times New Roman" w:hAnsi="Times New Roman"/>
          <w:sz w:val="17"/>
          <w:szCs w:val="17"/>
          <w:i w:val="1"/>
          <w:iCs w:val="1"/>
          <w:color w:val="auto"/>
        </w:rPr>
        <w:t>https://www.cstproxy.com/cidholdco/2026</w:t>
      </w:r>
      <w:r>
        <w:rPr>
          <w:rFonts w:ascii="Times New Roman" w:cs="Times New Roman" w:eastAsia="Times New Roman" w:hAnsi="Times New Roman"/>
          <w:sz w:val="17"/>
          <w:szCs w:val="17"/>
          <w:color w:val="auto"/>
        </w:rPr>
        <w:t xml:space="preserve"> to complete an electronic proxy card.</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Broker or Bank</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on the Record Date, your shares of Common Stock are held not in your name but rather in the name of your broker, bank or other agent, then you are the beneficial owner of shares held in “street name.” The organization holding your account is considered to be the stockholder of record for purposes of voting at the Annual Meeting.</w:t>
      </w:r>
    </w:p>
    <w:p>
      <w:pPr>
        <w:spacing w:after="0" w:line="10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a beneficial owner, you have the right to direct your broker or other agent regarding how to vote the shares in your account. Beneficial owners who hold shares in “street name” may listen to the Annual Meeting by telephone as described under “How do I attend and participate in the Annual Meeting online?” and may access the meeting website only if they obtain a legal proxy and a control number as described therein.</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you are a beneficial owner, you should have received a Notice containing voting instructions from your brokerage firm, bank, dealer, or other similar organization rather than from us. Simply follow the voting instructions in the Notice to ensure that your vote is counted. Beneficial owners may not vote through the meeting website unless they obtain a legal proxy and a control number as described under “How do I attend and participate in the Annual Meeting online?”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If I am a stockholder of record and I return a proxy card or otherwise vote without giving specific voting instructions, what happens?</w:t>
      </w:r>
    </w:p>
    <w:p>
      <w:pPr>
        <w:spacing w:after="0" w:line="5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your voting selections, your shares will be voted as recommended by the Board. Specifically, your shares will be voted, as applicable,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the nominees for Class I director,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Reverse Split Proposal,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Nasdaq Proposals,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Incentive Plan Amendment Proposal,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selection by the Audit Committee of the Board of CRI as independent registered public accounting firm of the Company for its fiscal year ending December 31, 2026. </w:t>
      </w:r>
      <w:r>
        <w:rPr>
          <w:rFonts w:ascii="Times New Roman" w:cs="Times New Roman" w:eastAsia="Times New Roman" w:hAnsi="Times New Roman"/>
          <w:sz w:val="17"/>
          <w:szCs w:val="17"/>
          <w:b w:val="1"/>
          <w:bCs w:val="1"/>
          <w:color w:val="auto"/>
        </w:rPr>
        <w:t>If any other matter is properly presented at the Annual Meeting,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including a proposal to postpone or adjourn the meeting, your proxy will vote your shares in accordance with his or her discretion. At present, the Board knows of no other business that is intended to be brought before or acted upon at the Annual Meeting.</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happens if I do not vote?</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are a stockholder of record and do not vote during the Annual Meeting, or through the Internet, by telephone or by completing your proxy card before the Annual Meeting, your shares will not be voted.</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Beneficial Owner: Shares Registered in the Name of a Broker or Bank</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Broker non-votes occur when shares held by a broker for a beneficial owner are not voted either because</w:t>
      </w:r>
    </w:p>
    <w:p>
      <w:pPr>
        <w:spacing w:after="0" w:line="32" w:lineRule="exact"/>
        <w:rPr>
          <w:sz w:val="20"/>
          <w:szCs w:val="20"/>
          <w:color w:val="auto"/>
        </w:rPr>
      </w:pPr>
    </w:p>
    <w:p>
      <w:pPr>
        <w:jc w:val="both"/>
        <w:ind w:left="580" w:right="579" w:hanging="6"/>
        <w:spacing w:after="0" w:line="263" w:lineRule="auto"/>
        <w:tabs>
          <w:tab w:leader="none" w:pos="78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broker did not receive voting instructions from the beneficial owner or (ii) the broker lacked discretionary authority to vote the shares. Abstentions represent a stockholder’s affirmative choice to decline to vote on a proposal and occur when shares present at the meeting are marked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Broker non-votes and abstentions are counted for purposes of determining whether a quorum is present.</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broker has discretionary authority to vote shares held for a beneficial owner on “routine” matters without instructions from the beneficial owner of those shares. Absent instructions from the beneficial owner of such shares, a broker is not entitled to vote shares held for a beneficial owner on “non-routine” matters.</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Proposal 1, the election of our Class I directors, is a non-routine matter, so your broker or nominee may not vote your shares on Proposal 1 without your instructions. Proposal 2, the ratification of the appointment of CRI as our independent registered public accounting firm for the fiscal year ending December 31, 2026, is a routine matter, so your broker or nominee may vote your shares on Proposal 2 even in the absence of your instruction. Proposals 3 – 7, the (i) Reverse Split Proposal, the (ii) Nasdaq Proposals, and (iii) the Incentive Plan Amendment Proposal, are all non-routine matters, so your broker or nominee may not vote your shares on Proposals 3 – 7 without your instructions. </w:t>
      </w:r>
      <w:r>
        <w:rPr>
          <w:rFonts w:ascii="Times New Roman" w:cs="Times New Roman" w:eastAsia="Times New Roman" w:hAnsi="Times New Roman"/>
          <w:sz w:val="17"/>
          <w:szCs w:val="17"/>
          <w:i w:val="1"/>
          <w:iCs w:val="1"/>
          <w:color w:val="auto"/>
        </w:rPr>
        <w:t>Please instruct your bank, broker, or other agent to ensure that your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vote will be counted.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participate and ask questions at the Annual Meeting?</w:t>
      </w:r>
    </w:p>
    <w:p>
      <w:pPr>
        <w:spacing w:after="0" w:line="134"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are committed to ensuring that our stockholders have the same opportunities to participate in the Annual Meeting as they would at an in-person meeting. To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ask questions during the Annual Meeting. We encourage you to ask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if another matter is properly brought before the meeting?</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each proposal?</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each item and how votes are counted.</w:t>
      </w:r>
    </w:p>
    <w:p>
      <w:pPr>
        <w:spacing w:after="0" w:line="1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b w:val="1"/>
          <w:bCs w:val="1"/>
          <w:color w:val="auto"/>
        </w:rPr>
        <w:t>Impact of</w:t>
      </w:r>
    </w:p>
    <w:p>
      <w:pPr>
        <w:spacing w:after="0" w:line="24" w:lineRule="exact"/>
        <w:rPr>
          <w:sz w:val="20"/>
          <w:szCs w:val="20"/>
          <w:color w:val="auto"/>
        </w:rPr>
      </w:pPr>
    </w:p>
    <w:p>
      <w:pPr>
        <w:ind w:left="6100"/>
        <w:spacing w:after="0"/>
        <w:tabs>
          <w:tab w:leader="none" w:pos="7560" w:val="left"/>
        </w:tabs>
        <w:rPr>
          <w:sz w:val="20"/>
          <w:szCs w:val="20"/>
          <w:color w:val="auto"/>
        </w:rPr>
      </w:pPr>
      <w:r>
        <w:rPr>
          <w:rFonts w:ascii="Times New Roman" w:cs="Times New Roman" w:eastAsia="Times New Roman" w:hAnsi="Times New Roman"/>
          <w:sz w:val="16"/>
          <w:szCs w:val="16"/>
          <w:b w:val="1"/>
          <w:bCs w:val="1"/>
          <w:color w:val="auto"/>
        </w:rPr>
        <w:t>“Withhold” or</w:t>
      </w:r>
      <w:r>
        <w:rPr>
          <w:sz w:val="20"/>
          <w:szCs w:val="20"/>
          <w:color w:val="auto"/>
        </w:rPr>
        <w:tab/>
      </w:r>
      <w:r>
        <w:rPr>
          <w:rFonts w:ascii="Times New Roman" w:cs="Times New Roman" w:eastAsia="Times New Roman" w:hAnsi="Times New Roman"/>
          <w:sz w:val="15"/>
          <w:szCs w:val="15"/>
          <w:b w:val="1"/>
          <w:bCs w:val="1"/>
          <w:color w:val="auto"/>
        </w:rPr>
        <w:t>Broker</w:t>
      </w:r>
    </w:p>
    <w:p>
      <w:pPr>
        <w:spacing w:after="0" w:line="12" w:lineRule="exact"/>
        <w:rPr>
          <w:sz w:val="20"/>
          <w:szCs w:val="20"/>
          <w:color w:val="auto"/>
        </w:rPr>
      </w:pPr>
    </w:p>
    <w:p>
      <w:pPr>
        <w:ind w:left="6280"/>
        <w:spacing w:after="0"/>
        <w:tabs>
          <w:tab w:leader="none" w:pos="7340" w:val="left"/>
        </w:tabs>
        <w:rPr>
          <w:sz w:val="20"/>
          <w:szCs w:val="20"/>
          <w:color w:val="auto"/>
        </w:rPr>
      </w:pPr>
      <w:r>
        <w:rPr>
          <w:rFonts w:ascii="Times New Roman" w:cs="Times New Roman" w:eastAsia="Times New Roman" w:hAnsi="Times New Roman"/>
          <w:sz w:val="16"/>
          <w:szCs w:val="16"/>
          <w:b w:val="1"/>
          <w:bCs w:val="1"/>
          <w:color w:val="auto"/>
        </w:rPr>
        <w:t>“Abstain”</w:t>
      </w:r>
      <w:r>
        <w:rPr>
          <w:sz w:val="20"/>
          <w:szCs w:val="20"/>
          <w:color w:val="auto"/>
        </w:rPr>
        <w:tab/>
      </w:r>
      <w:r>
        <w:rPr>
          <w:rFonts w:ascii="Times New Roman" w:cs="Times New Roman" w:eastAsia="Times New Roman" w:hAnsi="Times New Roman"/>
          <w:sz w:val="16"/>
          <w:szCs w:val="16"/>
          <w:b w:val="1"/>
          <w:bCs w:val="1"/>
          <w:color w:val="auto"/>
        </w:rPr>
        <w:t>Discretionary</w:t>
      </w:r>
    </w:p>
    <w:p>
      <w:pPr>
        <w:spacing w:after="0" w:line="12" w:lineRule="exact"/>
        <w:rPr>
          <w:sz w:val="20"/>
          <w:szCs w:val="20"/>
          <w:color w:val="auto"/>
        </w:rPr>
      </w:pPr>
    </w:p>
    <w:p>
      <w:pPr>
        <w:ind w:left="580"/>
        <w:spacing w:after="0"/>
        <w:tabs>
          <w:tab w:leader="none" w:pos="4120" w:val="left"/>
          <w:tab w:leader="none" w:pos="6420" w:val="left"/>
          <w:tab w:leader="none" w:pos="7300" w:val="left"/>
        </w:tabs>
        <w:rPr>
          <w:sz w:val="20"/>
          <w:szCs w:val="20"/>
          <w:color w:val="auto"/>
        </w:rPr>
      </w:pPr>
      <w:r>
        <w:rPr>
          <w:rFonts w:ascii="Times New Roman" w:cs="Times New Roman" w:eastAsia="Times New Roman" w:hAnsi="Times New Roman"/>
          <w:sz w:val="16"/>
          <w:szCs w:val="16"/>
          <w:b w:val="1"/>
          <w:bCs w:val="1"/>
          <w:color w:val="auto"/>
        </w:rPr>
        <w:t>Proposal</w:t>
      </w:r>
      <w:r>
        <w:rPr>
          <w:sz w:val="20"/>
          <w:szCs w:val="20"/>
          <w:color w:val="auto"/>
        </w:rPr>
        <w:tab/>
      </w:r>
      <w:r>
        <w:rPr>
          <w:rFonts w:ascii="Times New Roman" w:cs="Times New Roman" w:eastAsia="Times New Roman" w:hAnsi="Times New Roman"/>
          <w:sz w:val="16"/>
          <w:szCs w:val="16"/>
          <w:b w:val="1"/>
          <w:bCs w:val="1"/>
          <w:color w:val="auto"/>
        </w:rPr>
        <w:t>Votes Required</w:t>
      </w:r>
      <w:r>
        <w:rPr>
          <w:sz w:val="20"/>
          <w:szCs w:val="20"/>
          <w:color w:val="auto"/>
        </w:rPr>
        <w:tab/>
      </w:r>
      <w:r>
        <w:rPr>
          <w:rFonts w:ascii="Times New Roman" w:cs="Times New Roman" w:eastAsia="Times New Roman" w:hAnsi="Times New Roman"/>
          <w:sz w:val="16"/>
          <w:szCs w:val="16"/>
          <w:b w:val="1"/>
          <w:bCs w:val="1"/>
          <w:color w:val="auto"/>
        </w:rPr>
        <w:t>Votes</w:t>
      </w:r>
      <w:r>
        <w:rPr>
          <w:sz w:val="20"/>
          <w:szCs w:val="20"/>
          <w:color w:val="auto"/>
        </w:rPr>
        <w:tab/>
      </w:r>
      <w:r>
        <w:rPr>
          <w:rFonts w:ascii="Times New Roman" w:cs="Times New Roman" w:eastAsia="Times New Roman" w:hAnsi="Times New Roman"/>
          <w:sz w:val="15"/>
          <w:szCs w:val="15"/>
          <w:b w:val="1"/>
          <w:bCs w:val="1"/>
          <w:color w:val="auto"/>
        </w:rPr>
        <w:t>Voting Allowed</w:t>
      </w:r>
    </w:p>
    <w:p>
      <w:pPr>
        <w:sectPr>
          <w:pgSz w:w="11900" w:h="16838" w:orient="portrait"/>
          <w:cols w:equalWidth="0" w:num="1">
            <w:col w:w="9019"/>
          </w:cols>
          <w:pgMar w:left="1440" w:top="265" w:right="1440" w:bottom="1440" w:gutter="0" w:footer="0" w:header="0"/>
        </w:sectPr>
      </w:pP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1688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2" w:lineRule="exact"/>
        <w:rPr>
          <w:sz w:val="20"/>
          <w:szCs w:val="20"/>
          <w:color w:val="auto"/>
        </w:rPr>
      </w:pPr>
    </w:p>
    <w:p>
      <w:pPr>
        <w:ind w:left="580"/>
        <w:spacing w:after="0" w:line="265" w:lineRule="auto"/>
        <w:rPr>
          <w:sz w:val="20"/>
          <w:szCs w:val="20"/>
          <w:color w:val="auto"/>
        </w:rPr>
      </w:pPr>
      <w:r>
        <w:rPr>
          <w:rFonts w:ascii="Times New Roman" w:cs="Times New Roman" w:eastAsia="Times New Roman" w:hAnsi="Times New Roman"/>
          <w:sz w:val="17"/>
          <w:szCs w:val="17"/>
          <w:color w:val="auto"/>
        </w:rPr>
        <w:t>Elect the Class I director to hold office until the 2029 annual meeting of stockholders.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84"/>
        </w:trPr>
        <w:tc>
          <w:tcPr>
            <w:tcW w:w="3920" w:type="dxa"/>
            <w:vAlign w:val="bottom"/>
            <w:gridSpan w:val="4"/>
          </w:tcPr>
          <w:p>
            <w:pPr>
              <w:spacing w:after="0" w:line="184" w:lineRule="exact"/>
              <w:rPr>
                <w:sz w:val="20"/>
                <w:szCs w:val="20"/>
                <w:color w:val="auto"/>
              </w:rPr>
            </w:pPr>
            <w:r>
              <w:rPr>
                <w:rFonts w:ascii="Times New Roman" w:cs="Times New Roman" w:eastAsia="Times New Roman" w:hAnsi="Times New Roman"/>
                <w:sz w:val="17"/>
                <w:szCs w:val="17"/>
                <w:color w:val="auto"/>
              </w:rPr>
              <w:t>The plurality of the votes of shares of None</w:t>
            </w:r>
            <w:r>
              <w:rPr>
                <w:rFonts w:ascii="Times New Roman" w:cs="Times New Roman" w:eastAsia="Times New Roman" w:hAnsi="Times New Roman"/>
                <w:sz w:val="20"/>
                <w:szCs w:val="20"/>
                <w:color w:val="auto"/>
                <w:vertAlign w:val="superscript"/>
              </w:rPr>
              <w:t>(1)</w:t>
            </w:r>
          </w:p>
        </w:tc>
        <w:tc>
          <w:tcPr>
            <w:tcW w:w="1200" w:type="dxa"/>
            <w:vAlign w:val="bottom"/>
          </w:tcPr>
          <w:p>
            <w:pPr>
              <w:spacing w:after="0" w:line="185" w:lineRule="exact"/>
              <w:rPr>
                <w:sz w:val="20"/>
                <w:szCs w:val="20"/>
                <w:color w:val="auto"/>
              </w:rPr>
            </w:pPr>
            <w:r>
              <w:rPr>
                <w:rFonts w:ascii="Times New Roman" w:cs="Times New Roman" w:eastAsia="Times New Roman" w:hAnsi="Times New Roman"/>
                <w:sz w:val="21"/>
                <w:szCs w:val="21"/>
                <w:color w:val="auto"/>
                <w:vertAlign w:val="subscript"/>
              </w:rPr>
              <w:t>No</w:t>
            </w:r>
            <w:r>
              <w:rPr>
                <w:rFonts w:ascii="Times New Roman" w:cs="Times New Roman" w:eastAsia="Times New Roman" w:hAnsi="Times New Roman"/>
                <w:sz w:val="9"/>
                <w:szCs w:val="9"/>
                <w:color w:val="auto"/>
              </w:rPr>
              <w:t>(5)</w:t>
            </w:r>
          </w:p>
        </w:tc>
      </w:tr>
      <w:tr>
        <w:trPr>
          <w:trHeight w:val="210"/>
        </w:trPr>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voting   power   present   or</w:t>
            </w:r>
          </w:p>
        </w:tc>
        <w:tc>
          <w:tcPr>
            <w:tcW w:w="1200" w:type="dxa"/>
            <w:vAlign w:val="bottom"/>
          </w:tcPr>
          <w:p>
            <w:pPr>
              <w:spacing w:after="0"/>
              <w:rPr>
                <w:sz w:val="18"/>
                <w:szCs w:val="18"/>
                <w:color w:val="auto"/>
              </w:rPr>
            </w:pPr>
          </w:p>
        </w:tc>
      </w:tr>
      <w:tr>
        <w:trPr>
          <w:trHeight w:val="210"/>
        </w:trPr>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represented by proxy. This means that</w:t>
            </w:r>
          </w:p>
        </w:tc>
        <w:tc>
          <w:tcPr>
            <w:tcW w:w="1200" w:type="dxa"/>
            <w:vAlign w:val="bottom"/>
          </w:tcPr>
          <w:p>
            <w:pPr>
              <w:spacing w:after="0"/>
              <w:rPr>
                <w:sz w:val="18"/>
                <w:szCs w:val="18"/>
                <w:color w:val="auto"/>
              </w:rPr>
            </w:pPr>
          </w:p>
        </w:tc>
      </w:tr>
      <w:tr>
        <w:trPr>
          <w:trHeight w:val="210"/>
        </w:trPr>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nominees receiving the highest</w:t>
            </w:r>
          </w:p>
        </w:tc>
        <w:tc>
          <w:tcPr>
            <w:tcW w:w="1200" w:type="dxa"/>
            <w:vAlign w:val="bottom"/>
          </w:tcPr>
          <w:p>
            <w:pPr>
              <w:spacing w:after="0"/>
              <w:rPr>
                <w:sz w:val="18"/>
                <w:szCs w:val="18"/>
                <w:color w:val="auto"/>
              </w:rPr>
            </w:pPr>
          </w:p>
        </w:tc>
      </w:tr>
      <w:tr>
        <w:trPr>
          <w:trHeight w:val="210"/>
        </w:trPr>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number of affirmative “FOR” votes</w:t>
            </w:r>
          </w:p>
        </w:tc>
        <w:tc>
          <w:tcPr>
            <w:tcW w:w="1200" w:type="dxa"/>
            <w:vAlign w:val="bottom"/>
          </w:tcPr>
          <w:p>
            <w:pPr>
              <w:spacing w:after="0"/>
              <w:rPr>
                <w:sz w:val="18"/>
                <w:szCs w:val="18"/>
                <w:color w:val="auto"/>
              </w:rPr>
            </w:pPr>
          </w:p>
        </w:tc>
      </w:tr>
      <w:tr>
        <w:trPr>
          <w:trHeight w:val="228"/>
        </w:trPr>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will be elected.</w:t>
            </w:r>
          </w:p>
        </w:tc>
        <w:tc>
          <w:tcPr>
            <w:tcW w:w="1200" w:type="dxa"/>
            <w:vAlign w:val="bottom"/>
          </w:tcPr>
          <w:p>
            <w:pPr>
              <w:spacing w:after="0"/>
              <w:rPr>
                <w:sz w:val="19"/>
                <w:szCs w:val="19"/>
                <w:color w:val="auto"/>
              </w:rPr>
            </w:pPr>
          </w:p>
        </w:tc>
      </w:tr>
    </w:tbl>
    <w:p>
      <w:pPr>
        <w:spacing w:after="0" w:line="152" w:lineRule="exact"/>
        <w:rPr>
          <w:sz w:val="20"/>
          <w:szCs w:val="20"/>
          <w:color w:val="auto"/>
        </w:rPr>
      </w:pPr>
    </w:p>
    <w:p>
      <w:pPr>
        <w:sectPr>
          <w:pgSz w:w="11900" w:h="16838" w:orient="portrait"/>
          <w:cols w:equalWidth="0" w:num="2">
            <w:col w:w="3100" w:space="220"/>
            <w:col w:w="56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2</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line="257" w:lineRule="auto"/>
        <w:rPr>
          <w:sz w:val="20"/>
          <w:szCs w:val="20"/>
          <w:color w:val="auto"/>
        </w:rPr>
      </w:pPr>
      <w:r>
        <w:rPr>
          <w:rFonts w:ascii="Times New Roman" w:cs="Times New Roman" w:eastAsia="Times New Roman" w:hAnsi="Times New Roman"/>
          <w:sz w:val="17"/>
          <w:szCs w:val="17"/>
          <w:color w:val="auto"/>
        </w:rPr>
        <w:t>Ratification of Carr, Riggs &amp; Ingram, LLC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affirmative vote of the holders of Will count as a Yes</w:t>
      </w:r>
      <w:r>
        <w:rPr>
          <w:rFonts w:ascii="Times New Roman" w:cs="Times New Roman" w:eastAsia="Times New Roman" w:hAnsi="Times New Roman"/>
          <w:sz w:val="20"/>
          <w:szCs w:val="20"/>
          <w:color w:val="auto"/>
          <w:vertAlign w:val="superscript"/>
        </w:rPr>
        <w:t>(4)</w:t>
      </w:r>
    </w:p>
    <w:p>
      <w:pPr>
        <w:spacing w:after="0"/>
        <w:rPr>
          <w:sz w:val="20"/>
          <w:szCs w:val="20"/>
          <w:color w:val="auto"/>
        </w:rPr>
      </w:pPr>
      <w:r>
        <w:rPr>
          <w:rFonts w:ascii="Times New Roman" w:cs="Times New Roman" w:eastAsia="Times New Roman" w:hAnsi="Times New Roman"/>
          <w:sz w:val="17"/>
          <w:szCs w:val="17"/>
          <w:color w:val="auto"/>
        </w:rPr>
        <w:t>a majority of shares of the voting vote</w:t>
      </w:r>
    </w:p>
    <w:p>
      <w:pPr>
        <w:spacing w:after="0" w:line="233" w:lineRule="auto"/>
        <w:tabs>
          <w:tab w:leader="none" w:pos="560" w:val="left"/>
          <w:tab w:leader="none" w:pos="1220" w:val="left"/>
          <w:tab w:leader="none" w:pos="1520" w:val="left"/>
          <w:tab w:leader="none" w:pos="2460" w:val="left"/>
        </w:tabs>
        <w:rPr>
          <w:sz w:val="20"/>
          <w:szCs w:val="20"/>
          <w:color w:val="auto"/>
        </w:rPr>
      </w:pPr>
      <w:r>
        <w:rPr>
          <w:rFonts w:ascii="Times New Roman" w:cs="Times New Roman" w:eastAsia="Times New Roman" w:hAnsi="Times New Roman"/>
          <w:sz w:val="17"/>
          <w:szCs w:val="17"/>
          <w:color w:val="auto"/>
        </w:rPr>
        <w:t>power</w:t>
        <w:tab/>
        <w:t>present</w:t>
        <w:tab/>
        <w:t>or</w:t>
        <w:tab/>
        <w:t>represented</w:t>
        <w:tab/>
        <w:t>by “against”</w:t>
      </w:r>
      <w:r>
        <w:rPr>
          <w:rFonts w:ascii="Times New Roman" w:cs="Times New Roman" w:eastAsia="Times New Roman" w:hAnsi="Times New Roman"/>
          <w:sz w:val="20"/>
          <w:szCs w:val="20"/>
          <w:color w:val="auto"/>
          <w:vertAlign w:val="superscript"/>
        </w:rPr>
        <w:t>(3)</w:t>
      </w:r>
    </w:p>
    <w:p>
      <w:pPr>
        <w:spacing w:after="0"/>
        <w:rPr>
          <w:sz w:val="20"/>
          <w:szCs w:val="20"/>
          <w:color w:val="auto"/>
        </w:rPr>
      </w:pPr>
      <w:r>
        <w:rPr>
          <w:rFonts w:ascii="Times New Roman" w:cs="Times New Roman" w:eastAsia="Times New Roman" w:hAnsi="Times New Roman"/>
          <w:sz w:val="17"/>
          <w:szCs w:val="17"/>
          <w:color w:val="auto"/>
        </w:rPr>
        <w:t>proxy.</w:t>
      </w:r>
    </w:p>
    <w:p>
      <w:pPr>
        <w:spacing w:after="0" w:line="221" w:lineRule="exact"/>
        <w:rPr>
          <w:sz w:val="20"/>
          <w:szCs w:val="20"/>
          <w:color w:val="auto"/>
        </w:rPr>
      </w:pPr>
    </w:p>
    <w:p>
      <w:pPr>
        <w:sectPr>
          <w:pgSz w:w="11900" w:h="16838" w:orient="portrait"/>
          <w:cols w:equalWidth="0" w:num="2">
            <w:col w:w="3200" w:space="120"/>
            <w:col w:w="5699"/>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355"/>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 No. 3:</w:t>
            </w: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affirmative vote of a majority of None</w:t>
            </w:r>
            <w:r>
              <w:rPr>
                <w:rFonts w:ascii="Times New Roman" w:cs="Times New Roman" w:eastAsia="Times New Roman" w:hAnsi="Times New Roman"/>
                <w:sz w:val="20"/>
                <w:szCs w:val="20"/>
                <w:color w:val="auto"/>
                <w:vertAlign w:val="superscript"/>
              </w:rPr>
              <w:t>(5)</w:t>
            </w:r>
          </w:p>
        </w:tc>
        <w:tc>
          <w:tcPr>
            <w:tcW w:w="680" w:type="dxa"/>
            <w:vAlign w:val="bottom"/>
          </w:tcPr>
          <w:p>
            <w:pPr>
              <w:ind w:left="340"/>
              <w:spacing w:after="0" w:line="354" w:lineRule="exact"/>
              <w:rPr>
                <w:sz w:val="20"/>
                <w:szCs w:val="20"/>
                <w:color w:val="auto"/>
              </w:rPr>
            </w:pPr>
            <w:r>
              <w:rPr>
                <w:rFonts w:ascii="Times New Roman" w:cs="Times New Roman" w:eastAsia="Times New Roman" w:hAnsi="Times New Roman"/>
                <w:sz w:val="34"/>
                <w:szCs w:val="34"/>
                <w:color w:val="auto"/>
                <w:w w:val="81"/>
                <w:vertAlign w:val="subscript"/>
              </w:rPr>
              <w:t>No</w:t>
            </w:r>
            <w:r>
              <w:rPr>
                <w:rFonts w:ascii="Times New Roman" w:cs="Times New Roman" w:eastAsia="Times New Roman" w:hAnsi="Times New Roman"/>
                <w:sz w:val="10"/>
                <w:szCs w:val="10"/>
                <w:color w:val="auto"/>
                <w:w w:val="81"/>
              </w:rPr>
              <w:t>(2)</w:t>
            </w:r>
          </w:p>
        </w:tc>
      </w:tr>
      <w:tr>
        <w:trPr>
          <w:trHeight w:val="20"/>
        </w:trPr>
        <w:tc>
          <w:tcPr>
            <w:tcW w:w="10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Reverse Split Proposal.</w:t>
            </w: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votes cast by the holders entitled</w:t>
            </w:r>
          </w:p>
        </w:tc>
        <w:tc>
          <w:tcPr>
            <w:tcW w:w="68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 vote thereon. This means that the</w:t>
            </w:r>
          </w:p>
        </w:tc>
        <w:tc>
          <w:tcPr>
            <w:tcW w:w="68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Reverse  Split  Proposal  will  be</w:t>
            </w:r>
          </w:p>
        </w:tc>
        <w:tc>
          <w:tcPr>
            <w:tcW w:w="68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approved if the votes cast “FOR” the</w:t>
            </w:r>
          </w:p>
        </w:tc>
        <w:tc>
          <w:tcPr>
            <w:tcW w:w="68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proposal  exceed  the  votes  cast</w:t>
            </w:r>
          </w:p>
        </w:tc>
        <w:tc>
          <w:tcPr>
            <w:tcW w:w="680" w:type="dxa"/>
            <w:vAlign w:val="bottom"/>
          </w:tcPr>
          <w:p>
            <w:pPr>
              <w:spacing w:after="0"/>
              <w:rPr>
                <w:sz w:val="18"/>
                <w:szCs w:val="18"/>
                <w:color w:val="auto"/>
              </w:rPr>
            </w:pPr>
          </w:p>
        </w:tc>
      </w:tr>
      <w:tr>
        <w:trPr>
          <w:trHeight w:val="228"/>
        </w:trPr>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“AGAINST” the proposal.</w:t>
            </w:r>
          </w:p>
        </w:tc>
        <w:tc>
          <w:tcPr>
            <w:tcW w:w="68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4</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Nasdaq Service Proposal.</w:t>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5</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Nasdaq Conversion Proposal.</w:t>
      </w:r>
    </w:p>
    <w:p>
      <w:pPr>
        <w:spacing w:after="0" w:line="200" w:lineRule="exact"/>
        <w:rPr>
          <w:sz w:val="20"/>
          <w:szCs w:val="20"/>
          <w:color w:val="auto"/>
        </w:rPr>
      </w:pP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6</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Nasdaq 20% Proposal.</w:t>
      </w:r>
    </w:p>
    <w:p>
      <w:pPr>
        <w:spacing w:after="0" w:line="200" w:lineRule="exact"/>
        <w:rPr>
          <w:sz w:val="20"/>
          <w:szCs w:val="20"/>
          <w:color w:val="auto"/>
        </w:rPr>
      </w:pP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Proposal No. 7</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580" w:right="160"/>
        <w:spacing w:after="0" w:line="274" w:lineRule="auto"/>
        <w:rPr>
          <w:sz w:val="20"/>
          <w:szCs w:val="20"/>
          <w:color w:val="auto"/>
        </w:rPr>
      </w:pPr>
      <w:r>
        <w:rPr>
          <w:rFonts w:ascii="Times New Roman" w:cs="Times New Roman" w:eastAsia="Times New Roman" w:hAnsi="Times New Roman"/>
          <w:sz w:val="17"/>
          <w:szCs w:val="17"/>
          <w:color w:val="auto"/>
        </w:rPr>
        <w:t>The Incentive Plan Amendment Proposal.</w:t>
      </w:r>
    </w:p>
    <w:p>
      <w:pPr>
        <w:spacing w:after="0" w:line="200" w:lineRule="exact"/>
        <w:rPr>
          <w:sz w:val="20"/>
          <w:szCs w:val="20"/>
          <w:color w:val="auto"/>
        </w:rPr>
      </w:pP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5"/>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The affirmative vote of the holders of</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None</w:t>
            </w:r>
          </w:p>
        </w:tc>
        <w:tc>
          <w:tcPr>
            <w:tcW w:w="740" w:type="dxa"/>
            <w:vAlign w:val="bottom"/>
          </w:tcPr>
          <w:p>
            <w:pPr>
              <w:ind w:left="400"/>
              <w:spacing w:after="0" w:line="375" w:lineRule="exact"/>
              <w:rPr>
                <w:sz w:val="20"/>
                <w:szCs w:val="20"/>
                <w:color w:val="auto"/>
              </w:rPr>
            </w:pPr>
            <w:r>
              <w:rPr>
                <w:rFonts w:ascii="Times New Roman" w:cs="Times New Roman" w:eastAsia="Times New Roman" w:hAnsi="Times New Roman"/>
                <w:sz w:val="34"/>
                <w:szCs w:val="34"/>
                <w:color w:val="auto"/>
                <w:w w:val="81"/>
                <w:vertAlign w:val="subscript"/>
              </w:rPr>
              <w:t>No</w:t>
            </w:r>
            <w:r>
              <w:rPr>
                <w:rFonts w:ascii="Times New Roman" w:cs="Times New Roman" w:eastAsia="Times New Roman" w:hAnsi="Times New Roman"/>
                <w:sz w:val="10"/>
                <w:szCs w:val="10"/>
                <w:color w:val="auto"/>
                <w:w w:val="81"/>
              </w:rPr>
              <w:t>(2)</w:t>
            </w: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a majority of shares of the voting</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power  present  or  represented  by</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proxy.</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5"/>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The affirmative vote of the holders of</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None</w:t>
            </w:r>
          </w:p>
        </w:tc>
        <w:tc>
          <w:tcPr>
            <w:tcW w:w="740" w:type="dxa"/>
            <w:vAlign w:val="bottom"/>
          </w:tcPr>
          <w:p>
            <w:pPr>
              <w:ind w:left="400"/>
              <w:spacing w:after="0" w:line="375" w:lineRule="exact"/>
              <w:rPr>
                <w:sz w:val="20"/>
                <w:szCs w:val="20"/>
                <w:color w:val="auto"/>
              </w:rPr>
            </w:pPr>
            <w:r>
              <w:rPr>
                <w:rFonts w:ascii="Times New Roman" w:cs="Times New Roman" w:eastAsia="Times New Roman" w:hAnsi="Times New Roman"/>
                <w:sz w:val="34"/>
                <w:szCs w:val="34"/>
                <w:color w:val="auto"/>
                <w:w w:val="81"/>
                <w:vertAlign w:val="subscript"/>
              </w:rPr>
              <w:t>No</w:t>
            </w:r>
            <w:r>
              <w:rPr>
                <w:rFonts w:ascii="Times New Roman" w:cs="Times New Roman" w:eastAsia="Times New Roman" w:hAnsi="Times New Roman"/>
                <w:sz w:val="10"/>
                <w:szCs w:val="10"/>
                <w:color w:val="auto"/>
                <w:w w:val="81"/>
              </w:rPr>
              <w:t>(2)</w:t>
            </w: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a majority of shares of the voting</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power  present  or  represented  by</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proxy.</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5"/>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The affirmative vote of the holders of</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None</w:t>
            </w:r>
          </w:p>
        </w:tc>
        <w:tc>
          <w:tcPr>
            <w:tcW w:w="740" w:type="dxa"/>
            <w:vAlign w:val="bottom"/>
          </w:tcPr>
          <w:p>
            <w:pPr>
              <w:ind w:left="400"/>
              <w:spacing w:after="0" w:line="375" w:lineRule="exact"/>
              <w:rPr>
                <w:sz w:val="20"/>
                <w:szCs w:val="20"/>
                <w:color w:val="auto"/>
              </w:rPr>
            </w:pPr>
            <w:r>
              <w:rPr>
                <w:rFonts w:ascii="Times New Roman" w:cs="Times New Roman" w:eastAsia="Times New Roman" w:hAnsi="Times New Roman"/>
                <w:sz w:val="34"/>
                <w:szCs w:val="34"/>
                <w:color w:val="auto"/>
                <w:w w:val="81"/>
                <w:vertAlign w:val="subscript"/>
              </w:rPr>
              <w:t>No</w:t>
            </w:r>
            <w:r>
              <w:rPr>
                <w:rFonts w:ascii="Times New Roman" w:cs="Times New Roman" w:eastAsia="Times New Roman" w:hAnsi="Times New Roman"/>
                <w:sz w:val="10"/>
                <w:szCs w:val="10"/>
                <w:color w:val="auto"/>
                <w:w w:val="81"/>
              </w:rPr>
              <w:t>(2)</w:t>
            </w: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a majority of shares of the voting</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power  present  or  represented  by</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proxy.</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75"/>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The affirmative vote of the holders of</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None</w:t>
            </w:r>
          </w:p>
        </w:tc>
        <w:tc>
          <w:tcPr>
            <w:tcW w:w="7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No</w:t>
            </w: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a majority of shares of the voting</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power  present  or  represented  by</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proxy.</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366" w:lineRule="exact"/>
        <w:rPr>
          <w:sz w:val="20"/>
          <w:szCs w:val="20"/>
          <w:color w:val="auto"/>
        </w:rPr>
      </w:pPr>
    </w:p>
    <w:p>
      <w:pPr>
        <w:sectPr>
          <w:pgSz w:w="11900" w:h="16838" w:orient="portrait"/>
          <w:cols w:equalWidth="0" w:num="2">
            <w:col w:w="2960" w:space="360"/>
            <w:col w:w="5699"/>
          </w:cols>
          <w:pgMar w:left="1440" w:top="265" w:right="1440" w:bottom="1440" w:gutter="0" w:footer="0" w:header="0"/>
          <w:type w:val="continuous"/>
        </w:sectPr>
      </w:pPr>
    </w:p>
    <w:p>
      <w:pPr>
        <w:ind w:left="1000" w:right="599" w:hanging="426"/>
        <w:spacing w:after="0" w:line="262"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Votes that are “withheld” will have the same effect as an abstention and will not count as a vote “FOR” or “AGAINST” a director, because directors are elected by plurality voting.</w:t>
      </w:r>
    </w:p>
    <w:p>
      <w:pPr>
        <w:jc w:val="both"/>
        <w:ind w:left="1000" w:right="579" w:hanging="426"/>
        <w:spacing w:after="0" w:line="256"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Abstentions will not be included in the numerator (since they are not affirmative votes) but will be included in the denominator (since they are shares “entitled to vote”). Therefore, abstentions will have the same effect as a vote “against” the proposal.</w:t>
      </w:r>
    </w:p>
    <w:p>
      <w:pPr>
        <w:ind w:left="1000" w:right="599" w:hanging="426"/>
        <w:spacing w:after="0" w:line="256"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considered a discretionary matter, brokers are permitted to exercise their discretion to vote uninstructed shares on this proposal.</w:t>
      </w:r>
    </w:p>
    <w:p>
      <w:pPr>
        <w:ind w:left="1000" w:right="599" w:hanging="426"/>
        <w:spacing w:after="0" w:line="272"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Abstentions, and in the case of the Election of Directors proposal, “broker non-votes” are not counted as votes cast and will have no effect on the vote on this proposal.</w:t>
      </w:r>
    </w:p>
    <w:p>
      <w:pPr>
        <w:sectPr>
          <w:pgSz w:w="11900" w:h="16838" w:orient="portrait"/>
          <w:cols w:equalWidth="0" w:num="1">
            <w:col w:w="9019"/>
          </w:cols>
          <w:pgMar w:left="1440" w:top="265" w:right="1440" w:bottom="1440" w:gutter="0" w:footer="0" w:header="0"/>
          <w:type w:val="continuous"/>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my vote or revoke my proxy after I have already voted or given my proxy?</w:t>
      </w:r>
    </w:p>
    <w:p>
      <w:pPr>
        <w:spacing w:after="0" w:line="147"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Yes. If you are a stockholder of record, you may change your vote or revoke your proxy at any time before the proxy is voted at the Annual Meeting. To change your vote, you may:</w:t>
      </w:r>
    </w:p>
    <w:p>
      <w:pPr>
        <w:spacing w:after="0" w:line="81" w:lineRule="exact"/>
        <w:rPr>
          <w:sz w:val="20"/>
          <w:szCs w:val="20"/>
          <w:color w:val="auto"/>
        </w:rPr>
      </w:pPr>
    </w:p>
    <w:p>
      <w:pPr>
        <w:ind w:left="1420" w:right="599" w:hanging="426"/>
        <w:spacing w:after="0" w:line="29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 a written notice “revoking” your earlier vote to our Corporate Secretary at 2 Shaker Road Suite E213, Shirley, MA 01464;</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another properly completed and signed proxy card with a later date;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 subsequent proxy by telephone or through the Internet;</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attend and vote virtually during the Annual Meeting. Simply attending the Annual Meeting will not, by itself, revoke your proxy.</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Your last dated proxy, properly completed and timely received prior to, or vote cast at, the Annual Meeting will be counted.</w:t>
      </w:r>
    </w:p>
    <w:p>
      <w:pPr>
        <w:spacing w:after="0" w:line="6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 xml:space="preserve">If you own your shares in </w:t>
      </w:r>
      <w:r>
        <w:rPr>
          <w:rFonts w:ascii="Times New Roman" w:cs="Times New Roman" w:eastAsia="Times New Roman" w:hAnsi="Times New Roman"/>
          <w:sz w:val="17"/>
          <w:szCs w:val="17"/>
          <w:i w:val="1"/>
          <w:iCs w:val="1"/>
          <w:color w:val="auto"/>
        </w:rPr>
        <w:t>street name</w:t>
      </w:r>
      <w:r>
        <w:rPr>
          <w:rFonts w:ascii="Times New Roman" w:cs="Times New Roman" w:eastAsia="Times New Roman" w:hAnsi="Times New Roman"/>
          <w:sz w:val="17"/>
          <w:szCs w:val="17"/>
          <w:color w:val="auto"/>
        </w:rPr>
        <w:t>, please contact your broker or other intermediary for instructions on changing your vote or revoking your proxy.</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Each holder of Common Stock will have the right to one vote per share of Common Stock.</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Continental has been engaged as our independent agent to tabulate stockholder votes and act as Inspector of Election for the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Is voting confidential?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Proxy instructions, ballots and voting tabulations that identify individual stockholders are handled in a manner that protects your voting privacy. Your vote will not be disclosed either within the Company or to third parties, except:</w:t>
      </w:r>
    </w:p>
    <w:p>
      <w:pPr>
        <w:spacing w:after="0" w:line="98"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necessary to meet applicable legal requirements;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allow for the tabulation and certification of votes;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facilitate a successful proxy solicitation.</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Occasionally, stockholders provide written comments on their proxy cards, which may be forwarded to the Company’s management and the Board.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happens if the Annual Meeting is adjourned or postponed?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Your proxy will still be effective and will be voted at the adjourned or postponed Annual Meeting. You will still be able to change or revoke your proxy until it is voted, provided such new proxy or revocation is properly completed and timely received.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find the results of the Annual Meeting?</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expect that preliminary voting results will be announced during the Annual Meeting. In addition, final voting results will be published in a current report on Form 8-K that we expect to file within four business days after the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paying for this proxy solicitation?</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We will pay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When are stockholder proposals due for next year’s annual meeting?</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Requirements for stockholder proposals to be brought before the 2027 annual meeting.</w:t>
      </w:r>
    </w:p>
    <w:p>
      <w:pPr>
        <w:spacing w:after="0" w:line="147" w:lineRule="exact"/>
        <w:rPr>
          <w:sz w:val="20"/>
          <w:szCs w:val="20"/>
          <w:color w:val="auto"/>
        </w:rPr>
      </w:pPr>
    </w:p>
    <w:p>
      <w:pPr>
        <w:jc w:val="both"/>
        <w:ind w:left="580" w:right="579" w:firstLine="419"/>
        <w:spacing w:after="0" w:line="252" w:lineRule="auto"/>
        <w:rPr>
          <w:sz w:val="20"/>
          <w:szCs w:val="20"/>
          <w:color w:val="auto"/>
        </w:rPr>
      </w:pPr>
      <w:r>
        <w:rPr>
          <w:rFonts w:ascii="Times New Roman" w:cs="Times New Roman" w:eastAsia="Times New Roman" w:hAnsi="Times New Roman"/>
          <w:sz w:val="17"/>
          <w:szCs w:val="17"/>
          <w:color w:val="auto"/>
        </w:rPr>
        <w:t>Our bylaws provide that, for stockholder proposals submitted pursuant to Rule 14a-8 under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(other than director nominations) to be considered at an annual meeting, the stockholder must give timely notice thereof in writing to our Corporate Secretary. This notice may be delivered to us via email at ir@daic.ai or via mail at 2 Shaker Road Suite E213, Shirley, MA 01464. To be timely for the 2027 annual meeting of stockholders, a stockholder’s notice must be delivered to or mailed and received by our Corporate Secretary at our principal executive offices between December 31, 2026 and January 30, 2027; provided that if the date of that annual meeting of stockholders is not within 30 days before or after such anniversary date, you must give the required notice not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meeting date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meeting date or, if later,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disclosure of that meeting date is first made. A stockholder’s notice to the Corporate Secretary must also set forth the information required by our bylaws.</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Stockholder Solicitation of Proxies in Support of Director Nominees Other Than Company Nominees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both"/>
        <w:ind w:left="580" w:right="579" w:firstLine="419"/>
        <w:spacing w:after="0" w:line="251" w:lineRule="auto"/>
        <w:rPr>
          <w:sz w:val="20"/>
          <w:szCs w:val="20"/>
          <w:color w:val="auto"/>
        </w:rPr>
      </w:pPr>
      <w:r>
        <w:rPr>
          <w:rFonts w:ascii="Times New Roman" w:cs="Times New Roman" w:eastAsia="Times New Roman" w:hAnsi="Times New Roman"/>
          <w:sz w:val="17"/>
          <w:szCs w:val="17"/>
          <w:color w:val="auto"/>
        </w:rPr>
        <w:t>In addition, to comply with Rule 14a-19 under the Exchange Act, the SEC’s universal proxy rule, if a stockholder intends to solicit proxies in support of director nominees submitted under the advance notice provisions of our bylaws for next year’s annual meeting of stockholders, then such stockholder must provide proper written notice that sets forth all the information required by Rule 14a-19 under the Exchange Act to our Corporate Secretary via email at ir@daic.ai or via mail at 2 Shaker Road Suite E213, Shirley, MA 01464 between December 31, 2026 and January 30, 2027; provided that if the date of that annual meeting of stockholders is not within 30 days before or after such anniversary date, you must give the required notice not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meeting date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meeting date or, if later,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disclosure of that meeting date is first made. The notice requirements under Rule 14a-19 are in addition to the applicable advance notice requirements under our bylaws as therein.</w:t>
      </w:r>
    </w:p>
    <w:p>
      <w:pPr>
        <w:spacing w:after="0" w:line="3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If you receive more than one Notice, your shares may be registered in more than one name or in different accounts. Please follow the instructions on each Notice to ensure that all your shares are voted.</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What does it mean if multiple members of my household are stockholders, but we only received one Notice or full set of proxy materials in the mail?</w:t>
      </w:r>
    </w:p>
    <w:p>
      <w:pPr>
        <w:spacing w:after="0" w:line="7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or you would like to revoke your consent to future “householding” mailings, please contact your broker, bank, or other agent or contact us at the following address: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CID Holdco,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5661 S Cameron St,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Suite 100 Las Vegas,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Nevada 89118</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implications of being an “emerging growth company”?</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including</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the completion of ShoulderUp Technology Acquisition Corp, a Delaware corporation’s (“</w:t>
      </w:r>
      <w:r>
        <w:rPr>
          <w:rFonts w:ascii="Times New Roman" w:cs="Times New Roman" w:eastAsia="Times New Roman" w:hAnsi="Times New Roman"/>
          <w:sz w:val="17"/>
          <w:szCs w:val="17"/>
          <w:b w:val="1"/>
          <w:bCs w:val="1"/>
          <w:i w:val="1"/>
          <w:iCs w:val="1"/>
          <w:color w:val="auto"/>
        </w:rPr>
        <w:t>SUAC</w:t>
      </w:r>
      <w:r>
        <w:rPr>
          <w:rFonts w:ascii="Times New Roman" w:cs="Times New Roman" w:eastAsia="Times New Roman" w:hAnsi="Times New Roman"/>
          <w:sz w:val="17"/>
          <w:szCs w:val="17"/>
          <w:color w:val="auto"/>
        </w:rPr>
        <w:t>”) initial public offering, (ii) the last day of the first fiscal year in which our annual gross revenue is $1.235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15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CID Holdco,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CID Holdco</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CID</w:t>
      </w:r>
      <w:r>
        <w:rPr>
          <w:rFonts w:ascii="Times New Roman" w:cs="Times New Roman" w:eastAsia="Times New Roman" w:hAnsi="Times New Roman"/>
          <w:sz w:val="17"/>
          <w:szCs w:val="17"/>
          <w:color w:val="auto"/>
        </w:rPr>
        <w:t>”), formerly known as SEE ID Inc., dba Dot AI (the “</w:t>
      </w:r>
      <w:r>
        <w:rPr>
          <w:rFonts w:ascii="Times New Roman" w:cs="Times New Roman" w:eastAsia="Times New Roman" w:hAnsi="Times New Roman"/>
          <w:sz w:val="17"/>
          <w:szCs w:val="17"/>
          <w:b w:val="1"/>
          <w:bCs w:val="1"/>
          <w:i w:val="1"/>
          <w:iCs w:val="1"/>
          <w:color w:val="auto"/>
        </w:rPr>
        <w:t>Legacy 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SEE ID</w:t>
      </w:r>
      <w:r>
        <w:rPr>
          <w:rFonts w:ascii="Times New Roman" w:cs="Times New Roman" w:eastAsia="Times New Roman" w:hAnsi="Times New Roman"/>
          <w:sz w:val="17"/>
          <w:szCs w:val="17"/>
          <w:color w:val="auto"/>
        </w:rPr>
        <w:t>”),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93"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DFM capability is built around our CTO in Worcester, MA and our core software team is in Bangalore, India.</w:t>
      </w:r>
    </w:p>
    <w:p>
      <w:pPr>
        <w:spacing w:after="0" w:line="31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June 18, 2025, we consummated the Business Combination contemplated by a Business Combination Agreement dated March 18, 2024 (the “</w:t>
      </w:r>
      <w:r>
        <w:rPr>
          <w:rFonts w:ascii="Times New Roman" w:cs="Times New Roman" w:eastAsia="Times New Roman" w:hAnsi="Times New Roman"/>
          <w:sz w:val="17"/>
          <w:szCs w:val="17"/>
          <w:b w:val="1"/>
          <w:bCs w:val="1"/>
          <w:i w:val="1"/>
          <w:iCs w:val="1"/>
          <w:color w:val="auto"/>
        </w:rPr>
        <w:t>Business Combination Agreement</w:t>
      </w:r>
      <w:r>
        <w:rPr>
          <w:rFonts w:ascii="Times New Roman" w:cs="Times New Roman" w:eastAsia="Times New Roman" w:hAnsi="Times New Roman"/>
          <w:sz w:val="17"/>
          <w:szCs w:val="17"/>
          <w:color w:val="auto"/>
        </w:rPr>
        <w:t>”), among ShoulderUp Technology Acquisition Corp., a Delaware corporation (“</w:t>
      </w:r>
      <w:r>
        <w:rPr>
          <w:rFonts w:ascii="Times New Roman" w:cs="Times New Roman" w:eastAsia="Times New Roman" w:hAnsi="Times New Roman"/>
          <w:sz w:val="17"/>
          <w:szCs w:val="17"/>
          <w:b w:val="1"/>
          <w:bCs w:val="1"/>
          <w:i w:val="1"/>
          <w:iCs w:val="1"/>
          <w:color w:val="auto"/>
        </w:rPr>
        <w:t>SUAC</w:t>
      </w:r>
      <w:r>
        <w:rPr>
          <w:rFonts w:ascii="Times New Roman" w:cs="Times New Roman" w:eastAsia="Times New Roman" w:hAnsi="Times New Roman"/>
          <w:sz w:val="17"/>
          <w:szCs w:val="17"/>
          <w:color w:val="auto"/>
        </w:rPr>
        <w:t>”), SEE ID, Inc., a Nevada corporation (“</w:t>
      </w:r>
      <w:r>
        <w:rPr>
          <w:rFonts w:ascii="Times New Roman" w:cs="Times New Roman" w:eastAsia="Times New Roman" w:hAnsi="Times New Roman"/>
          <w:sz w:val="17"/>
          <w:szCs w:val="17"/>
          <w:b w:val="1"/>
          <w:bCs w:val="1"/>
          <w:i w:val="1"/>
          <w:iCs w:val="1"/>
          <w:color w:val="auto"/>
        </w:rPr>
        <w:t>SEE ID</w:t>
      </w:r>
      <w:r>
        <w:rPr>
          <w:rFonts w:ascii="Times New Roman" w:cs="Times New Roman" w:eastAsia="Times New Roman" w:hAnsi="Times New Roman"/>
          <w:sz w:val="17"/>
          <w:szCs w:val="17"/>
          <w:color w:val="auto"/>
        </w:rPr>
        <w:t>”), ShoulderUp Merger Sub, Inc., a Delaware corporation (“</w:t>
      </w:r>
      <w:r>
        <w:rPr>
          <w:rFonts w:ascii="Times New Roman" w:cs="Times New Roman" w:eastAsia="Times New Roman" w:hAnsi="Times New Roman"/>
          <w:sz w:val="17"/>
          <w:szCs w:val="17"/>
          <w:b w:val="1"/>
          <w:bCs w:val="1"/>
          <w:i w:val="1"/>
          <w:iCs w:val="1"/>
          <w:color w:val="auto"/>
        </w:rPr>
        <w:t>ShoulderUp Merger Sub</w:t>
      </w:r>
      <w:r>
        <w:rPr>
          <w:rFonts w:ascii="Times New Roman" w:cs="Times New Roman" w:eastAsia="Times New Roman" w:hAnsi="Times New Roman"/>
          <w:sz w:val="17"/>
          <w:szCs w:val="17"/>
          <w:color w:val="auto"/>
        </w:rPr>
        <w:t>”), SEI Merger Sub, Inc., a Delaware corporation (“</w:t>
      </w:r>
      <w:r>
        <w:rPr>
          <w:rFonts w:ascii="Times New Roman" w:cs="Times New Roman" w:eastAsia="Times New Roman" w:hAnsi="Times New Roman"/>
          <w:sz w:val="17"/>
          <w:szCs w:val="17"/>
          <w:b w:val="1"/>
          <w:bCs w:val="1"/>
          <w:i w:val="1"/>
          <w:iCs w:val="1"/>
          <w:color w:val="auto"/>
        </w:rPr>
        <w:t>SEI Merger Sub</w:t>
      </w:r>
      <w:r>
        <w:rPr>
          <w:rFonts w:ascii="Times New Roman" w:cs="Times New Roman" w:eastAsia="Times New Roman" w:hAnsi="Times New Roman"/>
          <w:sz w:val="17"/>
          <w:szCs w:val="17"/>
          <w:color w:val="auto"/>
        </w:rPr>
        <w:t>”), and SEE ID, Inc., a Nevada corporation (“</w:t>
      </w:r>
      <w:r>
        <w:rPr>
          <w:rFonts w:ascii="Times New Roman" w:cs="Times New Roman" w:eastAsia="Times New Roman" w:hAnsi="Times New Roman"/>
          <w:sz w:val="17"/>
          <w:szCs w:val="17"/>
          <w:b w:val="1"/>
          <w:bCs w:val="1"/>
          <w:i w:val="1"/>
          <w:iCs w:val="1"/>
          <w:color w:val="auto"/>
        </w:rPr>
        <w:t>SEE ID</w:t>
      </w:r>
      <w:r>
        <w:rPr>
          <w:rFonts w:ascii="Times New Roman" w:cs="Times New Roman" w:eastAsia="Times New Roman" w:hAnsi="Times New Roman"/>
          <w:sz w:val="17"/>
          <w:szCs w:val="17"/>
          <w:color w:val="auto"/>
        </w:rPr>
        <w:t>”). On the closing of the Business Combination, (i) ShoulderUp Merger Sub merged with and into SUAC (the “</w:t>
      </w:r>
      <w:r>
        <w:rPr>
          <w:rFonts w:ascii="Times New Roman" w:cs="Times New Roman" w:eastAsia="Times New Roman" w:hAnsi="Times New Roman"/>
          <w:sz w:val="17"/>
          <w:szCs w:val="17"/>
          <w:b w:val="1"/>
          <w:bCs w:val="1"/>
          <w:i w:val="1"/>
          <w:iCs w:val="1"/>
          <w:color w:val="auto"/>
        </w:rPr>
        <w:t>ShoulderUp Merger</w:t>
      </w:r>
      <w:r>
        <w:rPr>
          <w:rFonts w:ascii="Times New Roman" w:cs="Times New Roman" w:eastAsia="Times New Roman" w:hAnsi="Times New Roman"/>
          <w:sz w:val="17"/>
          <w:szCs w:val="17"/>
          <w:color w:val="auto"/>
        </w:rPr>
        <w:t>”), with SUAC surviving the ShoulderUp Merger as a wholly-owned subsidiary of the Company; and (ii) simultaneously with the ShoulderUp Merger, SEI Merger Sub merged with and into SEE ID (the “</w:t>
      </w:r>
      <w:r>
        <w:rPr>
          <w:rFonts w:ascii="Times New Roman" w:cs="Times New Roman" w:eastAsia="Times New Roman" w:hAnsi="Times New Roman"/>
          <w:sz w:val="17"/>
          <w:szCs w:val="17"/>
          <w:b w:val="1"/>
          <w:bCs w:val="1"/>
          <w:i w:val="1"/>
          <w:iCs w:val="1"/>
          <w:color w:val="auto"/>
        </w:rPr>
        <w:t>SEE ID Merger</w:t>
      </w:r>
      <w:r>
        <w:rPr>
          <w:rFonts w:ascii="Times New Roman" w:cs="Times New Roman" w:eastAsia="Times New Roman" w:hAnsi="Times New Roman"/>
          <w:sz w:val="17"/>
          <w:szCs w:val="17"/>
          <w:color w:val="auto"/>
        </w:rPr>
        <w:t>”), with SEE ID surviving the SEE ID Merger as a wholly-owned subsidiary of the Company (the ShoulderUp Merger and the SEE ID Merger, together the “</w:t>
      </w:r>
      <w:r>
        <w:rPr>
          <w:rFonts w:ascii="Times New Roman" w:cs="Times New Roman" w:eastAsia="Times New Roman" w:hAnsi="Times New Roman"/>
          <w:sz w:val="17"/>
          <w:szCs w:val="17"/>
          <w:b w:val="1"/>
          <w:bCs w:val="1"/>
          <w:i w:val="1"/>
          <w:iCs w:val="1"/>
          <w:color w:val="auto"/>
        </w:rPr>
        <w:t>Mergers</w:t>
      </w:r>
      <w:r>
        <w:rPr>
          <w:rFonts w:ascii="Times New Roman" w:cs="Times New Roman" w:eastAsia="Times New Roman" w:hAnsi="Times New Roman"/>
          <w:sz w:val="17"/>
          <w:szCs w:val="17"/>
          <w:color w:val="auto"/>
        </w:rPr>
        <w:t>” and together with the other transactions contemplated by the Business Combination Agreement, the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and Other Statements</w:t>
      </w:r>
    </w:p>
    <w:p>
      <w:pPr>
        <w:spacing w:after="0" w:line="14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p>
    <w:p>
      <w:pPr>
        <w:spacing w:after="0" w:line="321"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BOARD OF DIRECTORS AND 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believes that good corporate governance is fundamental to the overall success of our business. To that end, our Board evaluates our corporate governance practices in light of applicable changes in Delaware law, the rules and listing standards of Nasdaq (the “</w:t>
      </w:r>
      <w:r>
        <w:rPr>
          <w:rFonts w:ascii="Times New Roman" w:cs="Times New Roman" w:eastAsia="Times New Roman" w:hAnsi="Times New Roman"/>
          <w:sz w:val="17"/>
          <w:szCs w:val="17"/>
          <w:b w:val="1"/>
          <w:bCs w:val="1"/>
          <w:i w:val="1"/>
          <w:iCs w:val="1"/>
          <w:color w:val="auto"/>
        </w:rPr>
        <w:t>Nasdaq Rules</w:t>
      </w:r>
      <w:r>
        <w:rPr>
          <w:rFonts w:ascii="Times New Roman" w:cs="Times New Roman" w:eastAsia="Times New Roman" w:hAnsi="Times New Roman"/>
          <w:sz w:val="17"/>
          <w:szCs w:val="17"/>
          <w:color w:val="auto"/>
        </w:rPr>
        <w:t>”), the rules and regulations of the SEC, and the rules and regulations under the Internal Revenue Code of 1986, as amended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xml:space="preserve">”), as well as best practices suggested by recognized governance authorities, and makes modifications to our corporate governance practices that it determines are warranted. The committee charters and the code of conduct, and any waivers or amendments to the code of conduct and business ethics, are all available on our investor relations website at </w:t>
      </w:r>
      <w:r>
        <w:rPr>
          <w:rFonts w:ascii="Times New Roman" w:cs="Times New Roman" w:eastAsia="Times New Roman" w:hAnsi="Times New Roman"/>
          <w:sz w:val="17"/>
          <w:szCs w:val="17"/>
          <w:i w:val="1"/>
          <w:iCs w:val="1"/>
          <w:color w:val="auto"/>
        </w:rPr>
        <w:t xml:space="preserve">https://ir.daic.ai/ </w:t>
      </w:r>
      <w:r>
        <w:rPr>
          <w:rFonts w:ascii="Times New Roman" w:cs="Times New Roman" w:eastAsia="Times New Roman" w:hAnsi="Times New Roman"/>
          <w:sz w:val="17"/>
          <w:szCs w:val="17"/>
          <w:color w:val="auto"/>
        </w:rPr>
        <w:t>in the “Documents &amp; Charters” section.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Overview</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the names, ages and positions as of the Record Date, and certain other information for each of the nominees for election as a Class I director at the Annual Meeting, and each of the continuing members of the Board.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Position/Office</w:t>
            </w: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4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Held with CID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44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 director nominees for election until the annual meeting of stockholders in 2029</w:t>
            </w: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Phyllis Newhouse</w:t>
            </w: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1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 directors whose terms expire at the annual meeting of stockholders in 2027</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Janice Bryant Howroyd</w:t>
            </w: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1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III directors whose terms expire at the annual meeting of stockholders in 2028</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Ed Nabrotzky</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CEO &amp;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Dr. David Carlson</w:t>
            </w: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1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 Saling</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0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Board is committed to fostering a board of directors with diverse perspectives, backgrounds, and experiences, with 29% of our current slate directors being female. The Nominating and Corporate Governance Committee is committed to enhancing the Board’s diversity profile at such time as it evaluates any newly nominated directors. For additional information regarding the evaluation of our director candidates and their specific experience and qualifications, see the ‘Nominating and Corporate Governance Committee’ discussion on page 17 of this Proxy Statement.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Independence of The Board of Directors</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As required under the Nasdaq Rules, a majority of the members of a listed company’s board of directors must qualify as “independent”, as affirmatively determined by the board of directors. Our Board consults with the Company’s counsel annually to ensure that the Board’s determinations are consistent with relevant securities and other laws and regulations regarding the definition of “independent”, including those set forth in the applicable Nasdaq Rules (including as independent is currently defined in Rule 4505(d)(2) of those listing standards).</w:t>
      </w:r>
    </w:p>
    <w:p>
      <w:pPr>
        <w:spacing w:after="0" w:line="3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Consistent with these considerations, after review of all identified relevant transactions and relationships between each director, and any of his or her family members, and the Company, its senior managements and its independent registered public accounting firm, our Board has determined that each director other than Mr. Edmund Nabrotzky is independent under the Nasdaq Rules. Mr. Nabrotzky is not independent because of his employment relationship with the Company.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believes establishing the right leadership structure is one of its primary responsibilities and key to ensuring appropriate oversight of management and creating a strategic-asset Board. The right leadership structure may vary from time to time depending upon the needs of the Company and the Board’s assessment of the CEO. In evaluating its leadership structure, the Board considers a number of factors, including the CEO’s tenure, experience and leadership, the Board and Committee processes and procedures, investor feedback and best practices. The Board is committed to regularly evaluating its leadership structure. Accordingly, the Board does not have a policy on whether the roles of Chair of the Board and CEO should be separate or combined, and, if separate, whether the Chair should be selected from among the independent directors.</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Jeff Saling currently serves as the independent Chair of the Board, a position to which he was elected in 2025. At this time, the Board believes that separating the roles of Chair and CEO remains appropriate in order to allow our CEO to focus on day-to-day leadership of management and execution of the Company’s operating and strategic goals, while continuing to build his public company governance experience. Mr. Saling leads the Board, presiding over meetings and prioritizing areas of focus including governance matters; providing advice and counsel to our CEO on the Company’s strategy and long-term plans, and facilitating independent Board oversight of management. Mr. Saling has an extensive understanding of the Board and the Company’s strategic goals.</w:t>
      </w:r>
    </w:p>
    <w:p>
      <w:pPr>
        <w:spacing w:after="0" w:line="32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may elect to combine the roles of Chair and CEO as the Board deems appropriate and in the best interests of the Company and its shareholders. Whenever the Chair is also the CEO or a director who does not otherwise qualify as an independent director, the independent directors will elect from among themselves a lead independent director of the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Meetings and Director Attendance</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Board is responsible for the oversight of company management and the strategy of the Company and for establishing corporate policies. The Board and its committees meet throughout the year on a regular schedule, and also hold special meetings and act by written consent from time to time. In 2025, the Board met nineteen (19) times. All directors attended 100% of the meetings of the Board and committees on which they served.</w:t>
      </w:r>
    </w:p>
    <w:p>
      <w:pPr>
        <w:spacing w:after="0" w:line="31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Directors are expected to prepare for and use reasonable efforts to participate in all Board meetings and meetings of the committees on which they serve. The Board and each committee will meet as frequently as necessary to properly discharge their responsibilities. In addition, directors are expected to use reasonable efforts to attend the annual meeting of stockholders.</w:t>
      </w:r>
    </w:p>
    <w:p>
      <w:pPr>
        <w:spacing w:after="0" w:line="10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In addition, non-employee directors frequently meet in executive sessions without management in conjunction with each regularly scheduled Board meeting. The Company’s Chair has the primary responsibility to preside over these sessions of the Board.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w:t>
      </w:r>
    </w:p>
    <w:p>
      <w:pPr>
        <w:spacing w:after="0" w:line="14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Our Board has delegated some of its authority to four committees: the Audit Committee; the Compensation Committee; the Nominating and Corporate Governance Committees; and the Cybersecurity and Technology Committee. All of the members of these committees meet the applicable independence requirements of the Nasdaq Rules and the SEC. Our Board has the ability to establish special committees, if necessary.</w:t>
      </w:r>
    </w:p>
    <w:p>
      <w:pPr>
        <w:spacing w:after="0" w:line="31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Each of our standing committees is governed by a written charter, which is subject to annual review by each respective committee and approval by the Board. Committee charters are available on our website at </w:t>
      </w:r>
      <w:r>
        <w:rPr>
          <w:rFonts w:ascii="Times New Roman" w:cs="Times New Roman" w:eastAsia="Times New Roman" w:hAnsi="Times New Roman"/>
          <w:sz w:val="17"/>
          <w:szCs w:val="17"/>
          <w:i w:val="1"/>
          <w:iCs w:val="1"/>
          <w:color w:val="auto"/>
        </w:rPr>
        <w:t>https://ir.daic.ai/</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Committee Membership</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December 31, 2025, our committee membership was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Nominating</w:t>
            </w:r>
          </w:p>
        </w:tc>
        <w:tc>
          <w:tcPr>
            <w:tcW w:w="12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Cybersecurity</w:t>
            </w: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and</w:t>
            </w: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Technology</w:t>
            </w:r>
          </w:p>
        </w:tc>
      </w:tr>
      <w:tr>
        <w:trPr>
          <w:trHeight w:val="208"/>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Committee</w:t>
            </w:r>
          </w:p>
        </w:tc>
      </w:tr>
      <w:tr>
        <w:trPr>
          <w:trHeight w:val="44"/>
        </w:trPr>
        <w:tc>
          <w:tcPr>
            <w:tcW w:w="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8"/>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Edmund Nabrotzky</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Phyllis Newhouse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29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Sheldon Paul</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75"/>
        </w:trPr>
        <w:tc>
          <w:tcPr>
            <w:tcW w:w="20" w:type="dxa"/>
            <w:vAlign w:val="bottom"/>
          </w:tcPr>
          <w:p>
            <w:pPr>
              <w:spacing w:after="0"/>
              <w:rPr>
                <w:sz w:val="23"/>
                <w:szCs w:val="23"/>
                <w:color w:val="auto"/>
              </w:rPr>
            </w:pPr>
          </w:p>
        </w:tc>
        <w:tc>
          <w:tcPr>
            <w:tcW w:w="3000" w:type="dxa"/>
            <w:vAlign w:val="bottom"/>
            <w:gridSpan w:val="2"/>
          </w:tcPr>
          <w:p>
            <w:pPr>
              <w:spacing w:after="0" w:line="230" w:lineRule="exact"/>
              <w:rPr>
                <w:sz w:val="20"/>
                <w:szCs w:val="20"/>
                <w:color w:val="auto"/>
              </w:rPr>
            </w:pPr>
            <w:r>
              <w:rPr>
                <w:rFonts w:ascii="Times New Roman" w:cs="Times New Roman" w:eastAsia="Times New Roman" w:hAnsi="Times New Roman"/>
                <w:sz w:val="17"/>
                <w:szCs w:val="17"/>
                <w:color w:val="auto"/>
              </w:rPr>
              <w:t>Jeff Saling</w:t>
            </w:r>
            <w:r>
              <w:rPr>
                <w:rFonts w:ascii="MS PGothic" w:cs="MS PGothic" w:eastAsia="MS PGothic" w:hAnsi="MS PGothic"/>
                <w:sz w:val="20"/>
                <w:szCs w:val="20"/>
                <w:color w:val="auto"/>
                <w:vertAlign w:val="superscript"/>
              </w:rPr>
              <w:t>◆</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Janice Bryant Howroyd</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5"/>
        </w:trPr>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29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David Carlson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4"/>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69" w:lineRule="exact"/>
        <w:rPr>
          <w:sz w:val="20"/>
          <w:szCs w:val="20"/>
          <w:color w:val="auto"/>
        </w:rPr>
      </w:pPr>
    </w:p>
    <w:p>
      <w:pPr>
        <w:ind w:left="580" w:right="6779" w:hanging="6"/>
        <w:spacing w:after="0" w:line="280" w:lineRule="auto"/>
        <w:tabs>
          <w:tab w:leader="none" w:pos="973"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Committee Member + Committee Chair</w:t>
      </w:r>
    </w:p>
    <w:p>
      <w:pPr>
        <w:ind w:left="580"/>
        <w:spacing w:after="0" w:line="196" w:lineRule="exact"/>
        <w:rPr>
          <w:rFonts w:ascii="Times New Roman" w:cs="Times New Roman" w:eastAsia="Times New Roman" w:hAnsi="Times New Roman"/>
          <w:sz w:val="15"/>
          <w:szCs w:val="15"/>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Chairman of the Board</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In 2025, our Audit Committee met two (2) times. Our Audit Committee currently consists of Walter Skowronski, Phyllis Newhouse and Dr. David Carlson, with Walter Skowronski serving as the chair. Our Board has determined each member of our Audit Committee to be independent under the listing standards and Rule 10A-3(b)(1) of the Exchange Act. Our Board has determined that each of Walter Skowronski, Phyllis Newhouse and Dr. David Carlson has the requisite financial expertise required under the applicable requirements of the Nasdaq Rules and the applicable rules and regulations of the SEC and that Mr. Skowronski is an “Audit Committee financial expert” within the meaning of SEC regulations. In arriving at this determination, the Board has examined each Audit Committee member’s scope of experience and the nature of their current and prior employment. The Board has adopted a written Audit Committee charter that is available to stockholders on the Company’s website at </w:t>
      </w:r>
      <w:r>
        <w:rPr>
          <w:rFonts w:ascii="Times New Roman" w:cs="Times New Roman" w:eastAsia="Times New Roman" w:hAnsi="Times New Roman"/>
          <w:sz w:val="17"/>
          <w:szCs w:val="17"/>
          <w:i w:val="1"/>
          <w:iCs w:val="1"/>
          <w:color w:val="auto"/>
        </w:rPr>
        <w:t>https://ir.daic.ai/</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w:t>
      </w:r>
    </w:p>
    <w:p>
      <w:pPr>
        <w:spacing w:after="0" w:line="85" w:lineRule="exact"/>
        <w:rPr>
          <w:sz w:val="20"/>
          <w:szCs w:val="20"/>
          <w:color w:val="auto"/>
        </w:rPr>
      </w:pPr>
    </w:p>
    <w:p>
      <w:pPr>
        <w:jc w:val="both"/>
        <w:ind w:left="1420" w:right="599" w:hanging="426"/>
        <w:spacing w:after="0" w:line="27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independence and qualifications of the Company’s independent auditors and determining whether to retain the Company’s existing independent auditors or engage new independent auditors;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financial reporting processes and disclosure controls;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the Company’s internal control policies and procedures, including the responsibilities, budget, staffing and effectiveness of the Company’s internal audit function;</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independent auditors the annual audit plan, including the scope of audit activities and all critical accounting policies and practices to be used by the Company;</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rotation of partners of the Company’s independent auditors on the Company’s engagement team as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70"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4"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299"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the Company’s auditors any earnings announcements and other public announcements regarding material developments;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the Company regarding financial controls, accounting, auditing or other matters;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report that the SEC requires in the Company’s annual proxy statement;</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major financial risk exposures, including the guidelines and policies to govern the process by which risk assessment and risk management is implemented; and</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audit committee and the audit committee charter.</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Audit Committee Report can be found on page 28 of this Proxy Statement.</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Compensation Committee currently consists of Jeff Saling, Janice Bryant Howroyd and Dr. David Carlson, with Jeff Saling serving as the chair. We have affirmatively determined that each member of the Compensation Committee qualifies as a non-employee director under the Rule 16b-3 promulgated under the Exchange Act, and satisfies the independence requirements under the Nasdaq Rules. The Board has adopted a written Compensation Committee charter that is available to stockholders on the Company’s website at </w:t>
      </w:r>
      <w:r>
        <w:rPr>
          <w:rFonts w:ascii="Times New Roman" w:cs="Times New Roman" w:eastAsia="Times New Roman" w:hAnsi="Times New Roman"/>
          <w:sz w:val="17"/>
          <w:szCs w:val="17"/>
          <w:i w:val="1"/>
          <w:iCs w:val="1"/>
          <w:color w:val="auto"/>
        </w:rPr>
        <w:t>https://daic.ai</w:t>
      </w:r>
      <w:r>
        <w:rPr>
          <w:rFonts w:ascii="Times New Roman" w:cs="Times New Roman" w:eastAsia="Times New Roman" w:hAnsi="Times New Roman"/>
          <w:sz w:val="17"/>
          <w:szCs w:val="17"/>
          <w:color w:val="auto"/>
        </w:rPr>
        <w:t>. The Compensation Committee did not meet during 2025.</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w:t>
      </w:r>
    </w:p>
    <w:p>
      <w:pPr>
        <w:spacing w:after="0" w:line="90" w:lineRule="exact"/>
        <w:rPr>
          <w:sz w:val="20"/>
          <w:szCs w:val="20"/>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corporate objectives that pertain to the determination of executive compensation;</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and other terms of employment of the Company’s executive officers;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performance goals and objectives relevant to the compensation of the Company’s executive officers and assessing their performance against these goals and objectives;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regarding the adoption or amendment of equity and cash incentive plans and approving amendments to such plans to the extent authorized by the Board;</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the Board regarding the type and amount of compensation to be paid or awarded to the Company’s non-employee board members;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assessing the independence of compensation consultants, legal counsel and other advisors as required by Section 10C of the Exchange Act;</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the Company’s equity incentive plans, to the extent such authority is delegated by the Board;</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terms of any employment agreements, severance arrangements, change in control protections, indemnification agreements and any other material arrangements for the Company’s executive officers;</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 annual report on executive compensation that the SEC requires in the Company’s annual proxy statement;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compensation committee and recommending such changes as deemed necessary with the Board.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Process and Procedures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plans to meet as necessary in 2026. The agenda for each meeting will be developed by the Chair of the Compensation Committee, in consultation with management.</w:t>
      </w:r>
    </w:p>
    <w:p>
      <w:pPr>
        <w:spacing w:after="0" w:line="8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w:t>
      </w:r>
      <w:r>
        <w:rPr>
          <w:rFonts w:ascii="Times New Roman" w:cs="Times New Roman" w:eastAsia="Times New Roman" w:hAnsi="Times New Roman"/>
          <w:sz w:val="17"/>
          <w:szCs w:val="17"/>
          <w:b w:val="1"/>
          <w:bCs w:val="1"/>
          <w:i w:val="1"/>
          <w:iCs w:val="1"/>
          <w:color w:val="auto"/>
        </w:rPr>
        <w:t>CEO</w:t>
      </w:r>
      <w:r>
        <w:rPr>
          <w:rFonts w:ascii="Times New Roman" w:cs="Times New Roman" w:eastAsia="Times New Roman" w:hAnsi="Times New Roman"/>
          <w:sz w:val="17"/>
          <w:szCs w:val="17"/>
          <w:color w:val="auto"/>
        </w:rPr>
        <w:t>”) may not participate virtually,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None of our executive officers currently serve, or during the fiscal year ended December 31, 2025, have served, as a member of the compensation committee or director (or other board committee performing equivalent functions or, in the absence of any such committee, the entire Board) of any entity that has one or more executive officers serving on our Compensation Committee or our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Our Nominating and Corporate Governance Committee is comprised of Dr. David Carlson, Janice Bryant Howroyd, and Walter Skowronski, with Dr. David Carlson serving as chair. We have affirmatively determined that each member of the Nominating and Corporate Governance Committee qualifies as independent under the Nasdaq Rules. The Board has adopted a written Nominating and Corporate Governance Committee charter that is available to stockholders on the Company’s website at </w:t>
      </w:r>
      <w:r>
        <w:rPr>
          <w:rFonts w:ascii="Times New Roman" w:cs="Times New Roman" w:eastAsia="Times New Roman" w:hAnsi="Times New Roman"/>
          <w:sz w:val="17"/>
          <w:szCs w:val="17"/>
          <w:i w:val="1"/>
          <w:iCs w:val="1"/>
          <w:color w:val="auto"/>
        </w:rPr>
        <w:t>https://ir.daic.ai/</w:t>
      </w:r>
      <w:r>
        <w:rPr>
          <w:rFonts w:ascii="Times New Roman" w:cs="Times New Roman" w:eastAsia="Times New Roman" w:hAnsi="Times New Roman"/>
          <w:sz w:val="17"/>
          <w:szCs w:val="17"/>
          <w:color w:val="auto"/>
        </w:rPr>
        <w:t>. The Nominating and Governance Committee did not meet during 2025.</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Specific responsibilities of our Nominating and Corporate Governance Committee include:</w:t>
      </w:r>
    </w:p>
    <w:p>
      <w:pPr>
        <w:spacing w:after="0" w:line="145" w:lineRule="exact"/>
        <w:rPr>
          <w:sz w:val="20"/>
          <w:szCs w:val="20"/>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reviewing and making recommendations of candidates to serve on the Board;</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the Board, committees of the Board and individual directors and determining whether continued service on the Board is appropriate;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nominations by stockholders of candidates for election to the Board;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current size, composition and organization of the Board and its committees and making recommendations to the Board for approvals;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set of corporate governance policies and principles and recommending to the Board any changes to such policies and principles;</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issues and developments related to corporate governance and identifying and bringing to the attention of the Board current and emerging corporate governance trends;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Cybersecurity and Technology Committee</w:t>
      </w:r>
    </w:p>
    <w:p>
      <w:pPr>
        <w:spacing w:after="0" w:line="13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Cybersecurity and Technology Committee is comprised of Phyllis Newhouse and Edmund Nabrotzky, with Phyllis Newhouse serving as chair. We have affirmatively determined that Phyllis Newhouse qualifies as independent under the Nasdaq Rules. The Board has adopted a written Cybersecurity and Technology Committee charter that is available to stockholders on the Company’s website at </w:t>
      </w:r>
      <w:r>
        <w:rPr>
          <w:rFonts w:ascii="Times New Roman" w:cs="Times New Roman" w:eastAsia="Times New Roman" w:hAnsi="Times New Roman"/>
          <w:sz w:val="17"/>
          <w:szCs w:val="17"/>
          <w:i w:val="1"/>
          <w:iCs w:val="1"/>
          <w:color w:val="auto"/>
        </w:rPr>
        <w:t>https://ir.daic.ai/</w:t>
      </w:r>
      <w:r>
        <w:rPr>
          <w:rFonts w:ascii="Times New Roman" w:cs="Times New Roman" w:eastAsia="Times New Roman" w:hAnsi="Times New Roman"/>
          <w:sz w:val="17"/>
          <w:szCs w:val="17"/>
          <w:color w:val="auto"/>
        </w:rPr>
        <w:t>. The Cybersecurity and Technology Committee did not meet during 2025.</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Specific responsibilities of our Cybersecurity and Technology Committee include:</w:t>
      </w:r>
    </w:p>
    <w:p>
      <w:pPr>
        <w:spacing w:after="0" w:line="132" w:lineRule="exact"/>
        <w:rPr>
          <w:sz w:val="20"/>
          <w:szCs w:val="20"/>
          <w:color w:val="auto"/>
        </w:rPr>
      </w:pPr>
    </w:p>
    <w:p>
      <w:pPr>
        <w:jc w:val="both"/>
        <w:ind w:left="1420" w:right="599" w:hanging="426"/>
        <w:spacing w:after="0" w:line="27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the Company’s cybersecurity threat landscape, policies, controls and incident response preparedness, including escalation procedures to the Board, tabletop exercise testing, and periodic simulations;</w:t>
      </w:r>
    </w:p>
    <w:p>
      <w:pPr>
        <w:spacing w:after="0" w:line="72"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reports and metrics on cybersecurity incidents, breaches (actual or attempted), and the Company’s response thereto;</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Company’s compliance with cybersecurity and data privacy laws, including SEC, state, and international regulations, and industry standards;</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the Company’s technology architecture, platforms and operational resilience;</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overseeing major technology-related projects, digital initiatives, and infrastructure investments;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disaster recovery, business infrastructure, and data backup processes;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management the Company’s cyber insurance coverage and reviewing its adequacy;</w:t>
      </w:r>
    </w:p>
    <w:p>
      <w:pPr>
        <w:spacing w:after="0" w:line="13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with the Audit Committee with respect to any matters that may impact internal controls, financial reporting, or cybersecurity disclosures;</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Company’s cybersecurity workforce, training programs (including executive and board-level cybersecurity education), budget, and third-party vendor and supply chain risk management processes;</w:t>
      </w:r>
    </w:p>
    <w:p>
      <w:pPr>
        <w:spacing w:after="0" w:line="72"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policies for oversight of risks arising from use of AI, machine learning, and other emerging technologies;</w:t>
      </w:r>
    </w:p>
    <w:p>
      <w:pPr>
        <w:spacing w:after="0" w:line="5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appropriate disclosures are made in public filings relating to cybersecurity oversight and risk management;</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for Board approval updates to the Cybersecurity &amp; Technology Committee’s charter on an annual basis;</w:t>
      </w:r>
    </w:p>
    <w:p>
      <w:pPr>
        <w:spacing w:after="0" w:line="54"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Company’s compliance with cybersecurity disclosure obligations under SEC Regulation S-K Item 106 and Form 8-K Item 1.05, including timely disclosure of material cybersecurity incidents and governance structures;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79" w:hanging="426"/>
        <w:spacing w:after="0" w:line="296" w:lineRule="auto"/>
        <w:tabs>
          <w:tab w:leader="none" w:pos="14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management’s third-party risk management practices, including risk assessment and monitoring of key technology vendors and supply chain cybersecurity vulnerabilities; and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training programs and culture-building efforts relating to cybersecurity awareness, including for executives and directors.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Nomination Process and Director Qualifications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Nomination to our Board of Directors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continually evaluating the skills and talent of the current Board members and strives to add value to the Board by attracting and recruiting qualified Board candidates for our pipeline. Our Board actively recruits members with a pipeline of talented and engaged candidates. Candidates for nomination to our Board are selected by our Board based on the recommendation of our Nominating and Corporate Governance Committee in accordance with the committee’s charter, our policies, our certificate of incorporation and bylaws, our code of business conduct and ethics, and the criteria adopted by our Board regarding director candidate qualifications. In recommending candidates for nomination, our Nominating and Corporate Governance Committee considers candidates recommended by directors, officers, and employees, as well as candidates that are properly submitted by stockholders in accordance with our policies and bylaws, using the same criteria to evaluate all such candidates. We also engage consultants or third-party search firms to assist in identifying and evaluating potential nominees. Evaluations of candidates generally involve a review of background materials, internal discussions, and interviews with selected candidates as appropriate.</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Additional information regarding the process for properly submitting stockholder nominations for candidates for membership on our Board is set forth above under “</w:t>
      </w:r>
      <w:r>
        <w:rPr>
          <w:rFonts w:ascii="Times New Roman" w:cs="Times New Roman" w:eastAsia="Times New Roman" w:hAnsi="Times New Roman"/>
          <w:sz w:val="17"/>
          <w:szCs w:val="17"/>
          <w:i w:val="1"/>
          <w:iCs w:val="1"/>
          <w:color w:val="auto"/>
        </w:rPr>
        <w:t>Questions and Answers About these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Materials and Voting — Requirements for stockholder proposals to be brought before the 2027 annual meeting</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Director Qualifications</w:t>
      </w:r>
    </w:p>
    <w:p>
      <w:pPr>
        <w:spacing w:after="0" w:line="16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With the goal of developing an experienced and highly qualified board of directors, our Nominating and Corporate Governance Committee is responsible for developing and recommending to our Board the desired qualifications, expertise and characteristics of members of our Board, including qualifications that the committee believes must be met by a committee-recommended nominee for membership on our Board and specific qualities or skills that the committee believes are necessary for one or more of the members of our Board to possess.</w:t>
      </w:r>
    </w:p>
    <w:p>
      <w:pPr>
        <w:spacing w:after="0" w:line="31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addition to the qualifications, qualities, and skills that are necessary to meet U.S. legal, regulatory, and Nasdaq listing requirements and the provisions of our certificate of incorporation, bylaws, corporate governance guidelines and charters of the board committees, our Nominating and Corporate Governance Committee considers the following qualifications for any nominee for a position on our Board: (i) experience in corporate governance, such as an officer or former officer of a publicly held company; (ii) experience in, and familiarity with, our business and industry; (iii) personal and professional character, integrity, ethics and values;</w:t>
      </w:r>
    </w:p>
    <w:p>
      <w:pPr>
        <w:spacing w:after="0" w:line="5" w:lineRule="exact"/>
        <w:rPr>
          <w:sz w:val="20"/>
          <w:szCs w:val="20"/>
          <w:color w:val="auto"/>
        </w:rPr>
      </w:pPr>
    </w:p>
    <w:p>
      <w:pPr>
        <w:ind w:left="880" w:hanging="306"/>
        <w:spacing w:after="0"/>
        <w:tabs>
          <w:tab w:leader="none" w:pos="8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academic expertise in an area of our operations; (v) background in financial and accounting matters; and</w:t>
      </w:r>
    </w:p>
    <w:p>
      <w:pPr>
        <w:spacing w:after="0" w:line="14" w:lineRule="exact"/>
        <w:rPr>
          <w:rFonts w:ascii="Times New Roman" w:cs="Times New Roman" w:eastAsia="Times New Roman" w:hAnsi="Times New Roman"/>
          <w:sz w:val="17"/>
          <w:szCs w:val="17"/>
          <w:color w:val="auto"/>
        </w:rPr>
      </w:pPr>
    </w:p>
    <w:p>
      <w:pPr>
        <w:jc w:val="both"/>
        <w:ind w:left="580" w:right="579" w:hanging="6"/>
        <w:spacing w:after="0" w:line="259" w:lineRule="auto"/>
        <w:tabs>
          <w:tab w:leader="none" w:pos="9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factors it considers appropriate, which may include age, diversity of background, existing commitments to other businesses, potential conflicts of interest, legal considerations, corporate governance background, and the size, composition, and combined expertise of the existing Board. Our Board and nominating and corporate governance committee believe that an experienced and highly qualified board of directors fosters a robust, comprehensive, and balanced decision-making process for the continued effective functioning of our Board and our success. Accordingly, through the nomination process, our Nominating and Corporate Governance Committee seeks to promote board membership that reflects diversity, factoring in gender, race, ethnicity, differences in professional background, education, skill and experience, and other individual qualities and attributes that contribute to the total mix of viewpoints and experience, without assigning any particular weighting or priority to any one factor.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With respect to cybersecurity risk oversight, our Board and our Audit Committee receive periodic reports from the appropriate managers and the Cybersecurity and Technology Committee on the primary cybersecurity risks facing the Company and the measures the Company is taking to mitigate such risks. In addition to these periodic reports, our Board and our Audit Committee receive updates from management and the Cybersecurity and Technology Committee as to changes to the Company’s cybersecurity risk profile or significant newly identified risks.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Communications with the Board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and other interested parties who wish to communicate directly with our Board or an individual director may do so by mail to our Board or the individual director, care of our Corporate Secretary at 2 Shaker Road Suite E213, Shirley, MA 01464. The communication should indicate that it contains a stockholder or interested party communication. In accordance with our code of business conduct, our Corporate Secretary will review all correspondence and forward appropriate messages to the applicable member(s) of the Board, except for those that are unrelated to the Board’s duties or that are otherwise inappropriate.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4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Board has adopted an insider trading and trading window policy (the “</w:t>
      </w:r>
      <w:r>
        <w:rPr>
          <w:rFonts w:ascii="Times New Roman" w:cs="Times New Roman" w:eastAsia="Times New Roman" w:hAnsi="Times New Roman"/>
          <w:sz w:val="17"/>
          <w:szCs w:val="17"/>
          <w:b w:val="1"/>
          <w:bCs w:val="1"/>
          <w:i w:val="1"/>
          <w:iCs w:val="1"/>
          <w:color w:val="auto"/>
        </w:rPr>
        <w:t>Insider Trading Policy</w:t>
      </w:r>
      <w:r>
        <w:rPr>
          <w:rFonts w:ascii="Times New Roman" w:cs="Times New Roman" w:eastAsia="Times New Roman" w:hAnsi="Times New Roman"/>
          <w:sz w:val="17"/>
          <w:szCs w:val="17"/>
          <w:color w:val="auto"/>
        </w:rPr>
        <w:t>”)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w:t>
      </w:r>
      <w:r>
        <w:rPr>
          <w:rFonts w:ascii="Times New Roman" w:cs="Times New Roman" w:eastAsia="Times New Roman" w:hAnsi="Times New Roman"/>
          <w:sz w:val="17"/>
          <w:szCs w:val="17"/>
          <w:b w:val="1"/>
          <w:bCs w:val="1"/>
          <w:i w:val="1"/>
          <w:iCs w:val="1"/>
          <w:color w:val="auto"/>
        </w:rPr>
        <w:t>Rule 10b5-1</w:t>
      </w:r>
      <w:r>
        <w:rPr>
          <w:rFonts w:ascii="Times New Roman" w:cs="Times New Roman" w:eastAsia="Times New Roman" w:hAnsi="Times New Roman"/>
          <w:sz w:val="17"/>
          <w:szCs w:val="17"/>
          <w:color w:val="auto"/>
        </w:rPr>
        <w:t>”).</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Clawback Policy for Executive Compensation</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which has been approved by our Board. The code of business conduct and ethics is applicable to all of our directors, officers (including our principal executive officer, principal financial officer, and principal accounting officer) and employees. Our code of business conduct and ethics is available on our investor relations website at </w:t>
      </w:r>
      <w:r>
        <w:rPr>
          <w:rFonts w:ascii="Times New Roman" w:cs="Times New Roman" w:eastAsia="Times New Roman" w:hAnsi="Times New Roman"/>
          <w:sz w:val="17"/>
          <w:szCs w:val="17"/>
          <w:i w:val="1"/>
          <w:iCs w:val="1"/>
          <w:color w:val="auto"/>
        </w:rPr>
        <w:t>https://ir.daic.ai/</w:t>
      </w:r>
      <w:r>
        <w:rPr>
          <w:rFonts w:ascii="Times New Roman" w:cs="Times New Roman" w:eastAsia="Times New Roman" w:hAnsi="Times New Roman"/>
          <w:sz w:val="17"/>
          <w:szCs w:val="17"/>
          <w:color w:val="auto"/>
        </w:rPr>
        <w:t>. In the event that we amend or waive certain provisions of our Code of Conduct, we will disclose the same on our website.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currently consists of six members, divided into three staggered classes of directors. Each class has a three-year term. Each director’s term continues until the election and qualification of their successor, or such director’s earlier death, resignation, or removal. At the Annual Meeting, one Class I director, Phyllis Newhouse, is seeking re-election to renew her seat on the Board for a three-year term. Dr. Paul, our other Class I director whose term was scheduled to expire at the Annual Meeting, notified the Board of his intention to resign from the Board and the Cybersecurity and Technology Committee in March 2026, effective immediately. Dr. Paul’s nomination for re-election had been under consideration in the normal course of the Board’s governance processes at the time of his resignation. Following the Annual Meeting, the Nominating and Corporate Governance Committee intends to commence a search for a new independent director to fill the vacancy caused by Dr. Paul’s resignation.</w:t>
      </w:r>
    </w:p>
    <w:p>
      <w:pPr>
        <w:spacing w:after="0" w:line="32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nominating and corporate governance committee has recommended, and the Board has approved, Phyllis Newhouse as a nominee for election as a Class I director at the Annual Meeting. If elected, Ms. Newhouse will serve as a Class I director for a three-year term expiring at the annual meeting of stockholders to be held in 2029 and until her successor is duly elected and qualified or until her earlier death, resignation, or removal. Ms. Newhouse has agreed to stand for election as a Class I director, and we have no reason to believe that Ms. Newhouse will be unable to serve if elected. Should any director nominee become unavailable for election as a result of an unexpected occurrence, your proxy authorizes the persons named as proxies to vote for a substitute nominee if our Board so chooses, or our Board may reduce its size. The terms of office of the directors in Class II and Class III will not expire until the annual meeting of stockholders to be held in 2027 and 2028, respectively.</w:t>
      </w:r>
    </w:p>
    <w:p>
      <w:pPr>
        <w:spacing w:after="0" w:line="32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division of our Board into three classes with staggered three-year terms may delay or prevent a change of our management or a change in control.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Directors are elected by a plurality of the votes cast by the stockholders present virtually or represented by proxy and entitled to vote on the election of directors. Accordingly, the nominee receiving the highest number of affirmative votes will be elected. Any shares not voted “FOR” the nominee (whether as a result of a withhold vote or a broker non-vote) will not be counted in the nominee’s favor and will have no effect on the outcome of the election. Shares represented by executed proxies will be voted, if authority to do so is not withheld, for the election of the nominee named above. If the nominee becomes unavailable for election as a result of an unexpected occurrence, shares that would have been voted for the nominee will instead be voted for the election of a substitute nominee proposed by our Board.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Biographies</w:t>
      </w:r>
    </w:p>
    <w:p>
      <w:pPr>
        <w:spacing w:after="0" w:line="160"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Set forth below is biographical information for the nominee for election as Class I director, and each of the Class II and III directors whose terms have not yet expired. This includes information regarding each director’s experience, qualifications, attributes, or skills that led our Board to recommend them for board service.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Nominees for Election Until the Annual Meeting of Stockholders to be Held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130175</wp:posOffset>
            </wp:positionV>
            <wp:extent cx="4990465" cy="3302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3302000"/>
                    </a:xfrm>
                    <a:prstGeom prst="rect">
                      <a:avLst/>
                    </a:prstGeom>
                    <a:noFill/>
                  </pic:spPr>
                </pic:pic>
              </a:graphicData>
            </a:graphic>
          </wp:anchor>
        </w:drawing>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94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7"/>
                <w:szCs w:val="17"/>
                <w:b w:val="1"/>
                <w:bCs w:val="1"/>
                <w:color w:val="FFFFFF"/>
              </w:rPr>
              <w:t>Phyllis Newhouse</w:t>
            </w:r>
          </w:p>
        </w:tc>
        <w:tc>
          <w:tcPr>
            <w:tcW w:w="3900" w:type="dxa"/>
            <w:vAlign w:val="bottom"/>
            <w:tcBorders>
              <w:top w:val="single" w:sz="8" w:color="auto"/>
              <w:bottom w:val="single" w:sz="8" w:color="auto"/>
            </w:tcBorders>
            <w:shd w:val="clear" w:color="auto" w:fill="00489A"/>
          </w:tcPr>
          <w:p>
            <w:pPr>
              <w:ind w:left="40"/>
              <w:spacing w:after="0"/>
              <w:rPr>
                <w:sz w:val="20"/>
                <w:szCs w:val="20"/>
                <w:color w:val="auto"/>
              </w:rPr>
            </w:pPr>
            <w:r>
              <w:rPr>
                <w:rFonts w:ascii="Times New Roman" w:cs="Times New Roman" w:eastAsia="Times New Roman" w:hAnsi="Times New Roman"/>
                <w:sz w:val="17"/>
                <w:szCs w:val="17"/>
                <w:b w:val="1"/>
                <w:bCs w:val="1"/>
                <w:color w:val="FFFFFF"/>
              </w:rPr>
              <w:t xml:space="preserve">Director </w:t>
            </w:r>
            <w:r>
              <w:rPr>
                <w:rFonts w:ascii="Times New Roman" w:cs="Times New Roman" w:eastAsia="Times New Roman" w:hAnsi="Times New Roman"/>
                <w:sz w:val="17"/>
                <w:szCs w:val="17"/>
                <w:color w:val="FFFFFF"/>
              </w:rPr>
              <w:t>(Class I)</w:t>
            </w:r>
          </w:p>
        </w:tc>
        <w:tc>
          <w:tcPr>
            <w:tcW w:w="20" w:type="dxa"/>
            <w:vAlign w:val="bottom"/>
            <w:tcBorders>
              <w:top w:val="single" w:sz="8" w:color="auto"/>
              <w:bottom w:val="single" w:sz="8" w:color="auto"/>
            </w:tcBorders>
          </w:tcPr>
          <w:p>
            <w:pPr>
              <w:spacing w:after="0"/>
              <w:rPr>
                <w:sz w:val="22"/>
                <w:szCs w:val="22"/>
                <w:color w:val="auto"/>
              </w:rPr>
            </w:pPr>
          </w:p>
        </w:tc>
      </w:tr>
    </w:tbl>
    <w:p>
      <w:pPr>
        <w:ind w:left="640"/>
        <w:spacing w:after="0"/>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June 2025</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62</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Audit; Cybersecurity &amp; Technology (Chair)</w:t>
      </w:r>
    </w:p>
    <w:p>
      <w:pPr>
        <w:spacing w:after="0" w:line="48" w:lineRule="exact"/>
        <w:rPr>
          <w:sz w:val="20"/>
          <w:szCs w:val="20"/>
          <w:color w:val="auto"/>
        </w:rPr>
      </w:pPr>
    </w:p>
    <w:p>
      <w:pPr>
        <w:jc w:val="both"/>
        <w:ind w:left="640" w:right="659"/>
        <w:spacing w:after="0" w:line="259" w:lineRule="auto"/>
        <w:rPr>
          <w:sz w:val="20"/>
          <w:szCs w:val="20"/>
          <w:color w:val="auto"/>
        </w:rPr>
      </w:pPr>
      <w:r>
        <w:rPr>
          <w:rFonts w:ascii="Times New Roman" w:cs="Times New Roman" w:eastAsia="Times New Roman" w:hAnsi="Times New Roman"/>
          <w:sz w:val="17"/>
          <w:szCs w:val="17"/>
          <w:color w:val="auto"/>
        </w:rPr>
        <w:t>Phyllis Newhouse has served as a member of the Board since June 2025. Ms. Newhouse previously served as Chief Executive Officer of ShoulderUp Technology Acquisition Corp since December 2020. Ms. Newhouse is known as a pioneer in cybersecurity. Ms. Newhouse is an entrepreneur, retired military senior non-commissioned officer, mentor, founder and Chief Executive Officer of XtremeSolutions, Inc., an Atlanta-based cybersecurity firm (“XSI”), since 2001,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93" w:lineRule="exact"/>
        <w:rPr>
          <w:sz w:val="20"/>
          <w:szCs w:val="20"/>
          <w:color w:val="auto"/>
        </w:rPr>
      </w:pPr>
    </w:p>
    <w:p>
      <w:pPr>
        <w:ind w:left="2020" w:right="1899" w:hanging="165"/>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THAT YOU VOTE “FOR” THE CLASS I DIRECTOR NOMINEE TO THE BOARD.</w:t>
      </w:r>
    </w:p>
    <w:p>
      <w:pPr>
        <w:spacing w:after="0" w:line="78"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Our Board believes that Ms. Newhouse’s professional experience in business, technology, cybersecurity, policy and governmental affairs makes her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80010</wp:posOffset>
            </wp:positionV>
            <wp:extent cx="4990465" cy="2503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2503805"/>
                    </a:xfrm>
                    <a:prstGeom prst="rect">
                      <a:avLst/>
                    </a:prstGeom>
                    <a:noFill/>
                  </pic:spPr>
                </pic:pic>
              </a:graphicData>
            </a:graphic>
          </wp:anchor>
        </w:drawing>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94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7"/>
                <w:szCs w:val="17"/>
                <w:b w:val="1"/>
                <w:bCs w:val="1"/>
                <w:color w:val="FFFFFF"/>
              </w:rPr>
              <w:t>Janice Bryant Howroyd</w:t>
            </w:r>
          </w:p>
        </w:tc>
        <w:tc>
          <w:tcPr>
            <w:tcW w:w="3900" w:type="dxa"/>
            <w:vAlign w:val="bottom"/>
            <w:tcBorders>
              <w:top w:val="single" w:sz="8" w:color="auto"/>
              <w:bottom w:val="single" w:sz="8" w:color="auto"/>
            </w:tcBorders>
            <w:shd w:val="clear" w:color="auto" w:fill="00489A"/>
          </w:tcPr>
          <w:p>
            <w:pPr>
              <w:ind w:left="40"/>
              <w:spacing w:after="0"/>
              <w:rPr>
                <w:sz w:val="20"/>
                <w:szCs w:val="20"/>
                <w:color w:val="auto"/>
              </w:rPr>
            </w:pPr>
            <w:r>
              <w:rPr>
                <w:rFonts w:ascii="Times New Roman" w:cs="Times New Roman" w:eastAsia="Times New Roman" w:hAnsi="Times New Roman"/>
                <w:sz w:val="17"/>
                <w:szCs w:val="17"/>
                <w:b w:val="1"/>
                <w:bCs w:val="1"/>
                <w:color w:val="FFFFFF"/>
              </w:rPr>
              <w:t>Director (Class II)</w:t>
            </w:r>
          </w:p>
        </w:tc>
        <w:tc>
          <w:tcPr>
            <w:tcW w:w="20" w:type="dxa"/>
            <w:vAlign w:val="bottom"/>
            <w:tcBorders>
              <w:top w:val="single" w:sz="8" w:color="auto"/>
              <w:bottom w:val="single" w:sz="8" w:color="auto"/>
            </w:tcBorders>
          </w:tcPr>
          <w:p>
            <w:pPr>
              <w:spacing w:after="0"/>
              <w:rPr>
                <w:sz w:val="22"/>
                <w:szCs w:val="22"/>
                <w:color w:val="auto"/>
              </w:rPr>
            </w:pPr>
          </w:p>
        </w:tc>
      </w:tr>
    </w:tbl>
    <w:p>
      <w:pPr>
        <w:ind w:left="640"/>
        <w:spacing w:after="0"/>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August 2025</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72</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Nominating &amp; Corporate Governance; Compensation</w:t>
      </w:r>
    </w:p>
    <w:p>
      <w:pPr>
        <w:spacing w:after="0" w:line="48" w:lineRule="exact"/>
        <w:rPr>
          <w:sz w:val="20"/>
          <w:szCs w:val="20"/>
          <w:color w:val="auto"/>
        </w:rPr>
      </w:pPr>
    </w:p>
    <w:p>
      <w:pPr>
        <w:jc w:val="both"/>
        <w:ind w:left="640" w:right="659"/>
        <w:spacing w:after="0" w:line="260" w:lineRule="auto"/>
        <w:rPr>
          <w:sz w:val="20"/>
          <w:szCs w:val="20"/>
          <w:color w:val="auto"/>
        </w:rPr>
      </w:pPr>
      <w:r>
        <w:rPr>
          <w:rFonts w:ascii="Times New Roman" w:cs="Times New Roman" w:eastAsia="Times New Roman" w:hAnsi="Times New Roman"/>
          <w:sz w:val="17"/>
          <w:szCs w:val="17"/>
          <w:color w:val="auto"/>
        </w:rPr>
        <w:t>Janice Bryant Howroyd has served as a member of the Board since August 2025. Ms. Howroyd has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Board believes that Ms. Howroyd’s prior board and government advisor experience, as well as her employment and talent management experience, makes her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88265</wp:posOffset>
            </wp:positionV>
            <wp:extent cx="4990465" cy="31686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3168650"/>
                    </a:xfrm>
                    <a:prstGeom prst="rect">
                      <a:avLst/>
                    </a:prstGeom>
                    <a:noFill/>
                  </pic:spPr>
                </pic:pic>
              </a:graphicData>
            </a:graphic>
          </wp:anchor>
        </w:drawing>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94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7"/>
                <w:szCs w:val="17"/>
                <w:b w:val="1"/>
                <w:bCs w:val="1"/>
                <w:color w:val="FFFFFF"/>
              </w:rPr>
              <w:t>Walter Skowronski</w:t>
            </w:r>
          </w:p>
        </w:tc>
        <w:tc>
          <w:tcPr>
            <w:tcW w:w="3900" w:type="dxa"/>
            <w:vAlign w:val="bottom"/>
            <w:tcBorders>
              <w:top w:val="single" w:sz="8" w:color="auto"/>
              <w:bottom w:val="single" w:sz="8" w:color="auto"/>
            </w:tcBorders>
            <w:shd w:val="clear" w:color="auto" w:fill="00489A"/>
          </w:tcPr>
          <w:p>
            <w:pPr>
              <w:ind w:left="40"/>
              <w:spacing w:after="0"/>
              <w:rPr>
                <w:sz w:val="20"/>
                <w:szCs w:val="20"/>
                <w:color w:val="auto"/>
              </w:rPr>
            </w:pPr>
            <w:r>
              <w:rPr>
                <w:rFonts w:ascii="Times New Roman" w:cs="Times New Roman" w:eastAsia="Times New Roman" w:hAnsi="Times New Roman"/>
                <w:sz w:val="17"/>
                <w:szCs w:val="17"/>
                <w:b w:val="1"/>
                <w:bCs w:val="1"/>
                <w:color w:val="FFFFFF"/>
              </w:rPr>
              <w:t>Director (Class II)</w:t>
            </w:r>
          </w:p>
        </w:tc>
        <w:tc>
          <w:tcPr>
            <w:tcW w:w="20" w:type="dxa"/>
            <w:vAlign w:val="bottom"/>
            <w:tcBorders>
              <w:top w:val="single" w:sz="8" w:color="auto"/>
              <w:bottom w:val="single" w:sz="8" w:color="auto"/>
            </w:tcBorders>
          </w:tcPr>
          <w:p>
            <w:pPr>
              <w:spacing w:after="0"/>
              <w:rPr>
                <w:sz w:val="22"/>
                <w:szCs w:val="22"/>
                <w:color w:val="auto"/>
              </w:rPr>
            </w:pPr>
          </w:p>
        </w:tc>
      </w:tr>
    </w:tbl>
    <w:p>
      <w:pPr>
        <w:ind w:left="640"/>
        <w:spacing w:after="0"/>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August 2025</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77</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Audit (Chair); Nominating &amp; Corporate Governance</w:t>
      </w:r>
    </w:p>
    <w:p>
      <w:pPr>
        <w:spacing w:after="0" w:line="48" w:lineRule="exact"/>
        <w:rPr>
          <w:sz w:val="20"/>
          <w:szCs w:val="20"/>
          <w:color w:val="auto"/>
        </w:rPr>
      </w:pPr>
    </w:p>
    <w:p>
      <w:pPr>
        <w:jc w:val="both"/>
        <w:ind w:left="640" w:right="659"/>
        <w:spacing w:after="0" w:line="259" w:lineRule="auto"/>
        <w:rPr>
          <w:sz w:val="20"/>
          <w:szCs w:val="20"/>
          <w:color w:val="auto"/>
        </w:rPr>
      </w:pPr>
      <w:r>
        <w:rPr>
          <w:rFonts w:ascii="Times New Roman" w:cs="Times New Roman" w:eastAsia="Times New Roman" w:hAnsi="Times New Roman"/>
          <w:sz w:val="17"/>
          <w:szCs w:val="17"/>
          <w:color w:val="auto"/>
        </w:rPr>
        <w:t>Walter Skowronski has served as a member of the Board since August 2025. Mr. Skowronski has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96"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Board believes that Mr. Skowronski’s financial expertise, as well as his previous board of directors experience, makes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80010</wp:posOffset>
            </wp:positionV>
            <wp:extent cx="4990465" cy="2636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2636520"/>
                    </a:xfrm>
                    <a:prstGeom prst="rect">
                      <a:avLst/>
                    </a:prstGeom>
                    <a:noFill/>
                  </pic:spPr>
                </pic:pic>
              </a:graphicData>
            </a:graphic>
          </wp:anchor>
        </w:drawing>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94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7"/>
                <w:szCs w:val="17"/>
                <w:b w:val="1"/>
                <w:bCs w:val="1"/>
                <w:color w:val="FFFFFF"/>
              </w:rPr>
              <w:t>Edmund Nabrotzky</w:t>
            </w:r>
          </w:p>
        </w:tc>
        <w:tc>
          <w:tcPr>
            <w:tcW w:w="3900" w:type="dxa"/>
            <w:vAlign w:val="bottom"/>
            <w:tcBorders>
              <w:top w:val="single" w:sz="8" w:color="auto"/>
              <w:bottom w:val="single" w:sz="8" w:color="auto"/>
            </w:tcBorders>
            <w:shd w:val="clear" w:color="auto" w:fill="00489A"/>
          </w:tcPr>
          <w:p>
            <w:pPr>
              <w:ind w:left="40"/>
              <w:spacing w:after="0"/>
              <w:rPr>
                <w:sz w:val="20"/>
                <w:szCs w:val="20"/>
                <w:color w:val="auto"/>
              </w:rPr>
            </w:pPr>
            <w:r>
              <w:rPr>
                <w:rFonts w:ascii="Times New Roman" w:cs="Times New Roman" w:eastAsia="Times New Roman" w:hAnsi="Times New Roman"/>
                <w:sz w:val="17"/>
                <w:szCs w:val="17"/>
                <w:b w:val="1"/>
                <w:bCs w:val="1"/>
                <w:color w:val="FFFFFF"/>
              </w:rPr>
              <w:t>Chief Executive Officer, Director (Class III)</w:t>
            </w:r>
          </w:p>
        </w:tc>
        <w:tc>
          <w:tcPr>
            <w:tcW w:w="20" w:type="dxa"/>
            <w:vAlign w:val="bottom"/>
            <w:tcBorders>
              <w:top w:val="single" w:sz="8" w:color="auto"/>
              <w:bottom w:val="single" w:sz="8" w:color="auto"/>
            </w:tcBorders>
          </w:tcPr>
          <w:p>
            <w:pPr>
              <w:spacing w:after="0"/>
              <w:rPr>
                <w:sz w:val="22"/>
                <w:szCs w:val="22"/>
                <w:color w:val="auto"/>
              </w:rPr>
            </w:pPr>
          </w:p>
        </w:tc>
      </w:tr>
      <w:tr>
        <w:trPr>
          <w:trHeight w:val="189"/>
        </w:trPr>
        <w:tc>
          <w:tcPr>
            <w:tcW w:w="394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June 2025</w:t>
            </w: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59</w:t>
            </w:r>
          </w:p>
        </w:tc>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Cybersecurity &amp; Technology</w:t>
            </w: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4" w:lineRule="exact"/>
        <w:rPr>
          <w:sz w:val="20"/>
          <w:szCs w:val="20"/>
          <w:color w:val="auto"/>
        </w:rPr>
      </w:pPr>
    </w:p>
    <w:p>
      <w:pPr>
        <w:jc w:val="both"/>
        <w:ind w:left="640" w:right="659"/>
        <w:spacing w:after="0" w:line="260" w:lineRule="auto"/>
        <w:rPr>
          <w:sz w:val="20"/>
          <w:szCs w:val="20"/>
          <w:color w:val="auto"/>
        </w:rPr>
      </w:pPr>
      <w:r>
        <w:rPr>
          <w:rFonts w:ascii="Times New Roman" w:cs="Times New Roman" w:eastAsia="Times New Roman" w:hAnsi="Times New Roman"/>
          <w:sz w:val="17"/>
          <w:szCs w:val="17"/>
          <w:color w:val="auto"/>
        </w:rPr>
        <w:t>Mr. Nabrotzky has served as a director of CID Holdco since June 2025, concurrent with his appointment as is the co-founder and Chief Executive Officer of CID Holdco at such time. Mr. Nabrotzky is a co-founder of the Company. Prior to founding the Company, Mr. Nabrotzky previously served as the President of Litum from 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Our Board believes that Mr. Nabrotzky’s extensive business and management expertise makes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88265</wp:posOffset>
            </wp:positionV>
            <wp:extent cx="4990465" cy="2503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2503805"/>
                    </a:xfrm>
                    <a:prstGeom prst="rect">
                      <a:avLst/>
                    </a:prstGeom>
                    <a:noFill/>
                  </pic:spPr>
                </pic:pic>
              </a:graphicData>
            </a:graphic>
          </wp:anchor>
        </w:drawing>
      </w:r>
    </w:p>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94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7"/>
                <w:szCs w:val="17"/>
                <w:b w:val="1"/>
                <w:bCs w:val="1"/>
                <w:color w:val="FFFFFF"/>
              </w:rPr>
              <w:t>Dr. David Carlson</w:t>
            </w:r>
          </w:p>
        </w:tc>
        <w:tc>
          <w:tcPr>
            <w:tcW w:w="3900" w:type="dxa"/>
            <w:vAlign w:val="bottom"/>
            <w:tcBorders>
              <w:top w:val="single" w:sz="8" w:color="auto"/>
              <w:bottom w:val="single" w:sz="8" w:color="auto"/>
            </w:tcBorders>
            <w:shd w:val="clear" w:color="auto" w:fill="00489A"/>
          </w:tcPr>
          <w:p>
            <w:pPr>
              <w:ind w:left="40"/>
              <w:spacing w:after="0"/>
              <w:rPr>
                <w:sz w:val="20"/>
                <w:szCs w:val="20"/>
                <w:color w:val="auto"/>
              </w:rPr>
            </w:pPr>
            <w:r>
              <w:rPr>
                <w:rFonts w:ascii="Times New Roman" w:cs="Times New Roman" w:eastAsia="Times New Roman" w:hAnsi="Times New Roman"/>
                <w:sz w:val="17"/>
                <w:szCs w:val="17"/>
                <w:b w:val="1"/>
                <w:bCs w:val="1"/>
                <w:color w:val="FFFFFF"/>
              </w:rPr>
              <w:t>Director (Class III)</w:t>
            </w:r>
          </w:p>
        </w:tc>
        <w:tc>
          <w:tcPr>
            <w:tcW w:w="20" w:type="dxa"/>
            <w:vAlign w:val="bottom"/>
            <w:tcBorders>
              <w:top w:val="single" w:sz="8" w:color="auto"/>
              <w:bottom w:val="single" w:sz="8" w:color="auto"/>
            </w:tcBorders>
          </w:tcPr>
          <w:p>
            <w:pPr>
              <w:spacing w:after="0"/>
              <w:rPr>
                <w:sz w:val="22"/>
                <w:szCs w:val="22"/>
                <w:color w:val="auto"/>
              </w:rPr>
            </w:pPr>
          </w:p>
        </w:tc>
      </w:tr>
      <w:tr>
        <w:trPr>
          <w:trHeight w:val="189"/>
        </w:trPr>
        <w:tc>
          <w:tcPr>
            <w:tcW w:w="394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June 2025</w:t>
            </w: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66</w:t>
            </w:r>
          </w:p>
        </w:tc>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Audit; Compensation</w:t>
            </w: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4" w:lineRule="exact"/>
        <w:rPr>
          <w:sz w:val="20"/>
          <w:szCs w:val="20"/>
          <w:color w:val="auto"/>
        </w:rPr>
      </w:pPr>
    </w:p>
    <w:p>
      <w:pPr>
        <w:jc w:val="both"/>
        <w:ind w:left="640" w:right="659"/>
        <w:spacing w:after="0" w:line="260" w:lineRule="auto"/>
        <w:rPr>
          <w:sz w:val="20"/>
          <w:szCs w:val="20"/>
          <w:color w:val="auto"/>
        </w:rPr>
      </w:pPr>
      <w:r>
        <w:rPr>
          <w:rFonts w:ascii="Times New Roman" w:cs="Times New Roman" w:eastAsia="Times New Roman" w:hAnsi="Times New Roman"/>
          <w:sz w:val="17"/>
          <w:szCs w:val="17"/>
          <w:color w:val="auto"/>
        </w:rPr>
        <w:t>Dr. David Carlson has served as a member of the Board since June 2025. Dr. Carlson has been the Chief Medical Officer in South King 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200" w:lineRule="exact"/>
        <w:rPr>
          <w:sz w:val="20"/>
          <w:szCs w:val="20"/>
          <w:color w:val="auto"/>
        </w:rPr>
      </w:pPr>
    </w:p>
    <w:p>
      <w:pPr>
        <w:spacing w:after="0" w:line="204"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Board believes that Dr. Carlson’s professional medical experience and previous board experience makes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80010</wp:posOffset>
            </wp:positionV>
            <wp:extent cx="4990465" cy="2104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2104390"/>
                    </a:xfrm>
                    <a:prstGeom prst="rect">
                      <a:avLst/>
                    </a:prstGeom>
                    <a:noFill/>
                  </pic:spPr>
                </pic:pic>
              </a:graphicData>
            </a:graphic>
          </wp:anchor>
        </w:drawing>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94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7"/>
                <w:szCs w:val="17"/>
                <w:b w:val="1"/>
                <w:bCs w:val="1"/>
                <w:color w:val="FFFFFF"/>
              </w:rPr>
              <w:t>Jeff Saling</w:t>
            </w:r>
          </w:p>
        </w:tc>
        <w:tc>
          <w:tcPr>
            <w:tcW w:w="3900" w:type="dxa"/>
            <w:vAlign w:val="bottom"/>
            <w:tcBorders>
              <w:top w:val="single" w:sz="8" w:color="auto"/>
              <w:bottom w:val="single" w:sz="8" w:color="auto"/>
            </w:tcBorders>
            <w:shd w:val="clear" w:color="auto" w:fill="00489A"/>
          </w:tcPr>
          <w:p>
            <w:pPr>
              <w:ind w:left="40"/>
              <w:spacing w:after="0"/>
              <w:rPr>
                <w:sz w:val="20"/>
                <w:szCs w:val="20"/>
                <w:color w:val="auto"/>
              </w:rPr>
            </w:pPr>
            <w:r>
              <w:rPr>
                <w:rFonts w:ascii="Times New Roman" w:cs="Times New Roman" w:eastAsia="Times New Roman" w:hAnsi="Times New Roman"/>
                <w:sz w:val="17"/>
                <w:szCs w:val="17"/>
                <w:b w:val="1"/>
                <w:bCs w:val="1"/>
                <w:color w:val="FFFFFF"/>
              </w:rPr>
              <w:t>Director (Class III)</w:t>
            </w:r>
          </w:p>
        </w:tc>
        <w:tc>
          <w:tcPr>
            <w:tcW w:w="20" w:type="dxa"/>
            <w:vAlign w:val="bottom"/>
            <w:tcBorders>
              <w:top w:val="single" w:sz="8" w:color="auto"/>
              <w:bottom w:val="single" w:sz="8" w:color="auto"/>
            </w:tcBorders>
          </w:tcPr>
          <w:p>
            <w:pPr>
              <w:spacing w:after="0"/>
              <w:rPr>
                <w:sz w:val="22"/>
                <w:szCs w:val="22"/>
                <w:color w:val="auto"/>
              </w:rPr>
            </w:pPr>
          </w:p>
        </w:tc>
      </w:tr>
      <w:tr>
        <w:trPr>
          <w:trHeight w:val="189"/>
        </w:trPr>
        <w:tc>
          <w:tcPr>
            <w:tcW w:w="394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June 2025</w:t>
            </w:r>
          </w:p>
        </w:tc>
        <w:tc>
          <w:tcPr>
            <w:tcW w:w="3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68</w:t>
            </w:r>
          </w:p>
        </w:tc>
        <w:tc>
          <w:tcPr>
            <w:tcW w:w="3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Committees</w:t>
            </w:r>
            <w:r>
              <w:rPr>
                <w:rFonts w:ascii="Times New Roman" w:cs="Times New Roman" w:eastAsia="Times New Roman" w:hAnsi="Times New Roman"/>
                <w:sz w:val="17"/>
                <w:szCs w:val="17"/>
                <w:color w:val="auto"/>
              </w:rPr>
              <w:t>: Compensation (Chair)</w:t>
            </w: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4" w:lineRule="exact"/>
        <w:rPr>
          <w:sz w:val="20"/>
          <w:szCs w:val="20"/>
          <w:color w:val="auto"/>
        </w:rPr>
      </w:pPr>
    </w:p>
    <w:p>
      <w:pPr>
        <w:jc w:val="both"/>
        <w:ind w:left="640" w:right="659"/>
        <w:spacing w:after="0" w:line="261" w:lineRule="auto"/>
        <w:rPr>
          <w:sz w:val="20"/>
          <w:szCs w:val="20"/>
          <w:color w:val="auto"/>
        </w:rPr>
      </w:pPr>
      <w:r>
        <w:rPr>
          <w:rFonts w:ascii="Times New Roman" w:cs="Times New Roman" w:eastAsia="Times New Roman" w:hAnsi="Times New Roman"/>
          <w:sz w:val="17"/>
          <w:szCs w:val="17"/>
          <w:color w:val="auto"/>
        </w:rPr>
        <w:t>Jeff Saling has served as a member of the Board since June 2025. Mr. Saling is a serial entrepreneur, seasoned executive, and prolific investor with over 30 years of experience in launching, scaling, and exiting startups in the SaaS and cloud domains. He currently serves as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203"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Board believes that Mr. Saling’s professional business and entrepreneur experience makes him well qualified to serve as a member of our Board.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compensate our non-employee directors with a combination of cash and equity awards in the form of quarterly stock options, each as described below. Edmund Nabrotzky our CEO, also serves as a director and we compensate Mr. Nabrotzky solely for serving as our CEO and do not provide additional compensation for his service as a director.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below for details on the compensation provide to Mr. Nabrotzky.</w:t>
      </w:r>
    </w:p>
    <w:p>
      <w:pPr>
        <w:spacing w:after="0" w:line="103"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Cash Compensation. </w:t>
      </w:r>
      <w:r>
        <w:rPr>
          <w:rFonts w:ascii="Times New Roman" w:cs="Times New Roman" w:eastAsia="Times New Roman" w:hAnsi="Times New Roman"/>
          <w:sz w:val="17"/>
          <w:szCs w:val="17"/>
          <w:color w:val="auto"/>
        </w:rPr>
        <w:t>Each non-employee director receives an annual cash fee of $50,000, payable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quarterly in arrears.</w:t>
      </w:r>
    </w:p>
    <w:p>
      <w:pPr>
        <w:spacing w:after="0" w:line="7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Equity Compensation. </w:t>
      </w:r>
      <w:r>
        <w:rPr>
          <w:rFonts w:ascii="Times New Roman" w:cs="Times New Roman" w:eastAsia="Times New Roman" w:hAnsi="Times New Roman"/>
          <w:sz w:val="17"/>
          <w:szCs w:val="17"/>
          <w:color w:val="auto"/>
        </w:rPr>
        <w:t>Each non-employee director is eligible to receive quarterly stock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93"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Additional Chair Equity Award. </w:t>
      </w:r>
      <w:r>
        <w:rPr>
          <w:rFonts w:ascii="Times New Roman" w:cs="Times New Roman" w:eastAsia="Times New Roman" w:hAnsi="Times New Roman"/>
          <w:sz w:val="17"/>
          <w:szCs w:val="17"/>
          <w:color w:val="auto"/>
        </w:rPr>
        <w:t>In addition to the quarterly stock option awards, any director serving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the chair of a committee of the Board is eligible to receive an additional annual grant of stock options with a number of shares subject to the options determined by dividing $25,000 by the closing price of our Common Stock on the date of grant. We did not grant any option awards to the committee chairs during 2025.</w:t>
      </w:r>
    </w:p>
    <w:p>
      <w:pPr>
        <w:spacing w:after="0" w:line="99" w:lineRule="exact"/>
        <w:rPr>
          <w:sz w:val="20"/>
          <w:szCs w:val="20"/>
          <w:color w:val="auto"/>
        </w:rPr>
      </w:pPr>
    </w:p>
    <w:p>
      <w:pPr>
        <w:jc w:val="both"/>
        <w:ind w:left="580" w:right="579" w:firstLine="41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Expense Reimbursement. </w:t>
      </w:r>
      <w:r>
        <w:rPr>
          <w:rFonts w:ascii="Times New Roman" w:cs="Times New Roman" w:eastAsia="Times New Roman" w:hAnsi="Times New Roman"/>
          <w:sz w:val="17"/>
          <w:szCs w:val="17"/>
          <w:color w:val="auto"/>
        </w:rPr>
        <w:t>We will reimburse all of our non-employee directors for all reasonable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expenses incurred in the performance of their services in accordance with our expense reimbursement guidelines.</w:t>
      </w:r>
    </w:p>
    <w:p>
      <w:pPr>
        <w:spacing w:after="0" w:line="30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following table provides information for all compensation awarded to, earned by, or paid to each person who served as a non-employee director in the fiscal year ending December 31, 2025. Mr. Nabrotzky is not included in the table below because he did not receive additional compensation for his service as a director. The compensation received by Mr. Nabrotzky as an employee for the fiscal year ending December 31, 2025, is shown below in “</w:t>
      </w:r>
      <w:r>
        <w:rPr>
          <w:rFonts w:ascii="Times New Roman" w:cs="Times New Roman" w:eastAsia="Times New Roman" w:hAnsi="Times New Roman"/>
          <w:sz w:val="17"/>
          <w:szCs w:val="17"/>
          <w:i w:val="1"/>
          <w:iCs w:val="1"/>
          <w:color w:val="auto"/>
        </w:rPr>
        <w:t>Executive Compensation-Summary Compensation Table</w:t>
      </w:r>
      <w:r>
        <w:rPr>
          <w:rFonts w:ascii="Times New Roman" w:cs="Times New Roman" w:eastAsia="Times New Roman" w:hAnsi="Times New Roman"/>
          <w:sz w:val="17"/>
          <w:szCs w:val="17"/>
          <w:color w:val="auto"/>
        </w:rPr>
        <w:t>.”</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Paid in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4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2"/>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100" w:type="dxa"/>
            <w:vAlign w:val="bottom"/>
          </w:tcPr>
          <w:p>
            <w:pPr>
              <w:spacing w:after="0"/>
              <w:rPr>
                <w:sz w:val="21"/>
                <w:szCs w:val="21"/>
                <w:color w:val="auto"/>
              </w:rPr>
            </w:pPr>
          </w:p>
        </w:tc>
        <w:tc>
          <w:tcPr>
            <w:tcW w:w="110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(2)</w:t>
            </w:r>
          </w:p>
        </w:tc>
        <w:tc>
          <w:tcPr>
            <w:tcW w:w="80" w:type="dxa"/>
            <w:vAlign w:val="bottom"/>
          </w:tcPr>
          <w:p>
            <w:pPr>
              <w:spacing w:after="0"/>
              <w:rPr>
                <w:sz w:val="21"/>
                <w:szCs w:val="21"/>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4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Sheldon Paul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117,500</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Phyllis Newhouse</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105,000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142,500</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 Saling</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105,000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142,500</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Janice Bryant Howroyd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105,000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142,500</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105,000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142,500</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David Carlson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37,500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105,000</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142,500</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value of the annual retainers payable to our non-employee directors.</w:t>
      </w:r>
    </w:p>
    <w:p>
      <w:pPr>
        <w:spacing w:after="0" w:line="2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earned, we did not grant any option awards to our non-employee directors during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RATIFICATION OF APPOINTMENT OF INDEPENDENT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PUBLIC ACCOUNTING FIRM</w:t>
      </w:r>
    </w:p>
    <w:p>
      <w:pPr>
        <w:spacing w:after="0" w:line="123" w:lineRule="exact"/>
        <w:rPr>
          <w:sz w:val="20"/>
          <w:szCs w:val="20"/>
          <w:color w:val="auto"/>
        </w:rPr>
      </w:pPr>
    </w:p>
    <w:p>
      <w:pPr>
        <w:jc w:val="both"/>
        <w:ind w:left="580" w:right="579" w:firstLine="419"/>
        <w:spacing w:after="0" w:line="272" w:lineRule="auto"/>
        <w:rPr>
          <w:sz w:val="20"/>
          <w:szCs w:val="20"/>
          <w:color w:val="auto"/>
        </w:rPr>
      </w:pPr>
      <w:r>
        <w:rPr>
          <w:rFonts w:ascii="Times New Roman" w:cs="Times New Roman" w:eastAsia="Times New Roman" w:hAnsi="Times New Roman"/>
          <w:sz w:val="17"/>
          <w:szCs w:val="17"/>
          <w:color w:val="auto"/>
        </w:rPr>
        <w:t>The Audit Committee of the Board has selected Carr, Riggs &amp; Ingram, LLC (“</w:t>
      </w:r>
      <w:r>
        <w:rPr>
          <w:rFonts w:ascii="Times New Roman" w:cs="Times New Roman" w:eastAsia="Times New Roman" w:hAnsi="Times New Roman"/>
          <w:sz w:val="17"/>
          <w:szCs w:val="17"/>
          <w:b w:val="1"/>
          <w:bCs w:val="1"/>
          <w:i w:val="1"/>
          <w:iCs w:val="1"/>
          <w:color w:val="auto"/>
        </w:rPr>
        <w:t>CRI</w:t>
      </w:r>
      <w:r>
        <w:rPr>
          <w:rFonts w:ascii="Times New Roman" w:cs="Times New Roman" w:eastAsia="Times New Roman" w:hAnsi="Times New Roman"/>
          <w:sz w:val="17"/>
          <w:szCs w:val="17"/>
          <w:color w:val="auto"/>
        </w:rPr>
        <w:t>”)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w:t>
      </w:r>
    </w:p>
    <w:p>
      <w:pPr>
        <w:spacing w:after="0" w:line="9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Wolf &amp; Company, P.C. (“</w:t>
      </w:r>
      <w:r>
        <w:rPr>
          <w:rFonts w:ascii="Times New Roman" w:cs="Times New Roman" w:eastAsia="Times New Roman" w:hAnsi="Times New Roman"/>
          <w:sz w:val="17"/>
          <w:szCs w:val="17"/>
          <w:b w:val="1"/>
          <w:bCs w:val="1"/>
          <w:i w:val="1"/>
          <w:iCs w:val="1"/>
          <w:color w:val="auto"/>
        </w:rPr>
        <w:t>Wolf</w:t>
      </w:r>
      <w:r>
        <w:rPr>
          <w:rFonts w:ascii="Times New Roman" w:cs="Times New Roman" w:eastAsia="Times New Roman" w:hAnsi="Times New Roman"/>
          <w:sz w:val="17"/>
          <w:szCs w:val="17"/>
          <w:color w:val="auto"/>
        </w:rPr>
        <w:t>”) served as the Company’s independent registered public accounting firm from January 2024 through June 30, 2024. Berkowitz Pollack Brant Advisors (“</w:t>
      </w:r>
      <w:r>
        <w:rPr>
          <w:rFonts w:ascii="Times New Roman" w:cs="Times New Roman" w:eastAsia="Times New Roman" w:hAnsi="Times New Roman"/>
          <w:sz w:val="17"/>
          <w:szCs w:val="17"/>
          <w:b w:val="1"/>
          <w:bCs w:val="1"/>
          <w:i w:val="1"/>
          <w:iCs w:val="1"/>
          <w:color w:val="auto"/>
        </w:rPr>
        <w:t>BPB</w:t>
      </w:r>
      <w:r>
        <w:rPr>
          <w:rFonts w:ascii="Times New Roman" w:cs="Times New Roman" w:eastAsia="Times New Roman" w:hAnsi="Times New Roman"/>
          <w:sz w:val="17"/>
          <w:szCs w:val="17"/>
          <w:color w:val="auto"/>
        </w:rPr>
        <w:t>”) served as the Company’s independent registered public accounting firm from July 1, 2024 through December 31, 2025. On December 31, 2025, the Audit Committee of the Board simultaneously dismissed BPB as the Company’s independent registered public accounting firm as a result of a transaction pursuant to which CRI acquired certain assets related to the capital markets practice of BPB and approved the appointment of CRI as the Company’s new independent registered public accounting firm.</w:t>
      </w:r>
    </w:p>
    <w:p>
      <w:pPr>
        <w:spacing w:after="0" w:line="1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Representatives of CRI are expected to attend the Annual Meeting. They will have an opportunity to make a statement if they so desire and will be available to respond to appropriate questions. Our Board is submitting this appointment as a matter of good corporate governance and because we value our stockholders’ views on our independent registered public accounting firm. Neither our bylaws nor other governing documents or law requires stockholder ratification of the appointment of our independent registered public accounting firm. If the stockholders fail to ratify this appointment, our Board will reconsider whether or not to retain CRI. Even if the appointment is ratified, our Board may direct the appointment of a different independent registered public accounting firm at any time during the year if they determine that such a change would be in our best interests and in the best interests of our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Accountant Fees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presents the aggregate fees billed for professional services rendered by each of CRI, Wolf and BPB for the fiscal years ended December 31, 2025 and December 31, 2024.</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10"/>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4"/>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4"/>
        </w:trPr>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4"/>
        </w:trPr>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3"/>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 of Fees</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22"/>
                <w:szCs w:val="22"/>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CRI</w:t>
            </w:r>
          </w:p>
        </w:tc>
        <w:tc>
          <w:tcPr>
            <w:tcW w:w="220" w:type="dxa"/>
            <w:vAlign w:val="bottom"/>
          </w:tcPr>
          <w:p>
            <w:pPr>
              <w:spacing w:after="0"/>
              <w:rPr>
                <w:sz w:val="22"/>
                <w:szCs w:val="22"/>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BPB</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Wolf</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BPB</w:t>
            </w:r>
          </w:p>
        </w:tc>
        <w:tc>
          <w:tcPr>
            <w:tcW w:w="240" w:type="dxa"/>
            <w:vAlign w:val="bottom"/>
          </w:tcPr>
          <w:p>
            <w:pPr>
              <w:spacing w:after="0"/>
              <w:rPr>
                <w:sz w:val="22"/>
                <w:szCs w:val="22"/>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Wolf</w:t>
            </w:r>
          </w:p>
        </w:tc>
      </w:tr>
      <w:tr>
        <w:trPr>
          <w:trHeight w:val="260"/>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215,000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222,390</w:t>
            </w: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307,621</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394,105</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w:t>
            </w:r>
          </w:p>
        </w:tc>
      </w:tr>
      <w:tr>
        <w:trPr>
          <w:trHeight w:val="275"/>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0"/>
                <w:szCs w:val="20"/>
                <w:color w:val="auto"/>
                <w:vertAlign w:val="superscript"/>
              </w:rPr>
              <w:t>(3)</w:t>
            </w:r>
          </w:p>
        </w:tc>
        <w:tc>
          <w:tcPr>
            <w:tcW w:w="22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42,750</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13,250</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(4)</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5"/>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215,000</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265,140</w:t>
            </w:r>
          </w:p>
        </w:tc>
        <w:tc>
          <w:tcPr>
            <w:tcW w:w="2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307,621</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407,355</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are in USD.</w:t>
      </w:r>
    </w:p>
    <w:p>
      <w:pPr>
        <w:spacing w:after="0" w:line="2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professional services rendered in connection with the audit of our financial statements, review of our interim financial statements, consents, and review of documents such as registration statements filed with the SEC.</w:t>
      </w:r>
    </w:p>
    <w:p>
      <w:pPr>
        <w:jc w:val="both"/>
        <w:ind w:left="1000" w:right="579" w:hanging="426"/>
        <w:spacing w:after="0" w:line="256" w:lineRule="auto"/>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include fees related to assurance and related services that are reasonably related to the performance of the audit or review of our financial statements, including attestation services that are not required by statute or regulation.</w:t>
      </w:r>
    </w:p>
    <w:p>
      <w:pPr>
        <w:ind w:left="1000" w:hanging="426"/>
        <w:spacing w:after="0"/>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fees billed for tax compliance, tax advice and tax planning services.</w:t>
      </w:r>
    </w:p>
    <w:p>
      <w:pPr>
        <w:spacing w:after="0" w:line="14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There were no other fees billed by CRI, Wolf or BPB for services rendered to us, other than the services described above, in 2025 and 2024.</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Committee’s Approval</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adopted a policy and procedures for the pre-approval of audit and non-audit services rendered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of the Board has determined that the rendering of services other than audit services by CRI is compatible with maintaining the principal accountant’s independence.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affirmative vote of the holders of a majority of the shares present or represented by proxy and entitled to vote on the matter at the Annual Meeting will be required to ratify the selection of CRI.</w:t>
      </w:r>
    </w:p>
    <w:p>
      <w:pPr>
        <w:spacing w:after="0" w:line="66"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THE RATIFICATION OF THE APPOINTMENT OF CARR, RIGGS &amp; INGRAM, LLC AS OUR INDEPENDENT REGISTERED PUBLIC ACCOUNTING FIRM FOR THE FISCAL YEAR ENDED DECEMBER 31,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w:t>
      </w:r>
    </w:p>
    <w:p>
      <w:pPr>
        <w:spacing w:after="0" w:line="32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w:t>
      </w:r>
    </w:p>
    <w:p>
      <w:pPr>
        <w:spacing w:after="0" w:line="1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Audit Committee has reviewed and discussed the audited financial statements for the fiscal year ended December 31, 2025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 w:cs="Times New Roman" w:eastAsia="Times New Roman" w:hAnsi="Times New Roman"/>
          <w:sz w:val="17"/>
          <w:szCs w:val="17"/>
          <w:b w:val="1"/>
          <w:bCs w:val="1"/>
          <w:i w:val="1"/>
          <w:iCs w:val="1"/>
          <w:color w:val="auto"/>
        </w:rPr>
        <w:t>PCAOB</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Based on the foregoing, the Audit Committee has recommended to the Board of Directors that the audited financial statements be included in the Company’s Annual Report on Form 10-K for the fiscal year ended December 31, 2025.</w:t>
      </w:r>
    </w:p>
    <w:p>
      <w:pPr>
        <w:spacing w:after="0" w:line="9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p>
    <w:p>
      <w:pPr>
        <w:spacing w:after="0" w:line="8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color w:val="auto"/>
        </w:rPr>
        <w:t>THE AUDIT COMMITTEE</w:t>
      </w:r>
    </w:p>
    <w:p>
      <w:pPr>
        <w:spacing w:after="0" w:line="15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 xml:space="preserve">Walter Skowronski, </w:t>
      </w:r>
      <w:r>
        <w:rPr>
          <w:rFonts w:ascii="Times New Roman" w:cs="Times New Roman" w:eastAsia="Times New Roman" w:hAnsi="Times New Roman"/>
          <w:sz w:val="17"/>
          <w:szCs w:val="17"/>
          <w:i w:val="1"/>
          <w:iCs w:val="1"/>
          <w:color w:val="auto"/>
        </w:rPr>
        <w:t>Chair</w:t>
      </w:r>
    </w:p>
    <w:p>
      <w:pPr>
        <w:spacing w:after="0" w:line="3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Phyllis Newhouse,</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Dr. David Carlson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THE REVERSE SPLIT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Board has determined that it is advisable and in the best interests of the Company and its stockholders, for us to have the ability to amend our Amended and Restated Certificate of Incorporation to effect a reverse stock split (the “</w:t>
      </w:r>
      <w:r>
        <w:rPr>
          <w:rFonts w:ascii="Times New Roman" w:cs="Times New Roman" w:eastAsia="Times New Roman" w:hAnsi="Times New Roman"/>
          <w:sz w:val="17"/>
          <w:szCs w:val="17"/>
          <w:b w:val="1"/>
          <w:bCs w:val="1"/>
          <w:i w:val="1"/>
          <w:iCs w:val="1"/>
          <w:color w:val="auto"/>
        </w:rPr>
        <w:t>Reverse Split Amendment</w:t>
      </w:r>
      <w:r>
        <w:rPr>
          <w:rFonts w:ascii="Times New Roman" w:cs="Times New Roman" w:eastAsia="Times New Roman" w:hAnsi="Times New Roman"/>
          <w:sz w:val="17"/>
          <w:szCs w:val="17"/>
          <w:color w:val="auto"/>
        </w:rPr>
        <w:t>”) at a ratio ranging between one-for-ten (1:10) and one-for-twenty-five (1:25) to be determined by the Board (the “</w:t>
      </w:r>
      <w:r>
        <w:rPr>
          <w:rFonts w:ascii="Times New Roman" w:cs="Times New Roman" w:eastAsia="Times New Roman" w:hAnsi="Times New Roman"/>
          <w:sz w:val="17"/>
          <w:szCs w:val="17"/>
          <w:b w:val="1"/>
          <w:bCs w:val="1"/>
          <w:i w:val="1"/>
          <w:iCs w:val="1"/>
          <w:color w:val="auto"/>
        </w:rPr>
        <w:t>Split Ratio Range</w:t>
      </w:r>
      <w:r>
        <w:rPr>
          <w:rFonts w:ascii="Times New Roman" w:cs="Times New Roman" w:eastAsia="Times New Roman" w:hAnsi="Times New Roman"/>
          <w:sz w:val="17"/>
          <w:szCs w:val="17"/>
          <w:color w:val="auto"/>
        </w:rPr>
        <w:t xml:space="preserve">”), in the form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 The Reverse Split Proposal, if approved, would not immediately cause a reverse stock split, but rather would grant authorization to our Board to effect a reverse stock split with a split ratio within the Split Ratio Range (a “</w:t>
      </w: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 xml:space="preserve">”), if and when determined by our Board. Our Board has deemed it advisable, approved, and recommended that our stockholders adopt, and is hereby soliciting stockholder approval of, the Reverse Split Amendment, in the form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w:t>
      </w:r>
    </w:p>
    <w:p>
      <w:pPr>
        <w:spacing w:after="0" w:line="32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we receive the required stockholder approval, our Board will have the sole authority to elect whether or not to effect the Reverse Stock Split. Even with stockholder approval of the Reverse Split Proposal, our Board will not be obligated to pursue the Reverse Stock Split. Rather, our Board will have the flexibility to decide whether or not the Reverse Stock Split (and at what ratio within the Split Ratio Range) is in the best interests of the Company and its stockholders.</w:t>
      </w:r>
    </w:p>
    <w:p>
      <w:pPr>
        <w:spacing w:after="0" w:line="10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approved by our stockholders and, following such approval, our Board determines that effecting the Reverse Stock Split is in the best interests of the Company and our stockholders, the Reverse Stock Split would become effective upon filing the Reverse Split Amendment as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with the Secretary of State of the State of Delaware. As filed, the certificate of amendment would state the number of outstanding shares to be combined into one share of our Common Stock, at the ratio approved by our Board within the Split Ratio Range. The amendment would not change the par value of our Common Stock and would not impact the total number of authorized shares of our Common Stock or preferred stock. Therefore, upon effectiveness of the Reverse Stock Split, the number of shares of our Common Stock that are authorized and unissued will increase relative to the number of issued and outstanding shares of our Common Stock.</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Nasdaq Minimum Bid Price Requirements and Certain Potential Delisting Implications</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Nasdaq Rules require that we maintain a closing price for shares of our Common Stock of at least $1.00 per share (also referred to as the “</w:t>
      </w:r>
      <w:r>
        <w:rPr>
          <w:rFonts w:ascii="Times New Roman" w:cs="Times New Roman" w:eastAsia="Times New Roman" w:hAnsi="Times New Roman"/>
          <w:sz w:val="17"/>
          <w:szCs w:val="17"/>
          <w:b w:val="1"/>
          <w:bCs w:val="1"/>
          <w:i w:val="1"/>
          <w:iCs w:val="1"/>
          <w:color w:val="auto"/>
        </w:rPr>
        <w:t>minimum bid price requirement</w:t>
      </w:r>
      <w:r>
        <w:rPr>
          <w:rFonts w:ascii="Times New Roman" w:cs="Times New Roman" w:eastAsia="Times New Roman" w:hAnsi="Times New Roman"/>
          <w:sz w:val="17"/>
          <w:szCs w:val="17"/>
          <w:color w:val="auto"/>
        </w:rPr>
        <w:t>”). On February 5, 2026, we received a written notification from Nasdaq notifying us that we had failed to comply with the minimum bid price requirement because the bid price for our Common Stock over a period of 30 consecutive business days prior to such date had closed below the minimum $1.00 per share requirement. In accordance with Nasdaq Rules, we have 180 calendar days to regain compliance with the minimum bid price requirement. To regain compliance, the closing bid price of our Common Stock must be at least $1.00 per share for a minimum of ten consecutive business days before August 4, 2026. In the event that we do not regain compliance within this 180-day period, we may be eligible to transfer from The Nasdaq Global Select Market to the Nasdaq Capital Market and seek an additional compliance period of 180 calendar days if we meet the continued listing requirement for market value of publicly held shares and all other initial listing standards for the Nasdaq Capital Market, with the exception of the minimum bid price requirement, and provide written notice to Nasdaq of our intent to cure the deficiency during this second compliance period by effecting a reverse stock split if necessary. However, if it appears to the Nasdaq staff that we will not be able to cure the deficiency, if we have a closing bid price of $0.10 or less for a period of ten (10) consecutive business days, or if we are otherwise not eligible, Nasdaq will provide notice to the Company that our Common Stock will be subject to delisting. There can be no assurance that we will be able to regain compliance with the minimum bid price requirement, maintain compliance with any of the other Nasdaq continued listing requirements, or be successful in any appeal we may undertake.</w:t>
      </w:r>
    </w:p>
    <w:p>
      <w:pPr>
        <w:spacing w:after="0" w:line="119"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Our Board believes that effecting the Reverse Stock Split may be the best means of maintaining the price of our Common Stock above $1.00 per share in compliance with the minimum bid price requirement for continued listing on Nasdaq. The Board believes that continued listing on Nasdaq provides overall credibility to an investment in our stock, given the stringent listing and disclosure requirements of Nasdaq. Notably, some trading firms discourage investors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w:t>
      </w:r>
    </w:p>
    <w:p>
      <w:pPr>
        <w:spacing w:after="0" w:line="30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Under Section 242(c) of the Delaware General Corporation Law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our Board has reserved the right, notwithstanding our stockholders’ approval of the Reverse Split Amendment at the Annual Meeting, to abandon the proposed amendment at any time (without further action by our stockholders) before the certificate of amendment is filed with the Secretary of State of the State of Delaware. Further, our Board may consider a variety of factors in determining the appropriate range within the Split Ratio Range for any such amendment, including overall trends in the stock market, recent changes, and anticipated trends in the per-share market price of our Common Stock, business developments and our actual and projected financial performance. Again, our Board may decide to abandon the proposed Reverse Split Amendment in its entirety, particularly if the closing bid price of our Common Stock on Nasdaq has significantly increased over a period of time.</w:t>
      </w:r>
    </w:p>
    <w:p>
      <w:pPr>
        <w:spacing w:after="0" w:line="114"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If our Common Stock were delisted from The Nasdaq Global Select Market, trading of our Common Stock would thereafter be conducted on the OTC Markets or the “pink sheets.” As a result, an investor may find it more difficult to dispose of, or to obtain accurate quotations as to the price of, our Common Stock. To relist shares of our Common Stock on The Nasdaq Global Select Market, we would be required to meet the initial listing requirements for The Nasdaq Global Select Market, which are more stringent than the maintenance requirements.</w:t>
      </w:r>
    </w:p>
    <w:p>
      <w:pPr>
        <w:spacing w:after="0" w:line="3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is seeking stockholder approval of the Reverse Split Proposal in order to have the authority to effectuate the Reverse Stock Split as a potential means of increasing the per-share price of our Common Stock, however, there can be no assurance that the Reverse Stock Split would result in the bid price per share of our Common Stock exceeding $1.00 for an extended period of time.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Considerations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also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Risks Associated with the Reverse Stock Split</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In evaluating whether to seek stockholder approval of the Reverse Split Proposal, our Board considered negative factors associated with reverse stock splits. These factors included, but were not limited to,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There can be no assurance that the Reverse Stock Split would achieve any of the above desired results. There also can be no assurance that the price per share of our Common Stock immediately after the Reverse Stock Split would increase proportionately with the Reverse Stock Split, or that any increase would be sustained for any period of time.</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cannot predict whether the Reverse Stock Split, if completed, will increase the market price for our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Common Stock. There can be no assurance that:</w:t>
      </w:r>
    </w:p>
    <w:p>
      <w:pPr>
        <w:spacing w:after="0" w:line="140" w:lineRule="exact"/>
        <w:rPr>
          <w:sz w:val="20"/>
          <w:szCs w:val="20"/>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per share would remain in excess of the minimum bid price requirement;</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per share of our Common Stock after the Reverse Stock Split would rise in proportion to the reduction in the number of shares outstanding before the Reverse Stock Split;</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7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would result in a per-share price that would attract brokers and investors who do not trade in lower-priced stocks;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would result in a per-share price that would increase our ability to attract and retain employees and other service providers; or</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would promote greater liquidity for our stockholders with respect to their shares.</w:t>
      </w:r>
    </w:p>
    <w:p>
      <w:pPr>
        <w:spacing w:after="0" w:line="6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market price of our Common Stock is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on Number of Authorized, But Unissued Shares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would reduce the number of outstanding shares of our Common Stock without reducing the number of shares of authorized Common Stock. Therefore, the number of shares of our Common Stock that are authorized and unissued will increase relative to the number of issued and outstanding shares of our Common Stock following the Reverse Stock Split. Our Board may authorize the issuance of authorized and unissued shares of our Common Stock without further stockholder action for a variety of purposes, except as such stockholder approval may be required in particular cases by our Amended and Restated Certificate of Incorporation, applicable law, or the Nasdaq Rules or any stock exchange on which our securities may then be listed. The issuance of additional shares would be dilutive to our existing stockholders and an issuance, potential issuance, or the perception that issuances may occur may cause a decline in the trading price of our Common Stock.</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Anti-takeover Considerations; Not Intended to Be a “Going Private Transaction”</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issuance of authorized but unissued shares of Common Stock could also be used to deter a potential takeover of us that may otherwise be beneficial to stockholders by diluting the shares held by a potential suitor or issuing shares to a stockholder that will vote in accordance with our Board’s desires. A takeover may be beneficial to independent stockholders because, among other reasons, a potential suitor may offer such stockholders a premium for their shares of stock compared to the then-existing market price. The Reverse Split Proposal is not intended to be an anti-takeover device, and we do not have any plans or proposals to adopt provisions or enter into agreements that may have material anti-takeover consequences. The Reverse Stock Split is not intended as, and would not have the effect of, a “going private transaction” covered by Rule 13e-3 under the Exchange Act. Following the Reverse Stock Split, we would continue to be subject to the periodic reporting requirements of the Exchange Act.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 on the Market for Our Common Stock</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the Record Date, the closing price for our Common Stock on Nasdaq was $0.1869 per share. By decreasing the number of shares of our Common Stock outstanding without altering the aggregate economic interest represented by the shares, we believe the market price would be increased. The greater the market price rises above $1.00 per share, the less risk there would be that we would fail to meet the requirements for maintaining the listing of our Common Stock on The Nasdaq Global Select Market. However, there can be no assurance that the market price of the Common Stock would rise to or maintain any particular level or that we would at all times be able to meet the requirements for maintaining the listing of our Common Stock on The Nasdaq Global Select Market.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 on Our Common Stock; No Fractional Shares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our stockholders approve the Reverse Split Proposal, and if our Board decides to effectuate the Reverse Stock Split, the principal effect of the amendment would be to reduce the number of issued and outstanding shares of our Common Stock, depending on the Split Ratio Range set forth in such amendment, from 29,293,322 shares as of the Record Date to between 1,171,733 shares and 2,929,332 shares, assuming no shares of our Common Stock are issued before the effective date of the Reverse Stock Split. While our Board has authorized us to complete the Reverse Stock Split within the Split Ratio Range, we do not intend to effectuate a Reverse Stock Split to the extent that the Reverse Stock Split would result in us going private or failing to meet any Nasdaq continued listing requirements. If the Reverse Stock Split is effectuated, the total number of shares of our Common Stock each stockholder holds would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be reclassified automatically into the number of shares of our Common Stock equal to the number of shares of our Common Stock each stockholder held immediately prior to the Reverse Stock Split divided by the ratio approved by our Board within the Split Ratio Range and set forth in the Reverse Split Amendment.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noted above, effecting the Reverse Stock Split will not change the total authorized number of shares of our Common Stock. However, the reduction in the number of issued and outstanding shares would provide more authorized shares available for future issuance. We have no specific commitment, arrangement, understanding, or agreement regarding the issuance of Common Stock subsequent to this proposed increase in the number of authorized shares at this time, and we have not allocated any specific portion of the proposed increase in the authorized number of shares to any particular purpose. Our Board does not intend to issue any Common Stock or securities convertible into Common Stock except on terms that our Board deems to be in the best interests of the Company and our stockholders.</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Our directors and executive officers also have no substantial interests, directly or indirectly, in the Reverse Stock Split, except to the extent of their ownership in shares of our Common Stock and securities exercisable for our Common Stock, which shares and securities would be subject to the same proportionate adjustment in accordance with the terms of the Reverse Stock Split as all other outstanding shares of our Common Stock and securities exercisable for our Common Stock.</w:t>
      </w:r>
    </w:p>
    <w:p>
      <w:pPr>
        <w:spacing w:after="0" w:line="9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Reverse Stock Split would affect all of our stockholders uniformly and would not affect any stockholder’s percentage ownership interests, except to the extent that the Reverse Stock Split results in such stockholder owning a fractional share. No fractional shares will be issued in connection with the Reverse Stock Split. Stockholders who otherwise would be entitled to receive fractional shares because they hold a number of pre-split shares not evenly divisible by the number of pre-split shares for which each post-split share is to be exchanged, will be entitled to a cash payment in lieu thereof at a price equal to the fraction to which the stockholder would otherwise be entitled multiplied by the closing price of the Common Stock, as reported by Nasdaq, as applicable, on the last trading day prior to the effective date of the Reverse Stock Split. The proceeds would be subject to certain taxes as discussed below. In addition, stockholders would not be entitled to receive interest for the period of time between the filing of the certificate of amendment to the Amended and Restated Certificate of Incorporation and the date a stockholder receives payment for the cashed-out fractional shares. The payment amount would be paid to the stockholder in the form of a check in accordance with the procedures outlined below.</w:t>
      </w:r>
    </w:p>
    <w:p>
      <w:pPr>
        <w:spacing w:after="0" w:line="11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After the Reverse Stock Split, a stockholder would have no further interest in the Company with respect to such stockholder’s cashed-out fractional shares. A person otherwise entitled to a fractional interest would not have any voting, dividend, or other rights except to receive payment as described above. After the effective time of the Reverse Stock Split, our common stock will have a new Committee on Uniform Securities Identification Procedures (“</w:t>
      </w:r>
      <w:r>
        <w:rPr>
          <w:rFonts w:ascii="Times New Roman" w:cs="Times New Roman" w:eastAsia="Times New Roman" w:hAnsi="Times New Roman"/>
          <w:sz w:val="17"/>
          <w:szCs w:val="17"/>
          <w:b w:val="1"/>
          <w:bCs w:val="1"/>
          <w:i w:val="1"/>
          <w:iCs w:val="1"/>
          <w:color w:val="auto"/>
        </w:rPr>
        <w:t>CUSIP</w:t>
      </w:r>
      <w:r>
        <w:rPr>
          <w:rFonts w:ascii="Times New Roman" w:cs="Times New Roman" w:eastAsia="Times New Roman" w:hAnsi="Times New Roman"/>
          <w:sz w:val="17"/>
          <w:szCs w:val="17"/>
          <w:color w:val="auto"/>
        </w:rPr>
        <w:t>”) number, which is a number used to identify our equity securities, and stock certificates with the older CUSIP numbers will need to be exchanged for stock certificates with the new CUSIP numbers by following the procedures described below.</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 on Convertible Securities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our stockholders approve the Reverse Stock Split and our Board elects to effect the Reverse Stock Split, we would adjust and proportionately decrease the number of shares of our Common Stock reserved for issuance upon exercise of, and adjust and proportionately increase the exercise price of, all options and warrants and other rights to acquire our Common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 on Legal Ability to Pay Dividends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have not declared or paid any dividends on our Common Stock, nor do we have any plans to declare in the foreseeable future any distributions of cash or other property to holders of Common Stock, and we are not in arrears on any dividends. Therefore, we do not believe that the Reverse Stock Split would have any effect with respect to future distributions, if any, to holders of our Common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Matters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Reverse Stock Split would not affect the par value of our Common Stock, which would remain unchanged at $0.0001 per share. As a result, on the effective date of the Reverse Stock Split, the stated capital on our balance sheet attributable to our Common Stock would be reduced by the ratio approved by our Board within the Split Ratio Range.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In other words, stated capital would be reduced by the ratio approved by our Board within the Split Ratio Range, and the additional paid-in capital account would be credited with the amount by which the stated capital is reduced. The per-share net income or loss and net book value of our Common Stock would be increased because there would be fewer shares of our Common Stock outstanding.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Holders of Our Common Stock (Stockholders Who Hold in “Street Name”)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Upon the Reverse Stock Split, we intend to treat shares held by stockholders in “street name,” through a broker, in the same manner as registered stockholders whose shares are registered in their names. Brokers would be instructed to effect the Reverse Stock Split for their beneficial holders holding our Common Stock in “street name.” However, brokers may have different procedures than registered stockholders for processing the Reverse Stock Split and making payment for fractional shares. Stockholders holding shares of our Common Stock with a broker and having any questions in this regard should contact their broker.</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Registered “Book-Entry” Holders of Our Common Stock</w:t>
      </w:r>
    </w:p>
    <w:p>
      <w:pPr>
        <w:spacing w:after="0" w:line="160"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If a stockholder holds registered shares in book-entry form with the transfer agent, no action needs to be taken to receive post-Reverse Stock Split shares or cash payment in lieu of any fractional share interest, if applicable. If such a stockholder is entitled to post-Reverse Stock Split shares, a transaction statement would automatically be sent to such stockholder’s address of record indicating the number of shares of our Common Stock held following the Reverse Stock Split. If the Reverse Stock Split is implemented, our transfer agent, Continental, will mail a letter of transmittal to the Company’s stockholders who hold their shares in certificated form, advising such stockholders of the procedures to be followed to exchange certificates.</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 stockholder is entitled to a payment in lieu of any fractional share interest, a check would be mailed to such stockholder’s registered address as soon as practicable after the effective time of the Reverse Stock Split. By endorsing and cashing the check, stockholders would warrant that they owned the shares of our Common Stock for which they received a cash payment. The cash payment is subject to applicable federal and state income tax and state abandoned property laws. No stockholders would be entitled to receive interest for the period of time between the effective time of the Reverse Stock Split and the date payment is received.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Dissenters’ Rights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Under the DGCL, stockholders are not entitled to dissenters’ rights with respect to the Reverse Stock</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Split.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Federal Income Tax Consequences of the Reverse Stock Split</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following discussion summarizes the material U.S. federal income tax consequences of the proposed Reverse Stock Split to our stockholders. The summary is based on the Internal Revenue Code of 1986, as amended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applicable Treasury Regulations promulgated thereunder, judicial authority and current administrative rulings and practices as in effect on the date of this Proxy Statement. Changes to the laws could alter the tax consequences described below, possibly with retroactive effect. We have not sought and will not seek an opinion of counsel or a ruling from the Internal Revenue Service regarding the federal income tax consequences of a Reverse Stock Split. This discussion only addresses stockholders who hold Common Stock as capital assets. It does not purport to be complete and does not address stockholders subject to special tax treatment under the Code, including, without limitation, financial institutions, tax-exempt organizations, insurance companies, dealers in securities, foreign stockholders, stockholders who hold their pre-reverse stock split shares as part of a straddle, hedge or conversion transaction, and stockholders who acquired their pre-reverse stock split shares pursuant to the exercise of employee stock options or otherwise as compensation. 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 holding our Common Stock and the partners in such entities should consult their own tax advisors regarding the U.S. federal income tax consequences of the proposed Reverse Stock Split to them. 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in connection with the Reverse Stock Split.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general, the federal income tax consequences of a Reverse Stock Split will vary among stockholders depending upon whether they receive a whole share of Common Stock in the proposed Reverse Stock Split in lieu of a fractional share or solely a reduced number of shares of Common Stock in exchange for their old shares of Common Stock. We believe that because the Reverse Stock Split is not part of a plan to increase periodically a stockholder’s proportionate interest in our assets or earnings and profits, the Reverse Stock Split should have the following federal income tax effects. The Reverse Stock Split is expected to constitute a “recapitalization” for U.S. federal income tax purposes pursuant to Section 368(a)(1)(E) of the Code. A stockholder who receives solely a reduced number of shares of Common Stock will not recognize gain or loss, except for adjustments that may result from the treatment of fractional shares of common stock as described below. The aggregate tax basis of the shares received in the Reverse Stock Split will equal the aggregate tax basis of the pre-Reverse Stock Split shares exchanged therefore (increased by any income or gain recognized on receipt of a whole share in lieu of a fractional share). Except in the case of any portion of a share of Common Stock treated as a distribution or as to which a U.S. holder recognizes capital gain as a result of the treatment of fractional shares, discussed below, the U.S. holder’s holding period for the post-Reverse Stock Split shares of Common Stock should include the holding period of the pre-Reverse Stock Split shares of Common Stock surrendered. In the aggregate, such a stockholder’s basis in the reduced number of shares of Common Stock will equal the stockholder’s basis in its old shares of Common Stock and such stockholder’s holding period in the reduced number of shares will include the holding period in its old shares exchanged. The Treasury Regulations provide detailed rules for allocating the tax basis and holding period of shares of Common Stock surrendered in a recapitalization to shares received in the recapitalization. Stockholders of our Common Stock acquired on different dates and at different prices should consult their tax advisors regarding the allocation of the tax basis and holding period of such shares.</w:t>
      </w:r>
    </w:p>
    <w:p>
      <w:pPr>
        <w:spacing w:after="0" w:line="32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treatment of fractional shares of Common Stock being rounded up to the next whole share is uncertain. A U.S. holder that receives a whole share of Common Stock in the Reverse Stock Split in lieu of a fractional share of common stock might recognize income, which may be characterized either as capital gain or as a dividend to the extent of the portion of our accumulated earnings and profits (if we have any) attributable to the rounded share. Any such taxable income would be in an amount not to exceed the excess of the fair market value of such whole share over the fair market value of the fractional share to which the U.S. holder was otherwise entitled. U.S. holders should consult their tax advisors regarding the U.S. federal income tax and other tax consequences of fractional shares being rounded to the next whole share (including the holding period of a post-Reverse Stock Split share of Common Stock received in exchange for a fractional pre-Reverse Stock Split share of Common Stock).</w:t>
      </w:r>
    </w:p>
    <w:p>
      <w:pPr>
        <w:spacing w:after="0" w:line="3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will not recognize any gain or loss as a result of the proposed Reverse Stock Split.</w:t>
      </w:r>
    </w:p>
    <w:p>
      <w:pPr>
        <w:spacing w:after="0" w:line="143"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Each stockholder should consult his, her or its own tax advisors concerning the particular U.S. federal tax consequences of the proposed Reverse Stock Split, as well as the consequences arising under the laws of any other taxing jurisdiction, including any state, local or foreign tax consequences.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For the Reverse Split Proposal to be approved, the number of votes cast “FOR” the proposal must exceed the number of votes cast “AGAINST” the proposal; abstentions and any broker non-votes with respect to the Reverse Split Proposal will not be considered “votes cast” and will have no effect on the Reverse Split Proposal. Brokerage firms will not have discretionary authority to vote their customers’ unvoted shares held by the firms in street name on the Reverse Split Proposal, and thus we do not anticipate receiving any broker non-votes on this proposal.</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REVERSE SPLIT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THE NASDAQ SERVICE PROPOSAL</w:t>
      </w:r>
    </w:p>
    <w:p>
      <w:pPr>
        <w:spacing w:after="0" w:line="1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is seeking approval to enter into one of the following financing transactions in order to either</w:t>
      </w:r>
    </w:p>
    <w:p>
      <w:pPr>
        <w:spacing w:after="0" w:line="32" w:lineRule="exact"/>
        <w:rPr>
          <w:sz w:val="20"/>
          <w:szCs w:val="20"/>
          <w:color w:val="auto"/>
        </w:rPr>
      </w:pPr>
    </w:p>
    <w:p>
      <w:pPr>
        <w:jc w:val="both"/>
        <w:ind w:left="580" w:right="599" w:hanging="6"/>
        <w:spacing w:after="0" w:line="265" w:lineRule="auto"/>
        <w:tabs>
          <w:tab w:leader="none" w:pos="82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regular payments under the Original Loan Agreement with J.J. Astor, or (ii) entirely pay off the Original Loan Agreement and, in either case, terminate the Original ELOC and replace it with a new equity line of credit, each as outlined in more detail below.</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Nasdaq Service Proposal A:</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Under Nasdaq Service Proposal A, the Company would enter into the following financing agreements with a potential financing source (“</w:t>
      </w:r>
      <w:r>
        <w:rPr>
          <w:rFonts w:ascii="Times New Roman" w:cs="Times New Roman" w:eastAsia="Times New Roman" w:hAnsi="Times New Roman"/>
          <w:sz w:val="17"/>
          <w:szCs w:val="17"/>
          <w:b w:val="1"/>
          <w:bCs w:val="1"/>
          <w:i w:val="1"/>
          <w:iCs w:val="1"/>
          <w:color w:val="auto"/>
        </w:rPr>
        <w:t>Financing Source A</w:t>
      </w:r>
      <w:r>
        <w:rPr>
          <w:rFonts w:ascii="Times New Roman" w:cs="Times New Roman" w:eastAsia="Times New Roman" w:hAnsi="Times New Roman"/>
          <w:sz w:val="17"/>
          <w:szCs w:val="17"/>
          <w:color w:val="auto"/>
        </w:rPr>
        <w:t>”) providing for (i) a Common Stock Purchase Agreement establishing an equity line of credit facility (the “</w:t>
      </w:r>
      <w:r>
        <w:rPr>
          <w:rFonts w:ascii="Times New Roman" w:cs="Times New Roman" w:eastAsia="Times New Roman" w:hAnsi="Times New Roman"/>
          <w:sz w:val="17"/>
          <w:szCs w:val="17"/>
          <w:b w:val="1"/>
          <w:bCs w:val="1"/>
          <w:i w:val="1"/>
          <w:iCs w:val="1"/>
          <w:color w:val="auto"/>
        </w:rPr>
        <w:t>Equity Line of Credit</w:t>
      </w:r>
      <w:r>
        <w:rPr>
          <w:rFonts w:ascii="Times New Roman" w:cs="Times New Roman" w:eastAsia="Times New Roman" w:hAnsi="Times New Roman"/>
          <w:sz w:val="17"/>
          <w:szCs w:val="17"/>
          <w:color w:val="auto"/>
        </w:rPr>
        <w:t>”), (ii) a Note Purchase Agreement and related senior secured convertible promissory note (the “</w:t>
      </w:r>
      <w:r>
        <w:rPr>
          <w:rFonts w:ascii="Times New Roman" w:cs="Times New Roman" w:eastAsia="Times New Roman" w:hAnsi="Times New Roman"/>
          <w:sz w:val="17"/>
          <w:szCs w:val="17"/>
          <w:b w:val="1"/>
          <w:bCs w:val="1"/>
          <w:i w:val="1"/>
          <w:iCs w:val="1"/>
          <w:color w:val="auto"/>
        </w:rPr>
        <w:t>Source A Note”)</w:t>
      </w:r>
      <w:r>
        <w:rPr>
          <w:rFonts w:ascii="Times New Roman" w:cs="Times New Roman" w:eastAsia="Times New Roman" w:hAnsi="Times New Roman"/>
          <w:sz w:val="17"/>
          <w:szCs w:val="17"/>
          <w:color w:val="auto"/>
        </w:rPr>
        <w:t xml:space="preserve"> with Financing Source A, pursuant to which the Company may receive loan proceeds from Financing Source A in exchange for a convertible note, and (iii) a Common Stock Purchase Warrant to purchase up to $2,000,000 of shares of Common Stock (the “</w:t>
      </w:r>
      <w:r>
        <w:rPr>
          <w:rFonts w:ascii="Times New Roman" w:cs="Times New Roman" w:eastAsia="Times New Roman" w:hAnsi="Times New Roman"/>
          <w:sz w:val="17"/>
          <w:szCs w:val="17"/>
          <w:b w:val="1"/>
          <w:bCs w:val="1"/>
          <w:i w:val="1"/>
          <w:iCs w:val="1"/>
          <w:color w:val="auto"/>
        </w:rPr>
        <w:t>Financing Source A Warrants</w:t>
      </w:r>
      <w:r>
        <w:rPr>
          <w:rFonts w:ascii="Times New Roman" w:cs="Times New Roman" w:eastAsia="Times New Roman" w:hAnsi="Times New Roman"/>
          <w:sz w:val="17"/>
          <w:szCs w:val="17"/>
          <w:color w:val="auto"/>
        </w:rPr>
        <w:t>”). Pursuant to the Equity Line of Credit, the Company would agree to (i) issue to Financing Source A $120,000 of Common Stock (the “</w:t>
      </w:r>
      <w:r>
        <w:rPr>
          <w:rFonts w:ascii="Times New Roman" w:cs="Times New Roman" w:eastAsia="Times New Roman" w:hAnsi="Times New Roman"/>
          <w:sz w:val="17"/>
          <w:szCs w:val="17"/>
          <w:b w:val="1"/>
          <w:bCs w:val="1"/>
          <w:i w:val="1"/>
          <w:iCs w:val="1"/>
          <w:color w:val="auto"/>
        </w:rPr>
        <w:t>Commitment Shares</w:t>
      </w:r>
      <w:r>
        <w:rPr>
          <w:rFonts w:ascii="Times New Roman" w:cs="Times New Roman" w:eastAsia="Times New Roman" w:hAnsi="Times New Roman"/>
          <w:sz w:val="17"/>
          <w:szCs w:val="17"/>
          <w:color w:val="auto"/>
        </w:rPr>
        <w:t>”) and</w:t>
      </w:r>
    </w:p>
    <w:p>
      <w:pPr>
        <w:jc w:val="both"/>
        <w:ind w:left="580" w:right="579" w:hanging="6"/>
        <w:spacing w:after="0" w:line="259" w:lineRule="auto"/>
        <w:tabs>
          <w:tab w:leader="none" w:pos="84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and Financing Source A would agree to purchase, up to $10,000,000 (the “</w:t>
      </w:r>
      <w:r>
        <w:rPr>
          <w:rFonts w:ascii="Times New Roman" w:cs="Times New Roman" w:eastAsia="Times New Roman" w:hAnsi="Times New Roman"/>
          <w:sz w:val="17"/>
          <w:szCs w:val="17"/>
          <w:b w:val="1"/>
          <w:bCs w:val="1"/>
          <w:i w:val="1"/>
          <w:iCs w:val="1"/>
          <w:color w:val="auto"/>
        </w:rPr>
        <w:t>Commitment Amount</w:t>
      </w:r>
      <w:r>
        <w:rPr>
          <w:rFonts w:ascii="Times New Roman" w:cs="Times New Roman" w:eastAsia="Times New Roman" w:hAnsi="Times New Roman"/>
          <w:sz w:val="17"/>
          <w:szCs w:val="17"/>
          <w:color w:val="auto"/>
        </w:rPr>
        <w:t>”) of Common Stock at the Company’s sole discretion. In addition, pursuant to the Financing Source A Note, Financing Source A would agree to provide the Company with up to $2,300,000 in aggregate loan proceeds (the “</w:t>
      </w:r>
      <w:r>
        <w:rPr>
          <w:rFonts w:ascii="Times New Roman" w:cs="Times New Roman" w:eastAsia="Times New Roman" w:hAnsi="Times New Roman"/>
          <w:sz w:val="17"/>
          <w:szCs w:val="17"/>
          <w:b w:val="1"/>
          <w:bCs w:val="1"/>
          <w:i w:val="1"/>
          <w:iCs w:val="1"/>
          <w:color w:val="auto"/>
        </w:rPr>
        <w:t>Note Purchase Price</w:t>
      </w:r>
      <w:r>
        <w:rPr>
          <w:rFonts w:ascii="Times New Roman" w:cs="Times New Roman" w:eastAsia="Times New Roman" w:hAnsi="Times New Roman"/>
          <w:sz w:val="17"/>
          <w:szCs w:val="17"/>
          <w:color w:val="auto"/>
        </w:rPr>
        <w:t>”), structured as individual notes in the aggregate principal amount of $2,875,000 (reflecting a 20% original issue discount) comprised of up to ten monthly tranches of $287,500 in principal ($230,000 funded) each (each, a “</w:t>
      </w:r>
      <w:r>
        <w:rPr>
          <w:rFonts w:ascii="Times New Roman" w:cs="Times New Roman" w:eastAsia="Times New Roman" w:hAnsi="Times New Roman"/>
          <w:sz w:val="17"/>
          <w:szCs w:val="17"/>
          <w:b w:val="1"/>
          <w:bCs w:val="1"/>
          <w:i w:val="1"/>
          <w:iCs w:val="1"/>
          <w:color w:val="auto"/>
        </w:rPr>
        <w:t>Tranche</w:t>
      </w:r>
      <w:r>
        <w:rPr>
          <w:rFonts w:ascii="Times New Roman" w:cs="Times New Roman" w:eastAsia="Times New Roman" w:hAnsi="Times New Roman"/>
          <w:sz w:val="17"/>
          <w:szCs w:val="17"/>
          <w:color w:val="auto"/>
        </w:rPr>
        <w:t>”). The Financing Source A Note constitutes a first senior secured obligation of the Company, secured by all assets, personal property, intellectual property, claims, products and proceeds of the Company. The Company intends to use the proceeds from the sale of shares of Common Stock to Financing Source A under the Equity Line of Credit and, if applicable, from the Financing Source A Note, to make its scheduled monthly payments under the J.J. Astor Loan and terminate the Original ELOC (as defined in the Nasdaq Conversion Proposal below).</w:t>
      </w:r>
    </w:p>
    <w:p>
      <w:pPr>
        <w:spacing w:after="0" w:line="11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Financing Source A Note is expected to be convertible into shares of Common Stock at a variable conversion price equal to eighty percent (80%) multiplied by the lowest daily Volume Weighted Average Price (“</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of the Common Stock during the fifteen (15) trading days prior to the conversion notice (the “Variable Conversion Price”). Upon an Event of Default (as defined in the Financing Source A Note), the conversion price may be reduced to $0.01 per share (the “Default Conversion Price”).</w:t>
      </w:r>
    </w:p>
    <w:p>
      <w:pPr>
        <w:spacing w:after="0" w:line="9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Our Board is seeking stockholder approval as required under Nasdaq Listing Rules 5635(b) and 5635(d) to issue the Commitment Shares to Financing Source A, to sell shares of our Common Stock and the Financing Source A Warrants to Financing Source A, and to issue shares of Common Stock upon conversion of the Financing Source A Note, in the aggregate, in excess of 19.99% of our outstanding shares of Common Stock as of immediately prior to the execution of the Share Purchase Agreement and the Financing Source A Note, as more fully described below.</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Proposed Agreements with Financing Source A</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of the date of this Proxy Statement, the Company has not yet entered into definitive agreements with respect to these transactions. The Company anticipates negotiating and entering into definitive agreements with Financing Source A on the terms set forth below, subject to customary closing conditions and the receipt of stockholder approval as described herein.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Line of Credit</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 Company is in the process of negotiating a Common Stock Purchase Agreement (the “CSPA”) with Financing Source A for a proposed Equity Line of Credit. Under the CSPA, the Equity Line of Credit provides for up to $10,000,000 (the “</w:t>
      </w:r>
      <w:r>
        <w:rPr>
          <w:rFonts w:ascii="Times New Roman" w:cs="Times New Roman" w:eastAsia="Times New Roman" w:hAnsi="Times New Roman"/>
          <w:sz w:val="17"/>
          <w:szCs w:val="17"/>
          <w:b w:val="1"/>
          <w:bCs w:val="1"/>
          <w:i w:val="1"/>
          <w:iCs w:val="1"/>
          <w:color w:val="auto"/>
        </w:rPr>
        <w:t>Commitment Amount</w:t>
      </w:r>
      <w:r>
        <w:rPr>
          <w:rFonts w:ascii="Times New Roman" w:cs="Times New Roman" w:eastAsia="Times New Roman" w:hAnsi="Times New Roman"/>
          <w:sz w:val="17"/>
          <w:szCs w:val="17"/>
          <w:color w:val="auto"/>
        </w:rPr>
        <w:t>”) in Common Stock purchases at the Company’s discretion. The commitment period extends through December 31, 2028. The material terms of the CSPA are summarized below.</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Rapid Purchase Notices. </w:t>
      </w:r>
      <w:r>
        <w:rPr>
          <w:rFonts w:ascii="Times New Roman" w:cs="Times New Roman" w:eastAsia="Times New Roman" w:hAnsi="Times New Roman"/>
          <w:sz w:val="17"/>
          <w:szCs w:val="17"/>
          <w:color w:val="auto"/>
        </w:rPr>
        <w:t>At its sole discretion, the Company may direct Financing Source A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specified number of shares of Common Stock by delivering a rapid purchase notice (a “</w:t>
      </w:r>
      <w:r>
        <w:rPr>
          <w:rFonts w:ascii="Times New Roman" w:cs="Times New Roman" w:eastAsia="Times New Roman" w:hAnsi="Times New Roman"/>
          <w:sz w:val="17"/>
          <w:szCs w:val="17"/>
          <w:b w:val="1"/>
          <w:bCs w:val="1"/>
          <w:i w:val="1"/>
          <w:iCs w:val="1"/>
          <w:color w:val="auto"/>
        </w:rPr>
        <w:t>Rapid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The purchase price per share (the “</w:t>
      </w:r>
      <w:r>
        <w:rPr>
          <w:rFonts w:ascii="Times New Roman" w:cs="Times New Roman" w:eastAsia="Times New Roman" w:hAnsi="Times New Roman"/>
          <w:sz w:val="17"/>
          <w:szCs w:val="17"/>
          <w:b w:val="1"/>
          <w:bCs w:val="1"/>
          <w:i w:val="1"/>
          <w:iCs w:val="1"/>
          <w:color w:val="auto"/>
        </w:rPr>
        <w:t>Rapid Purchase Price</w:t>
      </w:r>
      <w:r>
        <w:rPr>
          <w:rFonts w:ascii="Times New Roman" w:cs="Times New Roman" w:eastAsia="Times New Roman" w:hAnsi="Times New Roman"/>
          <w:sz w:val="17"/>
          <w:szCs w:val="17"/>
          <w:color w:val="auto"/>
        </w:rPr>
        <w:t>”) would equal the average of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lowest traded prices during the two-hour period following delivery of the notice (the “</w:t>
      </w:r>
      <w:r>
        <w:rPr>
          <w:rFonts w:ascii="Times New Roman" w:cs="Times New Roman" w:eastAsia="Times New Roman" w:hAnsi="Times New Roman"/>
          <w:sz w:val="17"/>
          <w:szCs w:val="17"/>
          <w:b w:val="1"/>
          <w:bCs w:val="1"/>
          <w:i w:val="1"/>
          <w:iCs w:val="1"/>
          <w:color w:val="auto"/>
        </w:rPr>
        <w:t>Rapid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Valuation Period</w:t>
      </w:r>
      <w:r>
        <w:rPr>
          <w:rFonts w:ascii="Times New Roman" w:cs="Times New Roman" w:eastAsia="Times New Roman" w:hAnsi="Times New Roman"/>
          <w:sz w:val="17"/>
          <w:szCs w:val="17"/>
          <w:color w:val="auto"/>
        </w:rPr>
        <w:t>”). Settlement would occur on the next business day, with Financing Source A paying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 equal to the number of shares multiplied by the Rapid Purchase Price.</w:t>
      </w:r>
    </w:p>
    <w:p>
      <w:pPr>
        <w:spacing w:after="0" w:line="106"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VWAP Purchase Notices. </w:t>
      </w:r>
      <w:r>
        <w:rPr>
          <w:rFonts w:ascii="Times New Roman" w:cs="Times New Roman" w:eastAsia="Times New Roman" w:hAnsi="Times New Roman"/>
          <w:sz w:val="17"/>
          <w:szCs w:val="17"/>
          <w:color w:val="auto"/>
        </w:rPr>
        <w:t>At its sole discretion, the Company may direct Financing Source A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a specified number of shares of Common Stock by delivering a VWAP purchase notice (a “</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Purchase Notice</w:t>
      </w:r>
      <w:r>
        <w:rPr>
          <w:rFonts w:ascii="Times New Roman" w:cs="Times New Roman" w:eastAsia="Times New Roman" w:hAnsi="Times New Roman"/>
          <w:sz w:val="17"/>
          <w:szCs w:val="17"/>
          <w:color w:val="auto"/>
        </w:rPr>
        <w:t>”). The purchase price per share (the “</w:t>
      </w:r>
      <w:r>
        <w:rPr>
          <w:rFonts w:ascii="Times New Roman" w:cs="Times New Roman" w:eastAsia="Times New Roman" w:hAnsi="Times New Roman"/>
          <w:sz w:val="17"/>
          <w:szCs w:val="17"/>
          <w:b w:val="1"/>
          <w:bCs w:val="1"/>
          <w:i w:val="1"/>
          <w:iCs w:val="1"/>
          <w:color w:val="auto"/>
        </w:rPr>
        <w:t>VWAP Purchase Price</w:t>
      </w:r>
      <w:r>
        <w:rPr>
          <w:rFonts w:ascii="Times New Roman" w:cs="Times New Roman" w:eastAsia="Times New Roman" w:hAnsi="Times New Roman"/>
          <w:sz w:val="17"/>
          <w:szCs w:val="17"/>
          <w:color w:val="auto"/>
        </w:rPr>
        <w:t>”) would equal 97% of the lowest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daily volume weighted average price (“</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during the three business days following the notice (the “</w:t>
      </w:r>
      <w:r>
        <w:rPr>
          <w:rFonts w:ascii="Times New Roman" w:cs="Times New Roman" w:eastAsia="Times New Roman" w:hAnsi="Times New Roman"/>
          <w:sz w:val="17"/>
          <w:szCs w:val="17"/>
          <w:b w:val="1"/>
          <w:bCs w:val="1"/>
          <w:i w:val="1"/>
          <w:iCs w:val="1"/>
          <w:color w:val="auto"/>
        </w:rPr>
        <w:t>VWAP Purchase Valuation Period</w:t>
      </w:r>
      <w:r>
        <w:rPr>
          <w:rFonts w:ascii="Times New Roman" w:cs="Times New Roman" w:eastAsia="Times New Roman" w:hAnsi="Times New Roman"/>
          <w:sz w:val="17"/>
          <w:szCs w:val="17"/>
          <w:color w:val="auto"/>
        </w:rPr>
        <w:t>”). Settlement would occur one business day after the VWAP Purchase Valuation Period. Each VWAP Purchase Notice is limited to 60% of the trailing five-day average daily trading volume, subject to waiver by Financing Source A.</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Commitment Warrant</w:t>
      </w:r>
      <w:r>
        <w:rPr>
          <w:rFonts w:ascii="Times New Roman" w:cs="Times New Roman" w:eastAsia="Times New Roman" w:hAnsi="Times New Roman"/>
          <w:sz w:val="17"/>
          <w:szCs w:val="17"/>
          <w:color w:val="auto"/>
        </w:rPr>
        <w:t>. In addition, the Company plans to issue to Financing Source A a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Warrant (the “</w:t>
      </w:r>
      <w:r>
        <w:rPr>
          <w:rFonts w:ascii="Times New Roman" w:cs="Times New Roman" w:eastAsia="Times New Roman" w:hAnsi="Times New Roman"/>
          <w:sz w:val="17"/>
          <w:szCs w:val="17"/>
          <w:b w:val="1"/>
          <w:bCs w:val="1"/>
          <w:i w:val="1"/>
          <w:iCs w:val="1"/>
          <w:color w:val="auto"/>
        </w:rPr>
        <w:t>Commitment Warrant</w:t>
      </w:r>
      <w:r>
        <w:rPr>
          <w:rFonts w:ascii="Times New Roman" w:cs="Times New Roman" w:eastAsia="Times New Roman" w:hAnsi="Times New Roman"/>
          <w:sz w:val="17"/>
          <w:szCs w:val="17"/>
          <w:color w:val="auto"/>
        </w:rPr>
        <w:t>”) to purchase up to $2,000,000 of shares of Common Stock. The exercise price per share equals 99% of the closing sales price of the Common Stock on the trading day prior to the exercise date. The Commitment Warrant will terminate on the earliest of (a) the fifth anniversary of the initial exercise date and (b) the fifth trading day after the Company delivers prior written notice of termination to Financing Source A, and is subject to a beneficial ownership limitation of 4.99% (subject to increase to 9.99% with Company consent). Each exercise is limited to 5% of the greater of the trading volume on the day before or the day of the exercise notice. If Financing Source A delivers a notice of exercise of the Commitment Warrant, the Company may elect within two hours to instead deliver a Rapid Purchase Notice for the same number of shares, in which case the Warrant exercise is deemed void. The Commitment Warrant also includes a cashless exercise provision available after the six-month anniversary of the CSPA if there is no effective registration statement.</w:t>
      </w:r>
    </w:p>
    <w:p>
      <w:pPr>
        <w:spacing w:after="0" w:line="307"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Ownership Limitation</w:t>
      </w:r>
      <w:r>
        <w:rPr>
          <w:rFonts w:ascii="Times New Roman" w:cs="Times New Roman" w:eastAsia="Times New Roman" w:hAnsi="Times New Roman"/>
          <w:sz w:val="17"/>
          <w:szCs w:val="17"/>
          <w:color w:val="auto"/>
        </w:rPr>
        <w:t>. Financing Source A may not acquire shares that would cause its beneficial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to exceed 4.99% of the outstanding Common Stock, subject to increase to 9.99% upon mutual written agreement of the Company and Financing Source A, effective not less than sixty-one (61) days after such mutual written agreement.</w:t>
      </w:r>
    </w:p>
    <w:p>
      <w:pPr>
        <w:spacing w:after="0" w:line="9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Commitment Shares</w:t>
      </w:r>
      <w:r>
        <w:rPr>
          <w:rFonts w:ascii="Times New Roman" w:cs="Times New Roman" w:eastAsia="Times New Roman" w:hAnsi="Times New Roman"/>
          <w:sz w:val="17"/>
          <w:szCs w:val="17"/>
          <w:color w:val="auto"/>
        </w:rPr>
        <w:t>. As consideration for the Equity Line of Credit, the Company will issue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Financing Source A commitment shares of Common Stock equal to a Commitment Fee Amount of $120,000, divided by the Commitment Fee Price (defined as the closing price of the Common Stock on the trading day immediately preceding the earlier of (i) the date on which the registration statement is declared effective by the SEC and (ii) the date that is 180 calendar days following the effective date of the CSPA) (the “</w:t>
      </w:r>
      <w:r>
        <w:rPr>
          <w:rFonts w:ascii="Times New Roman" w:cs="Times New Roman" w:eastAsia="Times New Roman" w:hAnsi="Times New Roman"/>
          <w:sz w:val="17"/>
          <w:szCs w:val="17"/>
          <w:b w:val="1"/>
          <w:bCs w:val="1"/>
          <w:i w:val="1"/>
          <w:iCs w:val="1"/>
          <w:color w:val="auto"/>
        </w:rPr>
        <w:t>Commitment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The Commitment Shares are fully earned as of the effective date of the CSPA. In addition,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will issue to Financing Source A a Common Stock Purchase Warrant (the “</w:t>
      </w:r>
      <w:r>
        <w:rPr>
          <w:rFonts w:ascii="Times New Roman" w:cs="Times New Roman" w:eastAsia="Times New Roman" w:hAnsi="Times New Roman"/>
          <w:sz w:val="17"/>
          <w:szCs w:val="17"/>
          <w:b w:val="1"/>
          <w:bCs w:val="1"/>
          <w:i w:val="1"/>
          <w:iCs w:val="1"/>
          <w:color w:val="auto"/>
        </w:rPr>
        <w:t>Commitment Warrant</w:t>
      </w:r>
      <w:r>
        <w:rPr>
          <w:rFonts w:ascii="Times New Roman" w:cs="Times New Roman" w:eastAsia="Times New Roman" w:hAnsi="Times New Roman"/>
          <w:sz w:val="17"/>
          <w:szCs w:val="17"/>
          <w:color w:val="auto"/>
        </w:rPr>
        <w:t>”) to purchase up to $2,000,000 of Common Stock at an exercise price equal to 99% of the closing price of the Common Stock on the trading day prior to the exercise date, which Commitment Warrant has a five-year term and is also fully earned as of the effective date of the CSPA.</w:t>
      </w:r>
    </w:p>
    <w:p>
      <w:pPr>
        <w:spacing w:after="0" w:line="11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Registration</w:t>
      </w:r>
      <w:r>
        <w:rPr>
          <w:rFonts w:ascii="Times New Roman" w:cs="Times New Roman" w:eastAsia="Times New Roman" w:hAnsi="Times New Roman"/>
          <w:sz w:val="17"/>
          <w:szCs w:val="17"/>
          <w:color w:val="auto"/>
        </w:rPr>
        <w:t>. The Company has agreed to file a registration statement on Form S-1 covering the resale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shares issuable under the Equity Line of Credit, including the Commitment Shares and shares issuable upon exercise of the Commitment Warrant, within fifteen (15) business days after the effective date of the CSPA. If the registration statement is not filed within thirty (30) days of the effective date, the Company is required to pay Financing Source A liquidated damages of $250,000.</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Senior Secured Convertible Note</w:t>
      </w:r>
    </w:p>
    <w:p>
      <w:pPr>
        <w:spacing w:after="0" w:line="14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additionally plans to enter into a Note Purchase Agreement (the “</w:t>
      </w:r>
      <w:r>
        <w:rPr>
          <w:rFonts w:ascii="Times New Roman" w:cs="Times New Roman" w:eastAsia="Times New Roman" w:hAnsi="Times New Roman"/>
          <w:sz w:val="17"/>
          <w:szCs w:val="17"/>
          <w:b w:val="1"/>
          <w:bCs w:val="1"/>
          <w:i w:val="1"/>
          <w:iCs w:val="1"/>
          <w:color w:val="auto"/>
        </w:rPr>
        <w:t>Note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with Financing Source A for the Financing Source A Note in an aggregate principal amount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$2,875,000, reflecting a 20% original issue discount applied to aggregate loan proceeds of $2,300,000 (the “</w:t>
      </w:r>
      <w:r>
        <w:rPr>
          <w:rFonts w:ascii="Times New Roman" w:cs="Times New Roman" w:eastAsia="Times New Roman" w:hAnsi="Times New Roman"/>
          <w:sz w:val="17"/>
          <w:szCs w:val="17"/>
          <w:b w:val="1"/>
          <w:bCs w:val="1"/>
          <w:i w:val="1"/>
          <w:iCs w:val="1"/>
          <w:color w:val="auto"/>
        </w:rPr>
        <w:t>Note Purchase Price</w:t>
      </w:r>
      <w:r>
        <w:rPr>
          <w:rFonts w:ascii="Times New Roman" w:cs="Times New Roman" w:eastAsia="Times New Roman" w:hAnsi="Times New Roman"/>
          <w:sz w:val="17"/>
          <w:szCs w:val="17"/>
          <w:color w:val="auto"/>
        </w:rPr>
        <w:t>”). The Company anticipates entering into definitive documentation with Financing Source A to implement the Note Purchase Agreement and the Financing Source A Note on terms consistent with those described below.</w:t>
      </w:r>
    </w:p>
    <w:p>
      <w:pPr>
        <w:spacing w:after="0" w:line="316"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Funding. </w:t>
      </w:r>
      <w:r>
        <w:rPr>
          <w:rFonts w:ascii="Times New Roman" w:cs="Times New Roman" w:eastAsia="Times New Roman" w:hAnsi="Times New Roman"/>
          <w:sz w:val="17"/>
          <w:szCs w:val="17"/>
          <w:color w:val="auto"/>
        </w:rPr>
        <w:t>The Note Purchase Price will be funded in up to ten monthly tranches of $230,000 each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“Tranche,” with a corresponding principal amount of $287,500), subject to mutual written agreement of both parties. The first Tranche may not be funded unless the Company has (i) filed the registration statement covering the</w:t>
      </w:r>
    </w:p>
    <w:p>
      <w:pPr>
        <w:sectPr>
          <w:pgSz w:w="11900" w:h="16838" w:orient="portrait"/>
          <w:cols w:equalWidth="0" w:num="1">
            <w:col w:w="9019"/>
          </w:cols>
          <w:pgMar w:left="1440" w:top="265"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conversion shares with the SEC and (ii) filed the preliminary proxy statement with the SEC. Neither party is obligated to fund or request any individual Tranche; each funding requires the affirmative, mutual written authorization of both parties. The Company will only accrue principal and original issue discount obligations for Tranches actually funded.</w:t>
      </w:r>
    </w:p>
    <w:p>
      <w:pPr>
        <w:spacing w:after="0" w:line="10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Accelerated Funding. </w:t>
      </w:r>
      <w:r>
        <w:rPr>
          <w:rFonts w:ascii="Times New Roman" w:cs="Times New Roman" w:eastAsia="Times New Roman" w:hAnsi="Times New Roman"/>
          <w:sz w:val="17"/>
          <w:szCs w:val="17"/>
          <w:color w:val="auto"/>
        </w:rPr>
        <w:t>The full remaining Note Purchase Price may be funded in a single disbursement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discretion, provided the Company has received a bona fide purchase order with a face value of at least $5,000,000 that qualifies for factoring at a rate of less than 3% per month. The Company must provide Financing Source A with written notice and supporting documentation at least five business days before the requested funding date.</w:t>
      </w:r>
    </w:p>
    <w:p>
      <w:pPr>
        <w:spacing w:after="0" w:line="105"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Interest. </w:t>
      </w:r>
      <w:r>
        <w:rPr>
          <w:rFonts w:ascii="Times New Roman" w:cs="Times New Roman" w:eastAsia="Times New Roman" w:hAnsi="Times New Roman"/>
          <w:sz w:val="17"/>
          <w:szCs w:val="17"/>
          <w:color w:val="auto"/>
        </w:rPr>
        <w:t>The Financing Source A Note bears interest at 8% per annum, with interest for the first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on the principal accruing immediately and guaranteed.</w:t>
      </w:r>
    </w:p>
    <w:p>
      <w:pPr>
        <w:spacing w:after="0" w:line="63" w:lineRule="exact"/>
        <w:rPr>
          <w:sz w:val="20"/>
          <w:szCs w:val="20"/>
          <w:color w:val="auto"/>
        </w:rPr>
      </w:pPr>
    </w:p>
    <w:p>
      <w:pPr>
        <w:ind w:left="1000"/>
        <w:spacing w:after="0"/>
        <w:tabs>
          <w:tab w:leader="none" w:pos="1780" w:val="left"/>
        </w:tabs>
        <w:rPr>
          <w:sz w:val="20"/>
          <w:szCs w:val="20"/>
          <w:color w:val="auto"/>
        </w:rPr>
      </w:pPr>
      <w:r>
        <w:rPr>
          <w:rFonts w:ascii="Times New Roman" w:cs="Times New Roman" w:eastAsia="Times New Roman" w:hAnsi="Times New Roman"/>
          <w:sz w:val="17"/>
          <w:szCs w:val="17"/>
          <w:i w:val="1"/>
          <w:iCs w:val="1"/>
          <w:color w:val="auto"/>
        </w:rPr>
        <w:t>Maturity.</w:t>
      </w:r>
      <w:r>
        <w:rPr>
          <w:sz w:val="20"/>
          <w:szCs w:val="20"/>
          <w:color w:val="auto"/>
        </w:rPr>
        <w:tab/>
      </w:r>
      <w:r>
        <w:rPr>
          <w:rFonts w:ascii="Times New Roman" w:cs="Times New Roman" w:eastAsia="Times New Roman" w:hAnsi="Times New Roman"/>
          <w:sz w:val="17"/>
          <w:szCs w:val="17"/>
          <w:color w:val="auto"/>
        </w:rPr>
        <w:t>Each Tranche would mature six months after its funding date.</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Conversion. </w:t>
      </w:r>
      <w:r>
        <w:rPr>
          <w:rFonts w:ascii="Times New Roman" w:cs="Times New Roman" w:eastAsia="Times New Roman" w:hAnsi="Times New Roman"/>
          <w:sz w:val="17"/>
          <w:szCs w:val="17"/>
          <w:color w:val="auto"/>
        </w:rPr>
        <w:t>The Financing Source A Note is convertible at the option of Financing Source A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Common Stock at a variable conversion price equal to 80% of the lowest daily VWAP during the 15 trading days before the conversion notice (the “</w:t>
      </w:r>
      <w:r>
        <w:rPr>
          <w:rFonts w:ascii="Times New Roman" w:cs="Times New Roman" w:eastAsia="Times New Roman" w:hAnsi="Times New Roman"/>
          <w:sz w:val="17"/>
          <w:szCs w:val="17"/>
          <w:b w:val="1"/>
          <w:bCs w:val="1"/>
          <w:i w:val="1"/>
          <w:iCs w:val="1"/>
          <w:color w:val="auto"/>
        </w:rPr>
        <w:t>Variable Conversion Price</w:t>
      </w:r>
      <w:r>
        <w:rPr>
          <w:rFonts w:ascii="Times New Roman" w:cs="Times New Roman" w:eastAsia="Times New Roman" w:hAnsi="Times New Roman"/>
          <w:sz w:val="17"/>
          <w:szCs w:val="17"/>
          <w:color w:val="auto"/>
        </w:rPr>
        <w:t>”). Upon the occurrence of an Event of Default (as defined in the Financing Source A Note) that is not cured within ten (10) business days (if curable), the conversion price may, at Financing Source A’s option, be reduced to $0.01 per share (the “</w:t>
      </w:r>
      <w:r>
        <w:rPr>
          <w:rFonts w:ascii="Times New Roman" w:cs="Times New Roman" w:eastAsia="Times New Roman" w:hAnsi="Times New Roman"/>
          <w:sz w:val="17"/>
          <w:szCs w:val="17"/>
          <w:b w:val="1"/>
          <w:bCs w:val="1"/>
          <w:i w:val="1"/>
          <w:iCs w:val="1"/>
          <w:color w:val="auto"/>
        </w:rPr>
        <w:t>Default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Conversion Price</w:t>
      </w:r>
      <w:r>
        <w:rPr>
          <w:rFonts w:ascii="Times New Roman" w:cs="Times New Roman" w:eastAsia="Times New Roman" w:hAnsi="Times New Roman"/>
          <w:sz w:val="17"/>
          <w:szCs w:val="17"/>
          <w:color w:val="auto"/>
        </w:rPr>
        <w:t>”). The Financing Source A Note is subject to a beneficial ownership limitation of 4.99%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increase to 9.99% upon sixty-one (61) days’ prior written notice by Financing Source A to the Company).</w:t>
      </w:r>
    </w:p>
    <w:p>
      <w:pPr>
        <w:spacing w:after="0" w:line="32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Security Interest. </w:t>
      </w:r>
      <w:r>
        <w:rPr>
          <w:rFonts w:ascii="Times New Roman" w:cs="Times New Roman" w:eastAsia="Times New Roman" w:hAnsi="Times New Roman"/>
          <w:sz w:val="17"/>
          <w:szCs w:val="17"/>
          <w:color w:val="auto"/>
        </w:rPr>
        <w:t>The Financing Source A Note is a senior secured obligation of the Company,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priority over all existing and future indebtedness of the Company. The obligations under the Financing Source A Note are secured by all of the assets, personal property of every kind, intellectual property, claims, products and proceeds of the Company. So long as any obligation under the Financing Source A Note remains outstanding, the Company may not incur or guarantee any indebtedness that is senior to or pari passu with its obligations under the Financing Source A Note. The Financing Source A Note will be subordinated to the Company’s obligations to JJ Astor until those obligations are discharged in full.</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The Company is required to use the proceeds from the sale of the Notes to make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scheduled monthly payments under the J.J. Astor Loan. In addition, while any portion of any Note is outstanding, if the Company receives cash proceeds from the issuance of securities pursuant to the Equity Line of Credit or from the exercise of the Commitment Warrant, Financing Source A has the right to require the Company to immediately apply up to 10% of such proceeds to repay outstanding amounts under the Notes.</w:t>
      </w:r>
    </w:p>
    <w:p>
      <w:pPr>
        <w:spacing w:after="0" w:line="10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Stockholder Approval Deadline. </w:t>
      </w:r>
      <w:r>
        <w:rPr>
          <w:rFonts w:ascii="Times New Roman" w:cs="Times New Roman" w:eastAsia="Times New Roman" w:hAnsi="Times New Roman"/>
          <w:sz w:val="17"/>
          <w:szCs w:val="17"/>
          <w:color w:val="auto"/>
        </w:rPr>
        <w:t>The Company is required to hold a stockholder meeting to obtain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for the issuance of securities under the Financing Source A transaction documents no later than May 15, 2026; provided that the meeting may be adjourned one or more times for purposes of soliciting additional votes for such approval not more than thirty (30) calendar days. If the stockholder meeting is not held by that date, the Company is required to pay Financing Source A liquidated damages of $250,000. If stockholder approval is not obtained by the first required meeting date, the Company must hold additional stockholder meetings every 180 days thereafter until approval is obtained, for a period of 720 days. In addition, if stockholder approval is not obtained by May 15, 2026, such failure will constitute an Event of Default under the Note Purchase Agreement, and Financing Source A may elect to use the Default Conversion Price of $0.01 per share.</w:t>
      </w:r>
    </w:p>
    <w:p>
      <w:pPr>
        <w:spacing w:after="0" w:line="319"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Right of First Refusal and Roll-Over Rights. </w:t>
      </w:r>
      <w:r>
        <w:rPr>
          <w:rFonts w:ascii="Times New Roman" w:cs="Times New Roman" w:eastAsia="Times New Roman" w:hAnsi="Times New Roman"/>
          <w:sz w:val="17"/>
          <w:szCs w:val="17"/>
          <w:color w:val="auto"/>
        </w:rPr>
        <w:t>For so long as any Note remains outstanding,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entering into any equity, equity-linked, or debt financing with any third party (a “Subsequent Financing”), the Company must present the terms of such financing to Financing Source A as a right of first refusal, and Financing Source A has the option to participate on a pro rata basis. In addition, Financing Source A has the right to roll over all or any portion of the outstanding principal amount of the Notes, together with accrued but unpaid interest, into the securities issued in a Subsequent Financing on the same terms and conditions applicable to other investors.</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Variable Rate Prohibition. </w:t>
      </w:r>
      <w:r>
        <w:rPr>
          <w:rFonts w:ascii="Times New Roman" w:cs="Times New Roman" w:eastAsia="Times New Roman" w:hAnsi="Times New Roman"/>
          <w:sz w:val="17"/>
          <w:szCs w:val="17"/>
          <w:color w:val="auto"/>
        </w:rPr>
        <w:t>For so long as any Note remains outstanding, the Company may not enter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issue, or amend any variable rate transaction or equity-linked financing with price reset or floating conversion features without Financing Source A’s prior written consent, except where the proceeds are used to repay all of the Notes in full. Similarly, the CSPA prohibits the Company from effecting or entering into a variable rate transaction during the commitment period without Financing Source A’s consent. Notwithstanding the foregoing, the Company is permitted</w:t>
      </w:r>
    </w:p>
    <w:p>
      <w:pPr>
        <w:sectPr>
          <w:pgSz w:w="11900" w:h="16838" w:orient="portrait"/>
          <w:cols w:equalWidth="0" w:num="1">
            <w:col w:w="9019"/>
          </w:cols>
          <w:pgMar w:left="1440" w:top="265"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to effect (a) a secondary offering of shares of Common Stock or other equity securities of the Company, provided the aggregate amount of such offering does not exceed $10,000,000, (b) a private placement of convertible preferred stock or other securities convertible or exercisable into Common Stock at a fixed conversion or exercise price, provided that the aggregate amount of such offering does not exceed $10,000,000, and/or (c) a transaction backed by a bona fide purchase order that qualifies for factoring by a traditional commercial factor at a factoring rate of less than 3% per month and has a face value of no less than $5,000,000.</w:t>
      </w:r>
    </w:p>
    <w:p>
      <w:pPr>
        <w:spacing w:after="0" w:line="104" w:lineRule="exact"/>
        <w:rPr>
          <w:sz w:val="20"/>
          <w:szCs w:val="20"/>
          <w:color w:val="auto"/>
        </w:rPr>
      </w:pPr>
    </w:p>
    <w:p>
      <w:pPr>
        <w:ind w:left="1000"/>
        <w:spacing w:after="0"/>
        <w:tabs>
          <w:tab w:leader="none" w:pos="2500" w:val="left"/>
        </w:tabs>
        <w:rPr>
          <w:sz w:val="20"/>
          <w:szCs w:val="20"/>
          <w:color w:val="auto"/>
        </w:rPr>
      </w:pPr>
      <w:r>
        <w:rPr>
          <w:rFonts w:ascii="Times New Roman" w:cs="Times New Roman" w:eastAsia="Times New Roman" w:hAnsi="Times New Roman"/>
          <w:sz w:val="17"/>
          <w:szCs w:val="17"/>
          <w:i w:val="1"/>
          <w:iCs w:val="1"/>
          <w:color w:val="auto"/>
        </w:rPr>
        <w:t>Events of Default.</w:t>
      </w:r>
      <w:r>
        <w:rPr>
          <w:sz w:val="20"/>
          <w:szCs w:val="20"/>
          <w:color w:val="auto"/>
        </w:rPr>
        <w:tab/>
      </w:r>
      <w:r>
        <w:rPr>
          <w:rFonts w:ascii="Times New Roman" w:cs="Times New Roman" w:eastAsia="Times New Roman" w:hAnsi="Times New Roman"/>
          <w:sz w:val="17"/>
          <w:szCs w:val="17"/>
          <w:color w:val="auto"/>
        </w:rPr>
        <w:t>Events of Default under the Financing Source A Note include, among others:</w:t>
      </w:r>
    </w:p>
    <w:p>
      <w:pPr>
        <w:spacing w:after="0" w:line="34" w:lineRule="exact"/>
        <w:rPr>
          <w:sz w:val="20"/>
          <w:szCs w:val="20"/>
          <w:color w:val="auto"/>
        </w:rPr>
      </w:pPr>
    </w:p>
    <w:p>
      <w:pPr>
        <w:jc w:val="both"/>
        <w:ind w:left="580" w:right="579" w:hanging="6"/>
        <w:spacing w:after="0" w:line="259" w:lineRule="auto"/>
        <w:tabs>
          <w:tab w:leader="none" w:pos="81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principal or interest when due; (ii) failure to deliver conversion shares; (iii) breach of any covenant or representation; (iv) bankruptcy, insolvency, or liquidation; (v) delisting of the Common Stock from Nasdaq; (vi) failure to timely comply with Exchange Act reporting requirements; (vii) loss of DTC/FAST eligibility; (viii) cessation of operations; (ix) entry into a Section 3(a)(9) or 3(a)(10) transaction (other than permitted transactions); and (x) cross-default with all other agreements between the Company and Financing Source A, including the CSPA, the Commitment Warrant, and the Registration Rights Agreement. Upon an Event of Default, the outstanding principal, accrued interest, and all other amounts owed become immediately due and payable, and Financing Source A may elect to use the Default Conversion Price of $0.01 per share.</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Nasdaq Service Proposal B:</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Under Nasdaq Service Proposal B, the Company would enter into the following financing agreements with one or more potential financing sources (“</w:t>
      </w:r>
      <w:r>
        <w:rPr>
          <w:rFonts w:ascii="Times New Roman" w:cs="Times New Roman" w:eastAsia="Times New Roman" w:hAnsi="Times New Roman"/>
          <w:sz w:val="17"/>
          <w:szCs w:val="17"/>
          <w:b w:val="1"/>
          <w:bCs w:val="1"/>
          <w:i w:val="1"/>
          <w:iCs w:val="1"/>
          <w:color w:val="auto"/>
        </w:rPr>
        <w:t>Financing Source B</w:t>
      </w:r>
      <w:r>
        <w:rPr>
          <w:rFonts w:ascii="Times New Roman" w:cs="Times New Roman" w:eastAsia="Times New Roman" w:hAnsi="Times New Roman"/>
          <w:sz w:val="17"/>
          <w:szCs w:val="17"/>
          <w:color w:val="auto"/>
        </w:rPr>
        <w:t>”) (i) an equity line of credit facility (the “</w:t>
      </w:r>
      <w:r>
        <w:rPr>
          <w:rFonts w:ascii="Times New Roman" w:cs="Times New Roman" w:eastAsia="Times New Roman" w:hAnsi="Times New Roman"/>
          <w:sz w:val="17"/>
          <w:szCs w:val="17"/>
          <w:b w:val="1"/>
          <w:bCs w:val="1"/>
          <w:i w:val="1"/>
          <w:iCs w:val="1"/>
          <w:color w:val="auto"/>
        </w:rPr>
        <w:t>Financing Source B Equity Line of Credit</w:t>
      </w:r>
      <w:r>
        <w:rPr>
          <w:rFonts w:ascii="Times New Roman" w:cs="Times New Roman" w:eastAsia="Times New Roman" w:hAnsi="Times New Roman"/>
          <w:sz w:val="17"/>
          <w:szCs w:val="17"/>
          <w:color w:val="auto"/>
        </w:rPr>
        <w:t>”), (ii) an agreement pursuant to which Financing Source B will purchase shares of Preferred Stock (as defined below) of the Company (the “</w:t>
      </w:r>
      <w:r>
        <w:rPr>
          <w:rFonts w:ascii="Times New Roman" w:cs="Times New Roman" w:eastAsia="Times New Roman" w:hAnsi="Times New Roman"/>
          <w:sz w:val="17"/>
          <w:szCs w:val="17"/>
          <w:b w:val="1"/>
          <w:bCs w:val="1"/>
          <w:i w:val="1"/>
          <w:iCs w:val="1"/>
          <w:color w:val="auto"/>
        </w:rPr>
        <w:t>Preferred Stock Purchase</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jc w:val="both"/>
        <w:ind w:left="580" w:right="579" w:hanging="6"/>
        <w:spacing w:after="0" w:line="259" w:lineRule="auto"/>
        <w:tabs>
          <w:tab w:leader="none" w:pos="88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warrant to purchase up to $2,000,000 of shares of Common Stock (the “</w:t>
      </w:r>
      <w:r>
        <w:rPr>
          <w:rFonts w:ascii="Times New Roman" w:cs="Times New Roman" w:eastAsia="Times New Roman" w:hAnsi="Times New Roman"/>
          <w:sz w:val="17"/>
          <w:szCs w:val="17"/>
          <w:b w:val="1"/>
          <w:bCs w:val="1"/>
          <w:i w:val="1"/>
          <w:iCs w:val="1"/>
          <w:color w:val="auto"/>
        </w:rPr>
        <w:t>Financing Source B Warrants</w:t>
      </w:r>
      <w:r>
        <w:rPr>
          <w:rFonts w:ascii="Times New Roman" w:cs="Times New Roman" w:eastAsia="Times New Roman" w:hAnsi="Times New Roman"/>
          <w:sz w:val="17"/>
          <w:szCs w:val="17"/>
          <w:color w:val="auto"/>
        </w:rPr>
        <w:t>”). Pursuant to the Financing Source B Equity Line of Credit, the Company would agree to (i) issue to Financing Source B $150,000 of Common Stock (the “</w:t>
      </w:r>
      <w:r>
        <w:rPr>
          <w:rFonts w:ascii="Times New Roman" w:cs="Times New Roman" w:eastAsia="Times New Roman" w:hAnsi="Times New Roman"/>
          <w:sz w:val="17"/>
          <w:szCs w:val="17"/>
          <w:b w:val="1"/>
          <w:bCs w:val="1"/>
          <w:i w:val="1"/>
          <w:iCs w:val="1"/>
          <w:color w:val="auto"/>
        </w:rPr>
        <w:t>Financing Source B Commitment Shares</w:t>
      </w:r>
      <w:r>
        <w:rPr>
          <w:rFonts w:ascii="Times New Roman" w:cs="Times New Roman" w:eastAsia="Times New Roman" w:hAnsi="Times New Roman"/>
          <w:sz w:val="17"/>
          <w:szCs w:val="17"/>
          <w:color w:val="auto"/>
        </w:rPr>
        <w:t>”) and (ii) sell, and Financing Source B agreed to purchase, up to $10,000,000 (the “Financing Source B Commitment Amount”) of Common Stock at the Company’s sole discretion. In addition, pursuant to the Preferred Stock Purchase, Financing Source B would purchase up to $10 million of a newly designated series of the Company’s preferred stock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If the Board elects to proceed with the Financing Source B transactions (as described below), the Company intends to use the proceeds from the Preferred Stock Purchase to immediately pay off the J.J. Astor Loan and to use the proceeds from the sale of shares of Common Stock to Financing Source B under the Financing Source B Equity Line of Credit to terminate the Original ELOC (as defined in the Nasdaq Conversion Proposal below).</w:t>
      </w:r>
    </w:p>
    <w:p>
      <w:pPr>
        <w:spacing w:after="0" w:line="111"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Our Board is seeking stockholder approval as required under Nasdaq Listing Rules 5635(b) and 5635(d) to issue the Financing Source B Commitment Shares to Financing Source B, to sell shares of our Common Stock, the Preferred Stock, and the Financing Source B Warrants to Financing Source B, and to issue shares of Common Stock, and, to the extent the Preferred Stock is convertible into Common Stock, shares issuable upon conversion thereof, in the aggregate, in excess of 19.99% of our outstanding shares of Common Stock as of immediately prior to the execution of the applicable agreements, as more fully described below.</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Proposed Agreements with Financing Source B</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of the date of this Proxy Statement, the Company has not yet entered into definitive agreements with respect to these transactions. The Company anticipates negotiating and entering into definitive agreements with Financing Source B on the terms set forth below, subject to customary closing conditions and the receipt of stockholder approval as described herein.</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Line of Credit</w:t>
      </w:r>
    </w:p>
    <w:p>
      <w:pPr>
        <w:spacing w:after="0" w:line="156" w:lineRule="exact"/>
        <w:rPr>
          <w:sz w:val="20"/>
          <w:szCs w:val="20"/>
          <w:color w:val="auto"/>
        </w:rPr>
      </w:pPr>
    </w:p>
    <w:p>
      <w:pPr>
        <w:jc w:val="both"/>
        <w:ind w:left="580" w:right="599" w:firstLine="419"/>
        <w:spacing w:after="0" w:line="272" w:lineRule="auto"/>
        <w:rPr>
          <w:sz w:val="20"/>
          <w:szCs w:val="20"/>
          <w:color w:val="auto"/>
        </w:rPr>
      </w:pPr>
      <w:r>
        <w:rPr>
          <w:rFonts w:ascii="Times New Roman" w:cs="Times New Roman" w:eastAsia="Times New Roman" w:hAnsi="Times New Roman"/>
          <w:sz w:val="17"/>
          <w:szCs w:val="17"/>
          <w:color w:val="auto"/>
        </w:rPr>
        <w:t>The Financing Source B Equity Line of Credit would provide for up to $10,000,000 (the “</w:t>
      </w:r>
      <w:r>
        <w:rPr>
          <w:rFonts w:ascii="Times New Roman" w:cs="Times New Roman" w:eastAsia="Times New Roman" w:hAnsi="Times New Roman"/>
          <w:sz w:val="17"/>
          <w:szCs w:val="17"/>
          <w:b w:val="1"/>
          <w:bCs w:val="1"/>
          <w:i w:val="1"/>
          <w:iCs w:val="1"/>
          <w:color w:val="auto"/>
        </w:rPr>
        <w:t>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Source B Commitment Amount</w:t>
      </w:r>
      <w:r>
        <w:rPr>
          <w:rFonts w:ascii="Times New Roman" w:cs="Times New Roman" w:eastAsia="Times New Roman" w:hAnsi="Times New Roman"/>
          <w:sz w:val="17"/>
          <w:szCs w:val="17"/>
          <w:color w:val="auto"/>
        </w:rPr>
        <w:t>”) in Common Stock purchases at the Company’s discretion. The commitment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would extend through December 31, 2028. The material terms of the Financing Source B CSPA are summarized below.</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Rapid Purchase Notices. </w:t>
      </w:r>
      <w:r>
        <w:rPr>
          <w:rFonts w:ascii="Times New Roman" w:cs="Times New Roman" w:eastAsia="Times New Roman" w:hAnsi="Times New Roman"/>
          <w:sz w:val="17"/>
          <w:szCs w:val="17"/>
          <w:color w:val="auto"/>
        </w:rPr>
        <w:t>At its sole discretion, the Company may direct Financing Source B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specified number of shares of Common Stock by delivering a rapid purchase notice (a “</w:t>
      </w:r>
      <w:r>
        <w:rPr>
          <w:rFonts w:ascii="Times New Roman" w:cs="Times New Roman" w:eastAsia="Times New Roman" w:hAnsi="Times New Roman"/>
          <w:sz w:val="17"/>
          <w:szCs w:val="17"/>
          <w:b w:val="1"/>
          <w:bCs w:val="1"/>
          <w:i w:val="1"/>
          <w:iCs w:val="1"/>
          <w:color w:val="auto"/>
        </w:rPr>
        <w:t>Rapid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The purchase price per share (the “</w:t>
      </w:r>
      <w:r>
        <w:rPr>
          <w:rFonts w:ascii="Times New Roman" w:cs="Times New Roman" w:eastAsia="Times New Roman" w:hAnsi="Times New Roman"/>
          <w:sz w:val="17"/>
          <w:szCs w:val="17"/>
          <w:b w:val="1"/>
          <w:bCs w:val="1"/>
          <w:i w:val="1"/>
          <w:iCs w:val="1"/>
          <w:color w:val="auto"/>
        </w:rPr>
        <w:t>Rapid Purchase Price</w:t>
      </w:r>
      <w:r>
        <w:rPr>
          <w:rFonts w:ascii="Times New Roman" w:cs="Times New Roman" w:eastAsia="Times New Roman" w:hAnsi="Times New Roman"/>
          <w:sz w:val="17"/>
          <w:szCs w:val="17"/>
          <w:color w:val="auto"/>
        </w:rPr>
        <w:t>”) would equal the average of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lowest traded prices during the two-hour period following delivery of the notice (the “</w:t>
      </w:r>
      <w:r>
        <w:rPr>
          <w:rFonts w:ascii="Times New Roman" w:cs="Times New Roman" w:eastAsia="Times New Roman" w:hAnsi="Times New Roman"/>
          <w:sz w:val="17"/>
          <w:szCs w:val="17"/>
          <w:b w:val="1"/>
          <w:bCs w:val="1"/>
          <w:i w:val="1"/>
          <w:iCs w:val="1"/>
          <w:color w:val="auto"/>
        </w:rPr>
        <w:t>Rapid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Valuation Period</w:t>
      </w:r>
      <w:r>
        <w:rPr>
          <w:rFonts w:ascii="Times New Roman" w:cs="Times New Roman" w:eastAsia="Times New Roman" w:hAnsi="Times New Roman"/>
          <w:sz w:val="17"/>
          <w:szCs w:val="17"/>
          <w:color w:val="auto"/>
        </w:rPr>
        <w:t>”). Settlement would occur on the next business day, with Financing Source B paying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 equal to the number of shares multiplied by the Rapid Purchase Price.</w:t>
      </w:r>
    </w:p>
    <w:p>
      <w:pPr>
        <w:sectPr>
          <w:pgSz w:w="11900" w:h="16838" w:orient="portrait"/>
          <w:cols w:equalWidth="0" w:num="1">
            <w:col w:w="9019"/>
          </w:cols>
          <w:pgMar w:left="1440" w:top="265"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VWAP Purchase Notices. </w:t>
      </w:r>
      <w:r>
        <w:rPr>
          <w:rFonts w:ascii="Times New Roman" w:cs="Times New Roman" w:eastAsia="Times New Roman" w:hAnsi="Times New Roman"/>
          <w:sz w:val="17"/>
          <w:szCs w:val="17"/>
          <w:color w:val="auto"/>
        </w:rPr>
        <w:t>At its sole discretion, the Company may direct Financing Source B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a specified number of shares of Common Stock by delivering a VWAP purchase notice (a “</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Purchase Notice</w:t>
      </w:r>
      <w:r>
        <w:rPr>
          <w:rFonts w:ascii="Times New Roman" w:cs="Times New Roman" w:eastAsia="Times New Roman" w:hAnsi="Times New Roman"/>
          <w:sz w:val="17"/>
          <w:szCs w:val="17"/>
          <w:color w:val="auto"/>
        </w:rPr>
        <w:t>”). The purchase price per share (the “</w:t>
      </w:r>
      <w:r>
        <w:rPr>
          <w:rFonts w:ascii="Times New Roman" w:cs="Times New Roman" w:eastAsia="Times New Roman" w:hAnsi="Times New Roman"/>
          <w:sz w:val="17"/>
          <w:szCs w:val="17"/>
          <w:b w:val="1"/>
          <w:bCs w:val="1"/>
          <w:i w:val="1"/>
          <w:iCs w:val="1"/>
          <w:color w:val="auto"/>
        </w:rPr>
        <w:t>VWAP Purchase Price</w:t>
      </w:r>
      <w:r>
        <w:rPr>
          <w:rFonts w:ascii="Times New Roman" w:cs="Times New Roman" w:eastAsia="Times New Roman" w:hAnsi="Times New Roman"/>
          <w:sz w:val="17"/>
          <w:szCs w:val="17"/>
          <w:color w:val="auto"/>
        </w:rPr>
        <w:t>”) would equal 97% of the lowest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daily volume weighted average price (“</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during the three business days following the notice (the “</w:t>
      </w:r>
      <w:r>
        <w:rPr>
          <w:rFonts w:ascii="Times New Roman" w:cs="Times New Roman" w:eastAsia="Times New Roman" w:hAnsi="Times New Roman"/>
          <w:sz w:val="17"/>
          <w:szCs w:val="17"/>
          <w:b w:val="1"/>
          <w:bCs w:val="1"/>
          <w:i w:val="1"/>
          <w:iCs w:val="1"/>
          <w:color w:val="auto"/>
        </w:rPr>
        <w:t>VWAP Purchase Valuation Period</w:t>
      </w:r>
      <w:r>
        <w:rPr>
          <w:rFonts w:ascii="Times New Roman" w:cs="Times New Roman" w:eastAsia="Times New Roman" w:hAnsi="Times New Roman"/>
          <w:sz w:val="17"/>
          <w:szCs w:val="17"/>
          <w:color w:val="auto"/>
        </w:rPr>
        <w:t>”). Settlement would occur one business day after the VWAP Purchase Valuation Period. Each VWAP Purchase Notice is limited to 60% of the trailing five-day average daily trading volume, subject to waiver by Financing Source B.</w:t>
      </w:r>
    </w:p>
    <w:p>
      <w:pPr>
        <w:spacing w:after="0" w:line="80"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Commitment Warrant</w:t>
      </w:r>
      <w:r>
        <w:rPr>
          <w:rFonts w:ascii="Times New Roman" w:cs="Times New Roman" w:eastAsia="Times New Roman" w:hAnsi="Times New Roman"/>
          <w:sz w:val="17"/>
          <w:szCs w:val="17"/>
          <w:color w:val="auto"/>
        </w:rPr>
        <w:t>. In addition, the Company plans to issue to Financing Source B a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Warrant (the “</w:t>
      </w:r>
      <w:r>
        <w:rPr>
          <w:rFonts w:ascii="Times New Roman" w:cs="Times New Roman" w:eastAsia="Times New Roman" w:hAnsi="Times New Roman"/>
          <w:sz w:val="17"/>
          <w:szCs w:val="17"/>
          <w:b w:val="1"/>
          <w:bCs w:val="1"/>
          <w:i w:val="1"/>
          <w:iCs w:val="1"/>
          <w:color w:val="auto"/>
        </w:rPr>
        <w:t>Financing Source B Commitment Warrant</w:t>
      </w:r>
      <w:r>
        <w:rPr>
          <w:rFonts w:ascii="Times New Roman" w:cs="Times New Roman" w:eastAsia="Times New Roman" w:hAnsi="Times New Roman"/>
          <w:sz w:val="17"/>
          <w:szCs w:val="17"/>
          <w:color w:val="auto"/>
        </w:rPr>
        <w:t>”) to purchase up to $2,000,000 of shares of Common Stock. The exercise price per share equals 99% of the closing sales price of the Common Stock on the trading day prior to the exercise date. The Financing Source B Commitment Warrant has a five-year term from the initial exercise date and is subject to a beneficial ownership limitation of 4.99% (subject to increase to 9.99% with Company consent). Each exercise is limited to 5% of the greater of the trading volume on the day before or the day of the exercise notice. If Financing Source B delivers a notice of exercise of the Financing Source B Commitment Warrant, the Company may elect within fifteen minutes to instead deliver a Rapid Purchase Notice for the same number of shares, in which case the Warrant exercise is deemed void. The Financing Source B Commitment Warrant also includes a cashless exercise provision available after the six-month anniversary of the Financing Source B CSPA if there is no effective registration statement.</w:t>
      </w:r>
    </w:p>
    <w:p>
      <w:pPr>
        <w:spacing w:after="0" w:line="98"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Ownership Limitation. </w:t>
      </w:r>
      <w:r>
        <w:rPr>
          <w:rFonts w:ascii="Times New Roman" w:cs="Times New Roman" w:eastAsia="Times New Roman" w:hAnsi="Times New Roman"/>
          <w:sz w:val="17"/>
          <w:szCs w:val="17"/>
          <w:color w:val="auto"/>
        </w:rPr>
        <w:t>Financing Source B may not acquire shares that would cause its beneficial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ownership to exceed 4.99% of the outstanding Common Stock, subject to increase to 9.99% upon mutual written agreement of the Company and Financing Source B, effective not less than sixty-one (61) days after such mutual written agreement.</w:t>
      </w:r>
    </w:p>
    <w:p>
      <w:pPr>
        <w:spacing w:after="0" w:line="7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Commitment Shares. </w:t>
      </w:r>
      <w:r>
        <w:rPr>
          <w:rFonts w:ascii="Times New Roman" w:cs="Times New Roman" w:eastAsia="Times New Roman" w:hAnsi="Times New Roman"/>
          <w:sz w:val="17"/>
          <w:szCs w:val="17"/>
          <w:color w:val="auto"/>
        </w:rPr>
        <w:t>As consideration for the Financing Source B Equity Line of Credit,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issue to Financing Source B commitment shares of Common Stock equal to a Commitment Fee Amount of $150,000, divided by the Commitment Fee Price (defined as the closing price of the Common Stock on the trading day immediately preceding the earlier of (i) the date on which the registration statement is declared effective by the SEC and (ii) the date that is 180 calendar days following the effective date of the Financing Source B CSPA)</w:t>
      </w:r>
    </w:p>
    <w:p>
      <w:pPr>
        <w:spacing w:after="0" w:line="194"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Financing Source B Commitment Shares</w:t>
      </w:r>
      <w:r>
        <w:rPr>
          <w:rFonts w:ascii="Times New Roman" w:cs="Times New Roman" w:eastAsia="Times New Roman" w:hAnsi="Times New Roman"/>
          <w:sz w:val="17"/>
          <w:szCs w:val="17"/>
          <w:color w:val="auto"/>
        </w:rPr>
        <w:t>”). The Financing Source B Commitment Shares are fully earned as of the effective date of the Financing Source B CSPA. In addition, the Company will issue to Financing Source B a Common Stock Purchase Warrant (the “</w:t>
      </w:r>
      <w:r>
        <w:rPr>
          <w:rFonts w:ascii="Times New Roman" w:cs="Times New Roman" w:eastAsia="Times New Roman" w:hAnsi="Times New Roman"/>
          <w:sz w:val="17"/>
          <w:szCs w:val="17"/>
          <w:b w:val="1"/>
          <w:bCs w:val="1"/>
          <w:i w:val="1"/>
          <w:iCs w:val="1"/>
          <w:color w:val="auto"/>
        </w:rPr>
        <w:t>Financing Source B Commitment Warrant</w:t>
      </w:r>
      <w:r>
        <w:rPr>
          <w:rFonts w:ascii="Times New Roman" w:cs="Times New Roman" w:eastAsia="Times New Roman" w:hAnsi="Times New Roman"/>
          <w:sz w:val="17"/>
          <w:szCs w:val="17"/>
          <w:color w:val="auto"/>
        </w:rPr>
        <w:t>”) to purchase up to $2,000,000 of Common Stock at an exercise price equal to 99% of the closing price of the Common Stock on the trading day prior to the exercise date, which Financing Source B Commitment Warrant has a five-year term and is also fully earned as of the effective date of the Financing Source B CSPA.</w:t>
      </w:r>
    </w:p>
    <w:p>
      <w:pPr>
        <w:spacing w:after="0" w:line="8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Registration. </w:t>
      </w:r>
      <w:r>
        <w:rPr>
          <w:rFonts w:ascii="Times New Roman" w:cs="Times New Roman" w:eastAsia="Times New Roman" w:hAnsi="Times New Roman"/>
          <w:sz w:val="17"/>
          <w:szCs w:val="17"/>
          <w:color w:val="auto"/>
        </w:rPr>
        <w:t>The Company has agreed to file a registration statement on Form S-1 covering the resale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shares issuable under the Financing Source B Equity Line of Credit, including the Financing Source B Commitment Shares and shares issuable upon exercise of the Financing Source B Commitment Warrant, within five (5) business days after the effective date of the Financing Source B CSPA. If the registration statement is not filed within thirty (30) days of the effective date, the Company is required to pay Financing Source B liquidated damages of $250,000.</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Preferred Equity Purchase</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is currently evaluating a potential financing transaction with Financing Source B pursuant to which Financing Source B would purchase up to $10.0 million of a newly designated series of the Company’s preferred stock. The Company has not yet received or entered a definitive term sheet or definitive transaction documents with respect to such proposed investment. However, based on preliminary discussions with Financing Source B, the Company currently expects that the proposed financing would be structured as an equity investment, and not as indebtedness.</w:t>
      </w:r>
    </w:p>
    <w:p>
      <w:pPr>
        <w:spacing w:after="0" w:line="8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While the final terms of any such transaction remain subject to negotiation and approval by the Company’s Board of Directors, as well as such other approvals as may be required, the Company currently anticipates that the principal terms of the proposed preferred stock financing would include the following, which terms are also reflected in the Certificate of Designation set forth in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to this Proxy Statement:</w:t>
      </w:r>
    </w:p>
    <w:p>
      <w:pPr>
        <w:spacing w:after="0" w:line="75"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Security. </w:t>
      </w:r>
      <w:r>
        <w:rPr>
          <w:rFonts w:ascii="Times New Roman" w:cs="Times New Roman" w:eastAsia="Times New Roman" w:hAnsi="Times New Roman"/>
          <w:sz w:val="17"/>
          <w:szCs w:val="17"/>
          <w:color w:val="auto"/>
        </w:rPr>
        <w:t>A newly authorized series of preferred stock of the Company, which may be designated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A Preferred Stock or such other designation as determined by the Board of Directors.</w:t>
      </w:r>
    </w:p>
    <w:p>
      <w:pPr>
        <w:spacing w:after="0" w:line="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Purchase Price/Gross Proceed</w:t>
      </w:r>
      <w:r>
        <w:rPr>
          <w:rFonts w:ascii="Times New Roman" w:cs="Times New Roman" w:eastAsia="Times New Roman" w:hAnsi="Times New Roman"/>
          <w:sz w:val="17"/>
          <w:szCs w:val="17"/>
          <w:color w:val="auto"/>
        </w:rPr>
        <w:t>s. Aggregate gross proceeds of up to $10.0 million.</w:t>
      </w:r>
    </w:p>
    <w:p>
      <w:pPr>
        <w:spacing w:after="0" w:line="132"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Equity Structure. </w:t>
      </w:r>
      <w:r>
        <w:rPr>
          <w:rFonts w:ascii="Times New Roman" w:cs="Times New Roman" w:eastAsia="Times New Roman" w:hAnsi="Times New Roman"/>
          <w:sz w:val="17"/>
          <w:szCs w:val="17"/>
          <w:color w:val="auto"/>
        </w:rPr>
        <w:t>The preferred stock is expected to be structured as a perpetual equity security, with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stated maturity date, no mandatory redemption feature, and no right of the holder to require the Company to redeem, repurchase or otherwise settle the security for cash or other assets.</w:t>
      </w:r>
    </w:p>
    <w:p>
      <w:pPr>
        <w:sectPr>
          <w:pgSz w:w="11900" w:h="16838" w:orient="portrait"/>
          <w:cols w:equalWidth="0" w:num="1">
            <w:col w:w="9019"/>
          </w:cols>
          <w:pgMar w:left="1440" w:top="265"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Dividend Rights. </w:t>
      </w:r>
      <w:r>
        <w:rPr>
          <w:rFonts w:ascii="Times New Roman" w:cs="Times New Roman" w:eastAsia="Times New Roman" w:hAnsi="Times New Roman"/>
          <w:sz w:val="17"/>
          <w:szCs w:val="17"/>
          <w:color w:val="auto"/>
        </w:rPr>
        <w:t>The preferred stock may provide for dividends, if any, only to the extent declared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Board of Directors out of funds legally available therefor. Any such dividend provisions are expected to be structured in a manner intended to preserve the equity characteristics of the security.</w:t>
      </w:r>
    </w:p>
    <w:p>
      <w:pPr>
        <w:spacing w:after="0" w:line="94"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Liquidation Preference. </w:t>
      </w:r>
      <w:r>
        <w:rPr>
          <w:rFonts w:ascii="Times New Roman" w:cs="Times New Roman" w:eastAsia="Times New Roman" w:hAnsi="Times New Roman"/>
          <w:sz w:val="17"/>
          <w:szCs w:val="17"/>
          <w:color w:val="auto"/>
        </w:rPr>
        <w:t>In the event of any liquidation, dissolution or winding up of the Company,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the preferred stock would be expected to be entitled to receive a liquidation preference senior to the rights of holders of the Company’s common stock, which preference may be equal to the original purchase price of the preferred stock, together with any declared and unpaid dividends thereon, if applicable.</w:t>
      </w:r>
    </w:p>
    <w:p>
      <w:pPr>
        <w:spacing w:after="0" w:line="99"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Conversion Rights. </w:t>
      </w:r>
      <w:r>
        <w:rPr>
          <w:rFonts w:ascii="Times New Roman" w:cs="Times New Roman" w:eastAsia="Times New Roman" w:hAnsi="Times New Roman"/>
          <w:sz w:val="17"/>
          <w:szCs w:val="17"/>
          <w:color w:val="auto"/>
        </w:rPr>
        <w:t>The preferred stock may be convertible into shares of the Company’s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with any such conversion rights to be set forth in the definitive transaction documents, including the applicable conversion rate, conversion price, and related anti-dilution adjustments, if any.</w:t>
      </w:r>
    </w:p>
    <w:p>
      <w:pPr>
        <w:spacing w:after="0" w:line="80"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Voting Rights; Protective Provisions. </w:t>
      </w:r>
      <w:r>
        <w:rPr>
          <w:rFonts w:ascii="Times New Roman" w:cs="Times New Roman" w:eastAsia="Times New Roman" w:hAnsi="Times New Roman"/>
          <w:sz w:val="17"/>
          <w:szCs w:val="17"/>
          <w:color w:val="auto"/>
        </w:rPr>
        <w:t>The preferred stock may include limited voting rights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customary protective provisions, including with respect to actions that would adversely affect the rights, preferences or privileges of the preferred stock or authorize securities senior to the preferred stock.</w:t>
      </w:r>
    </w:p>
    <w:p>
      <w:pPr>
        <w:spacing w:after="0" w:line="94"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Ranking. </w:t>
      </w:r>
      <w:r>
        <w:rPr>
          <w:rFonts w:ascii="Times New Roman" w:cs="Times New Roman" w:eastAsia="Times New Roman" w:hAnsi="Times New Roman"/>
          <w:sz w:val="17"/>
          <w:szCs w:val="17"/>
          <w:color w:val="auto"/>
        </w:rPr>
        <w:t>The preferred stock is expected to rank senior to the Company’s common stock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 rights and rights upon liquidation, dissolution and winding up, and junior to all existing and future indebtedness of the Company, except to the extent otherwise provided in the certificate of designation governing such preferred stock.</w:t>
      </w:r>
    </w:p>
    <w:p>
      <w:pPr>
        <w:spacing w:after="0" w:line="99"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The Company currently expects to use the net proceeds from any such financing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working capital, growth initiatives, and other general corporate purposes.</w:t>
      </w:r>
    </w:p>
    <w:p>
      <w:pPr>
        <w:spacing w:after="0" w:line="63" w:lineRule="exact"/>
        <w:rPr>
          <w:sz w:val="20"/>
          <w:szCs w:val="20"/>
          <w:color w:val="auto"/>
        </w:rPr>
      </w:pPr>
    </w:p>
    <w:p>
      <w:pPr>
        <w:jc w:val="both"/>
        <w:ind w:left="580" w:right="579" w:firstLine="4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Definitive Documentation; Approvals. </w:t>
      </w:r>
      <w:r>
        <w:rPr>
          <w:rFonts w:ascii="Times New Roman" w:cs="Times New Roman" w:eastAsia="Times New Roman" w:hAnsi="Times New Roman"/>
          <w:sz w:val="17"/>
          <w:szCs w:val="17"/>
          <w:color w:val="auto"/>
        </w:rPr>
        <w:t>Any proposed transaction would remain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negotiation and execution of definitive agreements and related documentation, approval by the Company’s Board of Directors, and, to the extent applicable, stockholder approval and compliance with applicable law and stock exchange rules.</w:t>
      </w:r>
    </w:p>
    <w:p>
      <w:pPr>
        <w:spacing w:after="0" w:line="31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No Assurance of Consummation. </w:t>
      </w:r>
      <w:r>
        <w:rPr>
          <w:rFonts w:ascii="Times New Roman" w:cs="Times New Roman" w:eastAsia="Times New Roman" w:hAnsi="Times New Roman"/>
          <w:sz w:val="17"/>
          <w:szCs w:val="17"/>
          <w:color w:val="auto"/>
        </w:rPr>
        <w:t>No assurance can be given that the Company and Financing Source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enter into definitive agreements on the terms described above, on acceptable terms, or at all. The foregoing description reflects only the Company’s current expectations regarding a possible preferred equity financing and is subject to change in all respects.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Requirement to Seek Stockholder Approval for Nasdaq Service Proposal</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Nasdaq Listing Rule 5635(d), shareholder approval is required prior to a 20% Issuance at a price that is less than the Minimum Price. For purposes of Nasdaq Listing Rule 5635(d), (i) “</w:t>
      </w:r>
      <w:r>
        <w:rPr>
          <w:rFonts w:ascii="Times New Roman" w:cs="Times New Roman" w:eastAsia="Times New Roman" w:hAnsi="Times New Roman"/>
          <w:sz w:val="17"/>
          <w:szCs w:val="17"/>
          <w:b w:val="1"/>
          <w:bCs w:val="1"/>
          <w:i w:val="1"/>
          <w:iCs w:val="1"/>
          <w:color w:val="auto"/>
        </w:rPr>
        <w:t>20% Issuance</w:t>
      </w:r>
      <w:r>
        <w:rPr>
          <w:rFonts w:ascii="Times New Roman" w:cs="Times New Roman" w:eastAsia="Times New Roman" w:hAnsi="Times New Roman"/>
          <w:sz w:val="17"/>
          <w:szCs w:val="17"/>
          <w:color w:val="auto"/>
        </w:rPr>
        <w:t>”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our shares of Common Stock or 20% or more of the voting power outstanding before the issuance, and (ii) “</w:t>
      </w:r>
      <w:r>
        <w:rPr>
          <w:rFonts w:ascii="Times New Roman" w:cs="Times New Roman" w:eastAsia="Times New Roman" w:hAnsi="Times New Roman"/>
          <w:sz w:val="17"/>
          <w:szCs w:val="17"/>
          <w:b w:val="1"/>
          <w:bCs w:val="1"/>
          <w:i w:val="1"/>
          <w:iCs w:val="1"/>
          <w:color w:val="auto"/>
        </w:rPr>
        <w:t>Minimum Price</w:t>
      </w:r>
      <w:r>
        <w:rPr>
          <w:rFonts w:ascii="Times New Roman" w:cs="Times New Roman" w:eastAsia="Times New Roman" w:hAnsi="Times New Roman"/>
          <w:sz w:val="17"/>
          <w:szCs w:val="17"/>
          <w:color w:val="auto"/>
        </w:rPr>
        <w:t>” means a price that is the lower of: (A) the closing price (as reflected on Nasdaq.com) immediately preceding the signing of the binding agreement; or (B) the average closing price of our Common Stock (as reflected on Nasdaq.com) for the five trading days immediately preceding the signing of the binding agreement. Stockholder approval of this proposal will constitute shareholder approval for purposes of Nasdaq Listing Rule 5635(d).</w:t>
      </w:r>
    </w:p>
    <w:p>
      <w:pPr>
        <w:spacing w:after="0" w:line="10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Additionally, Nasdaq Listing Rule 5635(b) requires stockholder approval prior to an issuance of securities that will result in a “change of control” of a listed company, which for Nasdaq purposes is generally deemed to occur when, as a result of an issuance, an investor or a group of investors acquires, or has the right to acquire, 20% or more of the outstanding equity or voting power of the company and such ownership or voting power would be the company’s largest ownership position.</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Entering into either potential financing transaction under this Nasdaq Service Proposal without stockholder approval would cause the Company to be in violation of Nasdaq Listing Rule 5635(d), which prohibits us from issuing in a private offering more than 20% of our outstanding Common Stock price that is below the Minimum Price set forth in such rule without previously obtaining shareholder approval, and in violation of Nasdaq Listing Rule 5635(b).</w:t>
      </w:r>
    </w:p>
    <w:p>
      <w:pPr>
        <w:spacing w:after="0" w:line="105"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Equity Line of Credit contemplates the sale of shares of Common Stock to Financing Source A at prices determined by reference to market-based pricing mechanisms, including the Rapid Purchase Price (based on the average of the three lowest traded prices during a two-hour valuation period), the VWAP Purchase Price (at a 3%</w:t>
      </w:r>
    </w:p>
    <w:p>
      <w:pPr>
        <w:sectPr>
          <w:pgSz w:w="11900" w:h="16838" w:orient="portrait"/>
          <w:cols w:equalWidth="0" w:num="1">
            <w:col w:w="9019"/>
          </w:cols>
          <w:pgMar w:left="1440" w:top="265"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discount to the lowest daily VWAP over a three-day period), and the Commitment Warrant exercise price (at a 1% discount to the prior day’s closing price), each of which may result in per-share purchase prices below the Minimum Price. In addition, the Financing Source A Note is convertible into shares of Common Stock at the Variable Conversion Price, which is set at 80% of the lowest daily VWAP during the 15 trading days prior to the conversion notice, and upon an Event of Default at the Default Conversion Price of $0.01 per share, each of which may result in issuances of shares at prices below the Minimum Price.</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Separately, the Financing Source B Equity Line of Credit contemplates the sale of shares of Common Stock to Financing Source B at prices determined by reference to market-based pricing mechanisms, including the Rapid Purchase Price (based on the average of the three lowest traded prices during a two-hour valuation period), the VWAP Purchase Price (at a 3% discount to the lowest daily VWAP over a three-day period), and the Commitment Warrant exercise price (at a 1% discount to the prior day’s closing price), each of which may result in per-share purchase prices below the Minimum Price. In addition, to the extent the Preferred Stock is convertible into shares of Common Stock, such conversion may also result in issuances of shares at prices below the Minimum Price and in violation of Nasdaq Listing Rule 5635(b).</w:t>
      </w:r>
    </w:p>
    <w:p>
      <w:pPr>
        <w:spacing w:after="0" w:line="11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Accordingly, the Company is required to obtain stockholder approval under Nasdaq Listing Rules 5635(b) and 5635(d). We are therefore asking our stockholders to approve for purposes of Nasdaq Listing Rules 5635(b) and 5635(d), the issuance of the shares of Common Stock as described in this Nasdaq Service Proposal.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Stockholder Approval</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Upon obtaining the stockholder approval requested in this Nasdaq Service Proposal, we would no longer be bound by the Nasdaq Listing Rule</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xml:space="preserve"> 5635(b) and 5635(d) restriction on issuances of Common Stock to either Financing Source A or Financing Source B. If this Proposal is approved by our stockholders, we would be able to issue shares and warrants to either Financing Source A or Financing Source B without regard to the Minimum Price limitation. The maximum number of shares of Common Stock that we may issue would fluctuate from time to time based on the price of our Common Stock.</w:t>
      </w:r>
    </w:p>
    <w:p>
      <w:pPr>
        <w:spacing w:after="0" w:line="10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For example, assuming the issuance of the full Commitment Amount to Financing Source A pursuant to the Share Purchase Agreement, and such shares are issued prior to the implementation of any Reverse Stock Split in accordance with the Reverse Split Proposal, Financing Source A would collectively own approximately 53,504,548 shares of Common Stock, assuming the shares to be issued are sold at a price of $0.1869 per share (the closing price on the Record Date).</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additional shares of Common Stock that we could issue to Financing Source A or Financing Source B, as applicable, will result in greater dilution to existing stockholders and may result in a decline in our stock price or greater price volatility. Each additional share of Common Stock that would be issuable to Financing Source A or Financing Source B would have the same rights and privileges as each share of our currently authorized Common Stock.</w:t>
      </w:r>
    </w:p>
    <w:p>
      <w:pPr>
        <w:spacing w:after="0" w:line="9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number of shares of Common Stock described above does not give effect to (i) the future issuance of shares upon conversion of any notes, (ii) the future issuance of shares upon the exercise of outstanding options or warrants, or (iii) any other potential future issuances of Common Stock, including any shares issued in connection with the implementation of any potential Reverse Stock Split as contemplated in the Reverse Split Proposal.</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Transaction and Effect on Current Stockholders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has determined that the potential financing transactions outlined in this Nasdaq Service Proposal are in the best interests of the Company and its stockholders because the right to sell shares to Financing Source A or Financing Source B to allow the Company to either make payments under or pay off and terminate the Original Loan Agreement and Original ELOC, many of the terms of which are unfavorable to the Company. Our Board believes the proposed terms of the potential financing transactions under this Nasdaq Service Proposal are fair and reasonable to the Company, and are preferable to the terms of the Original Loan Agreement and Original ELOC. The proposed terms of either financing transaction under this Nasdaq Service Proposal do not affect the rights of the holders of outstanding Common Stock, but the sale of shares to either Financing Source A or Financing Source B will have a dilutive effect on the existing stockholders, including the voting power and economic rights of the existing stockholders.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Nasdaq Market Value of Listed Securities and Market Value of Publicly Held Shares and Certain Potential Delisting Implications</w:t>
      </w:r>
    </w:p>
    <w:p>
      <w:pPr>
        <w:spacing w:after="0" w:line="6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Nasdaq Rules require that we maintain a minimum Market Value of Listed Securities (or “</w:t>
      </w:r>
      <w:r>
        <w:rPr>
          <w:rFonts w:ascii="Times New Roman" w:cs="Times New Roman" w:eastAsia="Times New Roman" w:hAnsi="Times New Roman"/>
          <w:sz w:val="17"/>
          <w:szCs w:val="17"/>
          <w:b w:val="1"/>
          <w:bCs w:val="1"/>
          <w:i w:val="1"/>
          <w:iCs w:val="1"/>
          <w:color w:val="auto"/>
        </w:rPr>
        <w:t>MVLS</w:t>
      </w:r>
      <w:r>
        <w:rPr>
          <w:rFonts w:ascii="Times New Roman" w:cs="Times New Roman" w:eastAsia="Times New Roman" w:hAnsi="Times New Roman"/>
          <w:sz w:val="17"/>
          <w:szCs w:val="17"/>
          <w:color w:val="auto"/>
        </w:rPr>
        <w:t>”) of $50,000,000 required by the continued listing requirements of Nasdaq Listing Rule 5450(b)(2)(A), as well as a minimum market value of publicly held shares of $15.0 million (or “</w:t>
      </w:r>
      <w:r>
        <w:rPr>
          <w:rFonts w:ascii="Times New Roman" w:cs="Times New Roman" w:eastAsia="Times New Roman" w:hAnsi="Times New Roman"/>
          <w:sz w:val="17"/>
          <w:szCs w:val="17"/>
          <w:b w:val="1"/>
          <w:bCs w:val="1"/>
          <w:i w:val="1"/>
          <w:iCs w:val="1"/>
          <w:color w:val="auto"/>
        </w:rPr>
        <w:t>MVPHS</w:t>
      </w:r>
      <w:r>
        <w:rPr>
          <w:rFonts w:ascii="Times New Roman" w:cs="Times New Roman" w:eastAsia="Times New Roman" w:hAnsi="Times New Roman"/>
          <w:sz w:val="17"/>
          <w:szCs w:val="17"/>
          <w:color w:val="auto"/>
        </w:rPr>
        <w:t>”) pursuant to Nasdaq Listing Rule 5450(b)(2)(C). On February 5, 2026, we received a written notification from Nasdaq notifying us that we had failed to comply with the MVLS requirement. On February 10, 2026, we received another written notification from Nasdaq notifying us that we had not complied with the MVPHS requirements for the last 30 consecutive business days prior to the date of the notice. We have until August 4, 2026 to regain compliance with the MVLS requirement, subject to the Staff’s discretion to extend this period under Nasdaq Listing Rule 5810(c)(3)(H). Additionally, in accordance with Nasdaq Listing Rule 5810(c)(3)(D) the Company has until August 10, 2026 to regain compliance with the MVPHS requirement. In the event that we do not regain compliance by the applicable compliance dates, we may be eligible to transfer from The Nasdaq Global Select Market to the Nasdaq Capital Market and seek an additional compliance period of 180 calendar days if we meet the continued listing requirement for MVPHS and all other initial listing standards for the Nasdaq Capital Market, with the exception of the minimum bid price requirement discussed in more detail in the Reverse Split Proposal. However, if it appears to the Nasdaq staff that we will not be able to cure the deficiency, if we have a closing bid price of $0.10 or less for a period of ten (10) consecutive business days, or if we are otherwise not eligible, Nasdaq will provide notice to the Company that our Common Stock will be subject to delisting. There can be no assurance that we will be able to regain compliance with the minimum bid price requirement, maintain compliance with any of the other Nasdaq continued listing requirements, or be successful in any appeal we may undertake.</w:t>
      </w:r>
    </w:p>
    <w:p>
      <w:pPr>
        <w:spacing w:after="0" w:line="33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believes that effecting one or more of the financings discussed in this Nasdaq Service Proposal will be the best means of regaining compliance with the MVLS and MVPHS requirements for continued listing on Nasdaq. The Board believes that continued listing on Nasdaq provides overall credibility to an investment in our stock, given the stringent listing and disclosure requirements of Nasdaq. Notably, some trading firms discourage investors 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w:t>
      </w:r>
    </w:p>
    <w:p>
      <w:pPr>
        <w:spacing w:after="0" w:line="11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If our Common Stock were delisted from The Nasdaq Global Select Market, trading of our Common Stock would thereafter be conducted on the OTC Markets or the “pink sheets.” As a result, an investor may find it more difficult to dispose of, or to obtain accurate quotations as to the price of, our Common Stock. To relist shares of our Common Stock on The Nasdaq Global Select Market, we would be required to meet the initial listing requirements for The Nasdaq Global Select Market, which are more stringent than the maintenance requirements.</w:t>
      </w:r>
    </w:p>
    <w:p>
      <w:pPr>
        <w:spacing w:after="0" w:line="30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Board is seeking stockholder approval of the Nasdaq Service Proposal in order to have the authority to effectuate the financings with Financing Source A or Financing Source B.</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Failure to Obtain Stockholder Approval</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the stockholders do not approve the Nasdaq Service Proposal, we will be unable to issue shares of Common Stock to Financing Source A or Financing Source B in an amount greater than 19.99% of the total number of shares of Common Stock outstanding immediately prior to the execution of either financing transaction. If this Nasdaq Service Proposal is not approved, it is unlikely we will have the requisite capital to pay off and terminate the Original Loan Agreement and Original ELOC, and the Company will therefore need to keep such financing arrangements in place.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Dilution and Potential Adverse Impact of this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issuance of the Commitment Shares and the full Commitment Amount of shares and warrants to either Financing Source A or Financing Source B will have a dilutive effect on our current stockholders in that the percentage ownership of the Company held by our current stockholders would decline as a result of the issuance of such additional shares of our Common Stock and warrants. As a result, our current stockholders would own a smaller proportionate interest in the Company and therefore have less ability to influence corporate decisions requiring stockholder approval. The issuance of shares of our Common Stock and warrants could also have a dilutive effect on our book value per share and on any future earnings per share, and the sale or any resale of such shares could cause prevailing market prices for our Common Stock to decline.</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Dilutive Effect of Nasdaq Proposal A:</w:t>
      </w:r>
    </w:p>
    <w:p>
      <w:pPr>
        <w:spacing w:after="0" w:line="14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For illustrative purposes only, below is a table showing the maximum number of shares of Common Stock that may potentially be issued pursuant to the Commitment Shares, the Equity Line of Credit, the Financing Source A Note, and the Commitment Warrant, (1) assuming that (i) the entire $10,000,000 Commitment Amount is issued in shares of Common Stock, (ii) the entire $2,000,000 Commitment Warrant amount is exercised, and (iii) each of the issuance of the Commitment Shares, the VWAP Purchase Price, the Warrant Exercise Price and the Conversion Price are each set at $0.24 in Scenario A and $0.15 in Scenario B and (2) disregarding the volume and ownership limitations pursuant to the Equity Line of Credit.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Scenario 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Scenario B</w:t>
            </w:r>
          </w:p>
        </w:tc>
      </w:t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(Hypothetical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(Hypothetical</w:t>
            </w:r>
          </w:p>
        </w:tc>
      </w:tr>
      <w:tr>
        <w:trPr>
          <w:trHeight w:val="208"/>
        </w:trPr>
        <w:tc>
          <w:tcPr>
            <w:tcW w:w="544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$0.24 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$0.15 Price)</w:t>
            </w:r>
          </w:p>
        </w:tc>
      </w:tr>
      <w:tr>
        <w:trPr>
          <w:trHeight w:val="44"/>
        </w:trPr>
        <w:tc>
          <w:tcPr>
            <w:tcW w:w="54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 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625,000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Commitment Amount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41,666,667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66,666,667</w:t>
            </w:r>
          </w:p>
        </w:tc>
      </w:tr>
      <w:tr>
        <w:trPr>
          <w:trHeight w:val="40"/>
        </w:trPr>
        <w:tc>
          <w:tcPr>
            <w:tcW w:w="5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Source A Note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11,979,167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19,166,667</w:t>
            </w:r>
          </w:p>
        </w:tc>
      </w:tr>
      <w:tr>
        <w:trPr>
          <w:trHeight w:val="24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Financing Source A Warrant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8,333,333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13,333,333</w:t>
            </w:r>
          </w:p>
        </w:tc>
      </w:tr>
      <w:tr>
        <w:trPr>
          <w:trHeight w:val="27"/>
        </w:trPr>
        <w:tc>
          <w:tcPr>
            <w:tcW w:w="54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62,604,167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100,166,667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Dilutive Effect of Nasdaq Service Proposal B:</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For illustrative purposes only, below is a table showing the maximum number of shares of Common Stock that may potentially be issued pursuant to the Financing Source B Commitment Shares, the Equity Line of Credit and the Preferred Stock Purchase (assuming conversion of the preferred stock into shares of Common Stock), (1) assuming that (i) the entire $10,000,000 Financing Source B Commitment Amount is issued in shares of Common Stock and (ii) each of the issuance of the Financing Source B Commitment Shares, the VWAP Purchase Price and the Conversion Price are each set at $0.24 in Scenario A and $0.15 in Scenario B and (2) disregarding the volume and ownership limitations pursuant to the Equity Line of Credit.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Scenario 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Scenario B</w:t>
            </w:r>
          </w:p>
        </w:tc>
      </w:t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(Hypothetical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(Hypothetical</w:t>
            </w:r>
          </w:p>
        </w:tc>
      </w:tr>
      <w:tr>
        <w:trPr>
          <w:trHeight w:val="208"/>
        </w:trPr>
        <w:tc>
          <w:tcPr>
            <w:tcW w:w="544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$0.24 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$0.15 Price)</w:t>
            </w:r>
          </w:p>
        </w:tc>
      </w:tr>
      <w:tr>
        <w:trPr>
          <w:trHeight w:val="44"/>
        </w:trPr>
        <w:tc>
          <w:tcPr>
            <w:tcW w:w="54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Source B Commitment 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625,000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35"/>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Financing Source B Commitment Amount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41,666,667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66,666,667</w:t>
            </w:r>
          </w:p>
        </w:tc>
      </w:tr>
      <w:tr>
        <w:trPr>
          <w:trHeight w:val="40"/>
        </w:trPr>
        <w:tc>
          <w:tcPr>
            <w:tcW w:w="5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Equity Purchase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41,666,667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66,666,667</w:t>
            </w:r>
          </w:p>
        </w:tc>
      </w:tr>
      <w:tr>
        <w:trPr>
          <w:trHeight w:val="24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Financing Source B Warrant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8,333,333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13,333,333</w:t>
            </w:r>
          </w:p>
        </w:tc>
      </w:tr>
      <w:tr>
        <w:trPr>
          <w:trHeight w:val="27"/>
        </w:trPr>
        <w:tc>
          <w:tcPr>
            <w:tcW w:w="54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92,291,667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147,666,667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at least the majority of the shares of stock present or represented (virtually or by proxy) at the Annual Meeting is necessary to approve the Nasdaq Service Proposal. You may vote “FOR,” “AGAINST,” or “ABSTAIN” on this proposal. Abstentions shall have the effect of a vote “AGAINST” the proposal and broker non-votes will have no effect on the outcome of this proposal.</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A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NASDAQ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5</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THE NASDAQ CONVERSION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3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On December 4, 2025, the Company entered into a Loan Agreement (the “</w:t>
      </w:r>
      <w:r>
        <w:rPr>
          <w:rFonts w:ascii="Times New Roman" w:cs="Times New Roman" w:eastAsia="Times New Roman" w:hAnsi="Times New Roman"/>
          <w:sz w:val="17"/>
          <w:szCs w:val="17"/>
          <w:b w:val="1"/>
          <w:bCs w:val="1"/>
          <w:i w:val="1"/>
          <w:iCs w:val="1"/>
          <w:color w:val="auto"/>
        </w:rPr>
        <w:t>Original Loan Agreement</w:t>
      </w:r>
      <w:r>
        <w:rPr>
          <w:rFonts w:ascii="Times New Roman" w:cs="Times New Roman" w:eastAsia="Times New Roman" w:hAnsi="Times New Roman"/>
          <w:sz w:val="17"/>
          <w:szCs w:val="17"/>
          <w:color w:val="auto"/>
        </w:rPr>
        <w:t>”) with J.J. Astor &amp; Co., a Utah corporation (“</w:t>
      </w:r>
      <w:r>
        <w:rPr>
          <w:rFonts w:ascii="Times New Roman" w:cs="Times New Roman" w:eastAsia="Times New Roman" w:hAnsi="Times New Roman"/>
          <w:sz w:val="17"/>
          <w:szCs w:val="17"/>
          <w:b w:val="1"/>
          <w:bCs w:val="1"/>
          <w:i w:val="1"/>
          <w:iCs w:val="1"/>
          <w:color w:val="auto"/>
        </w:rPr>
        <w:t>J.J. Astor</w:t>
      </w:r>
      <w:r>
        <w:rPr>
          <w:rFonts w:ascii="Times New Roman" w:cs="Times New Roman" w:eastAsia="Times New Roman" w:hAnsi="Times New Roman"/>
          <w:sz w:val="17"/>
          <w:szCs w:val="17"/>
          <w:color w:val="auto"/>
        </w:rPr>
        <w:t>”), pursuant to which the Company may borrow up to $5,000,000 consisting of an Initial Loan of $2,000,000 and up to three additional tranches of $1,000,000 each. In connection with the Original Loan Agreement, the Company issued J.J. Astor a Senior Secured Convertible Note in the original principal amount of $2,600,000 (the “</w:t>
      </w:r>
      <w:r>
        <w:rPr>
          <w:rFonts w:ascii="Times New Roman" w:cs="Times New Roman" w:eastAsia="Times New Roman" w:hAnsi="Times New Roman"/>
          <w:sz w:val="17"/>
          <w:szCs w:val="17"/>
          <w:b w:val="1"/>
          <w:bCs w:val="1"/>
          <w:i w:val="1"/>
          <w:iCs w:val="1"/>
          <w:color w:val="auto"/>
        </w:rPr>
        <w:t>Initial Note</w:t>
      </w:r>
      <w:r>
        <w:rPr>
          <w:rFonts w:ascii="Times New Roman" w:cs="Times New Roman" w:eastAsia="Times New Roman" w:hAnsi="Times New Roman"/>
          <w:sz w:val="17"/>
          <w:szCs w:val="17"/>
          <w:color w:val="auto"/>
        </w:rPr>
        <w:t>”).</w:t>
      </w:r>
    </w:p>
    <w:p>
      <w:pPr>
        <w:spacing w:after="0" w:line="7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Original Loan Agreement and related documents contain securities issuance provisions that, in certain circumstances, may result in the issuance of shares of Common Stock in excess of the 20% threshold under the applicable Nasdaq Listing Rules. Accordingly, in order to ensure compliance with Nasdaq Listing Rule 5635, the Company must obtain the approval of the Company’s stockholders for the issuance of shares of Common Stock if such issuance will exceed the 20% threshold under the applicable Nasdaq Rules.</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Board is seeking stockholder approval as required under Nasdaq Listing Rules 5635(b) and 5635(d), to potentially issue shares of our Common Stock to J.J. Astor in excess of 19.99% of our outstanding shares of Common Stock as of immediately prior to the execution of the Original Purchase Agreement, as more fully described below.</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Agreements</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Original Loan Agreement</w:t>
      </w:r>
    </w:p>
    <w:p>
      <w:pPr>
        <w:spacing w:after="0" w:line="13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Pursuant to the Original Loan Agreement, the Company borrowed an initial amount of $2,000,000, with a funding amount of $1,920,000 (representing 96% of the loan amount after deduction of an $80,000 origination fee). In connection with the loan, the Company issued the Initial Note in the original principal amount of $2,600,000. The Initial Note has a Final Maturity Date of November 30, 2026.</w:t>
      </w:r>
    </w:p>
    <w:p>
      <w:pPr>
        <w:spacing w:after="0" w:line="7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Subject to certain conditions, J.J. Astor may elect, in its sole discretion, to fund up to three additional loans of $1,000,000 each, in which case the Company would issue additional promissory notes in the original principal amount of $1,300,000 for each additional loan funded. The loans are secured by a senior first priority lien on all assets and properties of the Company and its subsidiary guarantors.</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Senior Convertible Note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Initial Note is a Senior Secured Convertible Note that, upon the occurrence and continuation of an Event of Default (as defined in the Initial Note), becomes convertible into shares of Common Stock. Upon an Event of Default, the Outstanding Principal Amount automatically increases to 110% of such amount (the “</w:t>
      </w:r>
      <w:r>
        <w:rPr>
          <w:rFonts w:ascii="Times New Roman" w:cs="Times New Roman" w:eastAsia="Times New Roman" w:hAnsi="Times New Roman"/>
          <w:sz w:val="17"/>
          <w:szCs w:val="17"/>
          <w:b w:val="1"/>
          <w:bCs w:val="1"/>
          <w:i w:val="1"/>
          <w:iCs w:val="1"/>
          <w:color w:val="auto"/>
        </w:rPr>
        <w:t>Default Amount</w:t>
      </w:r>
      <w:r>
        <w:rPr>
          <w:rFonts w:ascii="Times New Roman" w:cs="Times New Roman" w:eastAsia="Times New Roman" w:hAnsi="Times New Roman"/>
          <w:sz w:val="17"/>
          <w:szCs w:val="17"/>
          <w:color w:val="auto"/>
        </w:rPr>
        <w:t>”), plus accrued interest at the rate of 19% per annum, compounded monthly.</w:t>
      </w:r>
    </w:p>
    <w:p>
      <w:pPr>
        <w:spacing w:after="0" w:line="7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the Lender elects to convert all or a portion of the Initial Note following an Event of Default, the conversion price shall be equal to 80% of the average of the four lowest volume weighted average prices of the shares of Common Stock over the twenty (20) trading days immediately prior to the date of the notice of conversion. The conversion feature is subject to certain conditions, including the effectiveness of a resale Registration Statement or the fulfillment of resale conditions under Rule 144 under the Securities Act.</w:t>
      </w:r>
    </w:p>
    <w:p>
      <w:pPr>
        <w:spacing w:after="0" w:line="7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conversion feature contains a beneficial ownership limitation providing that the notes shall not be convertible to the extent that, after giving effect to the issuance of shares upon such conversion, the holder or any of its affiliates would beneficially own in excess of 4.99% of the outstanding shares of Common Stock.</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New Circle ELOC</w:t>
      </w:r>
    </w:p>
    <w:p>
      <w:pPr>
        <w:spacing w:after="0" w:line="143"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On July 18, 2023, the Company entered into a Share Purchase Agreement (the “</w:t>
      </w:r>
      <w:r>
        <w:rPr>
          <w:rFonts w:ascii="Times New Roman" w:cs="Times New Roman" w:eastAsia="Times New Roman" w:hAnsi="Times New Roman"/>
          <w:sz w:val="17"/>
          <w:szCs w:val="17"/>
          <w:b w:val="1"/>
          <w:bCs w:val="1"/>
          <w:i w:val="1"/>
          <w:iCs w:val="1"/>
          <w:color w:val="auto"/>
        </w:rPr>
        <w:t>Original ELOC</w:t>
      </w:r>
      <w:r>
        <w:rPr>
          <w:rFonts w:ascii="Times New Roman" w:cs="Times New Roman" w:eastAsia="Times New Roman" w:hAnsi="Times New Roman"/>
          <w:sz w:val="17"/>
          <w:szCs w:val="17"/>
          <w:color w:val="auto"/>
        </w:rPr>
        <w:t>”) with New Circle Principal Investments LLC, a Delaware limited liability company (“</w:t>
      </w:r>
      <w:r>
        <w:rPr>
          <w:rFonts w:ascii="Times New Roman" w:cs="Times New Roman" w:eastAsia="Times New Roman" w:hAnsi="Times New Roman"/>
          <w:sz w:val="17"/>
          <w:szCs w:val="17"/>
          <w:b w:val="1"/>
          <w:bCs w:val="1"/>
          <w:i w:val="1"/>
          <w:iCs w:val="1"/>
          <w:color w:val="auto"/>
        </w:rPr>
        <w:t>New Circle</w:t>
      </w:r>
      <w:r>
        <w:rPr>
          <w:rFonts w:ascii="Times New Roman" w:cs="Times New Roman" w:eastAsia="Times New Roman" w:hAnsi="Times New Roman"/>
          <w:sz w:val="17"/>
          <w:szCs w:val="17"/>
          <w:color w:val="auto"/>
        </w:rPr>
        <w:t>”), pursuant to which New Circle has committed to purchase, subject to certain limitations, up to $50 million in shares of the Company’s Common Stock. The Company may, at its sole option, direct New Circle to purchase shares from time to time and is under no obligation to sell any securities thereunder. Issuances of shares under the ELOC Agreement are subject to applicable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Nasdaq listing requirements, including a cap of 19.99% of the Company’s outstanding shares of Common Stock (the “</w:t>
      </w:r>
      <w:r>
        <w:rPr>
          <w:rFonts w:ascii="Times New Roman" w:cs="Times New Roman" w:eastAsia="Times New Roman" w:hAnsi="Times New Roman"/>
          <w:sz w:val="17"/>
          <w:szCs w:val="17"/>
          <w:b w:val="1"/>
          <w:bCs w:val="1"/>
          <w:i w:val="1"/>
          <w:iCs w:val="1"/>
          <w:color w:val="auto"/>
        </w:rPr>
        <w:t>Exchange Cap</w:t>
      </w:r>
      <w:r>
        <w:rPr>
          <w:rFonts w:ascii="Times New Roman" w:cs="Times New Roman" w:eastAsia="Times New Roman" w:hAnsi="Times New Roman"/>
          <w:sz w:val="17"/>
          <w:szCs w:val="17"/>
          <w:color w:val="auto"/>
        </w:rPr>
        <w:t>”) unless the Company obtains stockholder approval or a minimum price exception applies. In addition, the ELOC Agreement provides for a 4.99% beneficial ownership limitation, which New Circle may elect to increase to 9.99% upon 61 days’ notice. New Circle has agreed not to engage in short sales or otherwise establish a net short position in the Company’s Common Stock during the term of the ELOC Agreement. The Company has also entered into a registration rights agreement with New Circle and filed a resale registration statement covering up to 5,524,624 shares; additional share registrations may be required to access the full $50 million capacity.</w:t>
      </w:r>
    </w:p>
    <w:p>
      <w:pPr>
        <w:spacing w:after="0" w:line="113"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The Original Loan Agreement requires the Company to draw on the Original ELOC to pay monthly installment payments under the Initial Note. New Circle has agreed to remit 80% of all ELOC proceeds to</w:t>
      </w:r>
    </w:p>
    <w:p>
      <w:pPr>
        <w:spacing w:after="0" w:line="1" w:lineRule="exact"/>
        <w:rPr>
          <w:sz w:val="20"/>
          <w:szCs w:val="20"/>
          <w:color w:val="auto"/>
        </w:rPr>
      </w:pPr>
    </w:p>
    <w:p>
      <w:pPr>
        <w:jc w:val="both"/>
        <w:ind w:left="580" w:right="599" w:hanging="6"/>
        <w:spacing w:after="0" w:line="263" w:lineRule="auto"/>
        <w:tabs>
          <w:tab w:leader="none" w:pos="8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Astor with the remaining 20% to be remitted to the Company within three (3) business days following each draw on the ELOC. To the extent that the proceeds of the ELOC remitted to J.J. Astor are not sufficient to cover the then applicable minimum monthly payment due in any month, the Company shall be required to pay the balance of such amount to J.J. Astor on the last business day of such month.</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Requirement to Seek Stockholder Approval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Nasdaq Listing Rule 5635(d), shareholder approval is required prior to a 20% Issuance at a price that is less than the Minimum Price. For purposes of Nasdaq Listing Rule 5635(d), (i) “</w:t>
      </w:r>
      <w:r>
        <w:rPr>
          <w:rFonts w:ascii="Times New Roman" w:cs="Times New Roman" w:eastAsia="Times New Roman" w:hAnsi="Times New Roman"/>
          <w:sz w:val="17"/>
          <w:szCs w:val="17"/>
          <w:b w:val="1"/>
          <w:bCs w:val="1"/>
          <w:i w:val="1"/>
          <w:iCs w:val="1"/>
          <w:color w:val="auto"/>
        </w:rPr>
        <w:t>20% Issuance</w:t>
      </w:r>
      <w:r>
        <w:rPr>
          <w:rFonts w:ascii="Times New Roman" w:cs="Times New Roman" w:eastAsia="Times New Roman" w:hAnsi="Times New Roman"/>
          <w:sz w:val="17"/>
          <w:szCs w:val="17"/>
          <w:color w:val="auto"/>
        </w:rPr>
        <w:t>”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our shares of Common Stock or 20% or more of the voting power outstanding before the issuance, and (ii) “</w:t>
      </w:r>
      <w:r>
        <w:rPr>
          <w:rFonts w:ascii="Times New Roman" w:cs="Times New Roman" w:eastAsia="Times New Roman" w:hAnsi="Times New Roman"/>
          <w:sz w:val="17"/>
          <w:szCs w:val="17"/>
          <w:b w:val="1"/>
          <w:bCs w:val="1"/>
          <w:i w:val="1"/>
          <w:iCs w:val="1"/>
          <w:color w:val="auto"/>
        </w:rPr>
        <w:t>Minimum Price</w:t>
      </w:r>
      <w:r>
        <w:rPr>
          <w:rFonts w:ascii="Times New Roman" w:cs="Times New Roman" w:eastAsia="Times New Roman" w:hAnsi="Times New Roman"/>
          <w:sz w:val="17"/>
          <w:szCs w:val="17"/>
          <w:color w:val="auto"/>
        </w:rPr>
        <w:t>” means a price that is the lower of: (A) the closing price (as reflected on Nasdaq.com) immediately preceding the signing of the binding agreement; or (B) the average closing price of our Common Stock (as reflected on Nasdaq.com) for the five trading days immediately preceding the signing of the binding agreement. Stockholder approval of this proposal will constitute shareholder approval for purposes of Nasdaq Listing Rule 5635(d).</w:t>
      </w:r>
    </w:p>
    <w:p>
      <w:pPr>
        <w:spacing w:after="0" w:line="10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Additionally, Nasdaq Listing Rule 5635(b) requires stockholder approval prior to an issuance of securities that will result in a “change of control” of a listed company, which for Nasdaq purposes is generally deemed to occur when, as a result of an issuance, an investor or a group of investors acquires, or has the right to acquire, 20% or more of the outstanding equity or voting power of the company and such ownership or voting power would be the company’s largest ownership position.</w:t>
      </w:r>
    </w:p>
    <w:p>
      <w:pPr>
        <w:spacing w:after="0" w:line="7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the Nasdaq Service Proposal is not approved, or if the Company is otherwise unable to service the Original Loan Agreement, then the Company may be required to take out additional loans pursuant to the Original Loan Agreement and issue additional shares to J.J. Astor under the Original Loan Agreement. The potential issuance of shares of Common Stock pursuant to the Original Loan Agreement may exceed the 20% threshold under the applicable Nasdaq Listing Rules if an Event of Default occurs and J.J. Astor elects to convert the Initial Note, the number of conversion shares issuable could be substantial given that the conversion price is set at 80% of the average of the four lowest VWAPs over the preceding 20 trading days, which may be significantly below the Minimum Price. Accordingly, without approval of the Nasdaq Conversion Proposal, the Company may be in violation of Nasdaq Listing Rules 5635(b) and 5635(d) upon such conversion.</w:t>
      </w:r>
    </w:p>
    <w:p>
      <w:pPr>
        <w:spacing w:after="0" w:line="8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In no event may the Company issue shares of Common Stock pursuant to the conversion of the Initial Note or any additional issued notes if such issuance would cause the aggregate number of shares of Common Stock issued pursuant to the Original Loan Agreement to exceed 19.99% of the shares of Common Stock issued and outstanding immediately prior to the execution of the Loan Agreement (the “</w:t>
      </w:r>
      <w:r>
        <w:rPr>
          <w:rFonts w:ascii="Times New Roman" w:cs="Times New Roman" w:eastAsia="Times New Roman" w:hAnsi="Times New Roman"/>
          <w:sz w:val="17"/>
          <w:szCs w:val="17"/>
          <w:b w:val="1"/>
          <w:bCs w:val="1"/>
          <w:i w:val="1"/>
          <w:iCs w:val="1"/>
          <w:color w:val="auto"/>
        </w:rPr>
        <w:t>Exchange Cap</w:t>
      </w:r>
      <w:r>
        <w:rPr>
          <w:rFonts w:ascii="Times New Roman" w:cs="Times New Roman" w:eastAsia="Times New Roman" w:hAnsi="Times New Roman"/>
          <w:sz w:val="17"/>
          <w:szCs w:val="17"/>
          <w:color w:val="auto"/>
        </w:rPr>
        <w:t>”), unless stockholder approval is obtained.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If this proposal is approved, existing stockholders will suffer dilution in ownership interests and voting rights as a result of the issuance of shares of Common Stock pursuant to the conversion of the Initial Note or any additional notes upon an Event of Default.</w:t>
      </w:r>
    </w:p>
    <w:p>
      <w:pPr>
        <w:spacing w:after="0" w:line="85"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Because the conversion price of the Initial Note or any additional notes upon an Event of Default may be adjusted, and because conversion may occur at a floating discount to market price, the number of shares that may actually be issued could be significantly higher than as of the date of this Proxy Statement. The sale into the public market of these shares could also materially and adversely affect the market price of our Common Stock.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The number of shares of Common Stock described above does not give effect to (i) the future issuance of shares upon conversion of any notes, (ii) the future issuance of shares upon the exercise of outstanding options or warrants, or (iii) any other potential future issuances of Common Stock, including any shares issued in connection with the implementation of any potential Reverse Stock Split as contemplated in the Reverse Split Proposal.</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Failure to Obtain Stockholder Approval</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stockholder approval of this proposal is not obtained, we will be unable to issue any shares of Common Stock pursuant a potential conversion of the Initial Note in an amount greater than 19.99% of the total number of shares of Common Stock outstanding immediately prior to the execution of the Original Loan Agreement if such issuances are, in the aggregate, at an average price less than the Minimum Price.</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has entered into binding commitments under the Original Loan Agreement that require the issuance of securities to J.J. Astor. Failure to obtain stockholder approval may impact the Company’s ability to fully perform its obligations under the Original Loan Agreement and related documents.</w:t>
      </w:r>
    </w:p>
    <w:p>
      <w:pPr>
        <w:spacing w:after="0" w:line="8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we are unable to issue shares pursuant to the Initial Note or any additional notes, we may be required to seek alternative arrangements with J.J. Astor or alternative sources of financing, which may not be available on advantageous terms, or at all, and which may result in the incurrence of additional transaction expenses. Our ability to successfully implement our business plans and ultimately generate value for our stockholders is dependent upon our ability to satisfy our ongoing business needs.</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if the Registration Rights Agreement is triggered due to an Event of Default and the Company is required to register shares for resale, limitations on the issuance of such shares due to the absence of stockholder approval could result in the Company’s failure to satisfy its registration obligations and potentially trigger liquidated damages provisions under the Registration Rights Agreement.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Dilution and Potential Adverse Impact of this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issuance of shares of Common Stock pursuant a potential conversion of the Initial Note will have a dilutive effect on our current stockholders in that the percentage ownership of the Company held by our current stockholders would decline as a result of the issuance of such additional shares of our Common Stock. As a result, our current stockholders would own a smaller proportionate interest in the Company and therefore have less ability to influence corporate decisions requiring stockholder approval. The issuance of shares of our Common Stock could also have a dilutive effect on our book value per share and on any future earnings per share, and the sale or any resale of such shares could cause prevailing market prices for our Common Stock to decline.</w:t>
      </w:r>
    </w:p>
    <w:p>
      <w:pPr>
        <w:spacing w:after="0" w:line="30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illustrative purposes only, below is a table showing the number of shares of Common Stock that may potentially be issued pursuant to a potential conversion of the Initial Note.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Scenario 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Scenario B</w:t>
            </w:r>
          </w:p>
        </w:tc>
      </w:t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(Hypothetical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(Hypothetical</w:t>
            </w:r>
          </w:p>
        </w:tc>
      </w:tr>
      <w:tr>
        <w:trPr>
          <w:trHeight w:val="196"/>
        </w:trPr>
        <w:tc>
          <w:tcPr>
            <w:tcW w:w="54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$0.24</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$0.15</w:t>
            </w:r>
          </w:p>
        </w:tc>
      </w:tr>
      <w:tr>
        <w:trPr>
          <w:trHeight w:val="196"/>
        </w:trPr>
        <w:tc>
          <w:tcPr>
            <w:tcW w:w="544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Conversion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Conversion</w:t>
            </w:r>
          </w:p>
        </w:tc>
      </w:tr>
      <w:tr>
        <w:trPr>
          <w:trHeight w:val="208"/>
        </w:trPr>
        <w:tc>
          <w:tcPr>
            <w:tcW w:w="54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44"/>
        </w:trPr>
        <w:tc>
          <w:tcPr>
            <w:tcW w:w="54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Note ($1,943,351 remaining principal and interest outstanding)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8,097,296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12,955,674</w:t>
            </w:r>
          </w:p>
        </w:tc>
      </w:tr>
      <w:tr>
        <w:trPr>
          <w:trHeight w:val="34"/>
        </w:trPr>
        <w:tc>
          <w:tcPr>
            <w:tcW w:w="5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at least the majority of the shares of stock present or represented (virtually or by proxy) at the Annual Meeting is necessary to approve the Nasdaq Proposal. You may vote “FOR,” “AGAINST,” or “ABSTAIN” on this proposal. Abstentions shall have the effect of a vote “AGAINST” the proposal and broker non-votes will have no effect on the outcome of this proposal.</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A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NASDAQ CONVERSION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6</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THE NASDAQ 20%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The Board is seeking stockholder approval of the potential issuance of shares of our Common Stock, including shares of Common Stock issuable upon conversion or exercise of convertible preferred stock, warrants or other rights to purchase or acquire Common Stock, and convertible notes or other securities convertible into, or exercisable or exchangeable for, our Common Stock in one or more potential non-public transactions, including transactions involving the exchange of trade debt for any such securities, in an aggregate offering amount of up to $10,000,000. The Common Stock and/or any other securities that may be issued together with the Common Stock or in lieu of the Common Stock issuable pursuant to such non-public transactions may be issued at a discounted price not to exceed 20% below the lower of the Minimum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notwithstanding the initial discount, the securities issued may contain adjustments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conversion or exercise price of such security, which such adjustment may be triggered and/or the number of securities issuable upon conversion or exercise of such security based on time elapsed following closing of the offering or following any dilutive issuances, provided further that any adjustment to the conversion price or exercise price of such security will be subject to a floor price that is no less than 20% of the Minimum Price or such other price as may be accepted in accordance with Nasdaq Listing Rules (the “</w:t>
      </w:r>
      <w:r>
        <w:rPr>
          <w:rFonts w:ascii="Times New Roman" w:cs="Times New Roman" w:eastAsia="Times New Roman" w:hAnsi="Times New Roman"/>
          <w:sz w:val="17"/>
          <w:szCs w:val="17"/>
          <w:b w:val="1"/>
          <w:bCs w:val="1"/>
          <w:i w:val="1"/>
          <w:iCs w:val="1"/>
          <w:color w:val="auto"/>
        </w:rPr>
        <w:t>Floor Price</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Additionally, the Company may also include in any warrants issued in such offering a zero cash exercise provision which will permit a warrant holder to exchange such warrant without the payment of cash for a number of shares of Common Stock in excess of the number of shares into which the warrant is then exercisable into.</w:t>
      </w:r>
    </w:p>
    <w:p>
      <w:pPr>
        <w:spacing w:after="0" w:line="31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Notwithstanding the foregoing, and regardless of the type of securities issued in such offering, the maximum number of shares of our Common Stock that may be issued if this proposal is approved is 100,000,000 shares, if such shares are issued prior to the implementation of any potential Reverse Stock Split as contemplated in the Reverse Split Proposal, subject to such additional shares of our Common Stock that may be issued if the Floor Price is adjusted as provided above, to the extent permitted in accordance with Nasdaq Listing Rule 5635(d).</w:t>
      </w:r>
    </w:p>
    <w:p>
      <w:pPr>
        <w:spacing w:after="0" w:line="30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above described potential non-public offering transactions must be consummated within three (3) months from the date of stockholder approval.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Pricing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Any such securities could be issued at a discount to the prevailing market price of our common stock and, depending on market conditions, may be below the “Minimum Price” as defined in Nasdaq Listing Rule 5635(d). The exact terms, including price, conversion or exercise features, maturity, interest or dividend provisions, and anti-dilution protections, will be negotiated with investors at the time of any transaction.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Specific Transactions</w:t>
      </w:r>
    </w:p>
    <w:p>
      <w:pPr>
        <w:spacing w:after="0" w:line="16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As of the date of this Proxy Statement, the Company has not entered into any definitive agreement to issue securities pursuant to this Nasdaq 20% Proposal, and no specific financing transaction is currently pending.</w:t>
      </w:r>
    </w:p>
    <w:p>
      <w:pPr>
        <w:spacing w:after="0" w:line="3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Stockholder Approval</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Approval of this Nasdaq 20% Proposal authorizes the Company to issue securities in one or more non-public financing transactions exceeding the 19.99% threshold under Nasdaq Listing Rule 5635(d), including at a price that may be below the “Minimum Price,” and solely for financing purposes, without further stockholder approval, provided such issuances fall within the parameters described herein. This authorization does not extend to transactions that would result in a change of control under Nasdaq Rules or to acquisitions or mergers involving the issuance of our securities. If a future transaction were to involve a change of control, exceed the 19.99% threshold in a manner not contemplated by this authorization, or otherwise fall outside of these parameters, or involve a change of control under Nasdaq Rules, we would be required to seek additional stockholder approval in accordance with Nasdaq Listing Rule 5635.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Transaction and Effect on Current Stockholders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the Company enters into a non-public offering transaction as described herein without approval of the Nasdaq 20% Proposal, the Company may be in violation of Nasdaq Listing Rule 5635(d), which prohibits us from issuing in a private offering more than 20% of our outstanding Common Stock price that is below the Minimum Price set forth in such rule without previously obtaining shareholder approval, and in violation of Nasdaq Listing Rule 5635(b).</w:t>
      </w:r>
    </w:p>
    <w:p>
      <w:pPr>
        <w:spacing w:after="0" w:line="105"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Our Board has determined that this Nasdaq 20% Proposal is in the best interests of the Company. The Company plans to use the proceeds from any transaction entered into pursuant to this Nasdaq 20% Proposal</w:t>
      </w:r>
    </w:p>
    <w:p>
      <w:pPr>
        <w:spacing w:after="0" w:line="1" w:lineRule="exact"/>
        <w:rPr>
          <w:sz w:val="20"/>
          <w:szCs w:val="20"/>
          <w:color w:val="auto"/>
        </w:rPr>
      </w:pPr>
    </w:p>
    <w:p>
      <w:pPr>
        <w:jc w:val="both"/>
        <w:ind w:left="580" w:right="579" w:hanging="6"/>
        <w:spacing w:after="0" w:line="265" w:lineRule="auto"/>
        <w:tabs>
          <w:tab w:leader="none" w:pos="8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off the Senior Convertible Note with J.J. Astor, and (ii) for capital needed for operations, or issue securities in connection with the settlement of outstanding liabilities or other indebtedness, without the need to conduct a public offering, which would involve significant delay and expense, if feasible at all.</w:t>
      </w:r>
    </w:p>
    <w:p>
      <w:pPr>
        <w:spacing w:after="0" w:line="10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This Nasdaq 20% Proposal does not obligate the Company to consummate any specific transaction. Any transaction completed under this authority will be subject to the Board’s determination that such transaction is in the best interests of the Company and its stockholders.</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currently anticipates using proceeds from any such financing for general working capital, repayment or refinancing of indebtedness, funding of software development initiatives.</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issuance of additional shares of common stock, or securities convertible into or exercisable for common stock, could substantially dilute the ownership interests and voting power of existing stockholders. Such issuances may also adversely affect the market price of our Common Stock and create downward pressure if securities are issued at a discount. Convertible or derivative securities may introduce volatility and could result in substantial additional dilution if our stock price declines.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of Failure to Obtain Stockholder Approval</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the stockholders do not approve this Nasdaq 20% Proposal, it is possible that we would be unable to obtain sufficient financing to fund our operations, implement our business strategy and enhance our overall capitalization. As a result, we would need to seek alternative sources of financing, where stockholder approval is not required, in order to obtain the necessary funds. Any such alternative sources of financing may not be available to us or may not be available on commercially reasonable terms.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at least the majority of the shares of stock present or represented (virtually or by proxy) at the Annual Meeting is necessary to approve the Nasdaq Proposal. You may vote “FOR,” “AGAINST,” or “ABSTAIN” on this proposal. Abstentions shall have the effect of a vote “AGAINST” the proposal and broker non-votes will have no effect on the outcome of this proposal.</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A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NASDAQ 20%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7</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THE INCENTIVE PLAN AMENDMENT PROPOSAL</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We are Requesting Stockholder Approval</w:t>
      </w:r>
    </w:p>
    <w:p>
      <w:pPr>
        <w:spacing w:after="0" w:line="14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We are asking our stockholders to approve an amendment (the “</w:t>
      </w:r>
      <w:r>
        <w:rPr>
          <w:rFonts w:ascii="Times New Roman" w:cs="Times New Roman" w:eastAsia="Times New Roman" w:hAnsi="Times New Roman"/>
          <w:sz w:val="17"/>
          <w:szCs w:val="17"/>
          <w:b w:val="1"/>
          <w:bCs w:val="1"/>
          <w:i w:val="1"/>
          <w:iCs w:val="1"/>
          <w:color w:val="auto"/>
        </w:rPr>
        <w:t>Incentive Plan Amendment</w:t>
      </w:r>
      <w:r>
        <w:rPr>
          <w:rFonts w:ascii="Times New Roman" w:cs="Times New Roman" w:eastAsia="Times New Roman" w:hAnsi="Times New Roman"/>
          <w:sz w:val="17"/>
          <w:szCs w:val="17"/>
          <w:color w:val="auto"/>
        </w:rPr>
        <w:t>”) to the CID HoldCo, Inc. 2024 Equity Incentive Plan (the “</w:t>
      </w:r>
      <w:r>
        <w:rPr>
          <w:rFonts w:ascii="Times New Roman" w:cs="Times New Roman" w:eastAsia="Times New Roman" w:hAnsi="Times New Roman"/>
          <w:sz w:val="17"/>
          <w:szCs w:val="17"/>
          <w:b w:val="1"/>
          <w:bCs w:val="1"/>
          <w:i w:val="1"/>
          <w:iCs w:val="1"/>
          <w:color w:val="auto"/>
        </w:rPr>
        <w:t>Current Plan</w:t>
      </w:r>
      <w:r>
        <w:rPr>
          <w:rFonts w:ascii="Times New Roman" w:cs="Times New Roman" w:eastAsia="Times New Roman" w:hAnsi="Times New Roman"/>
          <w:sz w:val="17"/>
          <w:szCs w:val="17"/>
          <w:color w:val="auto"/>
        </w:rPr>
        <w:t>”). The Incentive Plan Amendment amends the Current Plan to increase the number of shares available for the issuance of awards, and the number of shares that may be issued subject to “incentive stock options” (as described below), under the Current Plan. We refer to the Current Plan, as amended by the Incentive Plan Amendment, as the “Amended Plan.” Our Board believes that our success depends, in large part, on our ability to maintain a competitive position by attracting, retaining and motivating key employees with experience and ability. Central to these objectives is our equity-based compensation program, which is consistent with our compensation philosophy and the compensatory practices of other artificial intelligence companies in our peer group and other companies that we compete with for talent. We and our Board understand that our equity-compensation needs must be balanced against the dilutive effect of such programs on our stockholders. To that end, and based on careful weighing of these considerations, upon the recommendation of our Compensation Committee, and subject to stockholder approval, our Board adopted the Incentive Plan Amendment. If this proposal is approved by our stockholders, we intend to register the additional shares reserved for issuance under the Amended Plan by filing a Registration Statement on Form S-8 as soon as practicable following such approval.</w:t>
      </w:r>
    </w:p>
    <w:p>
      <w:pPr>
        <w:spacing w:after="0" w:line="11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Current Plan is our existing equity incentive plan, which was originally adopted by the Board on June 18, 2025. The Current Plan provides that the initial total number of shares of Common Stock authorized for issuance thereunder is 2,032,521 shares. The Current Plan includes an evergreen feature providing for an annual automatic increase, with the first increase on January 1, 2026, in the number of shares authorized for issuance thereunder by a number of shares equal to the lesser of (a) 10% of the number of shares outstanding on the conclusion of the immediately preceding fiscal year, or (b) such amount, if any, as the Board may determine. With the most recent evergreen increase that occurred on January 1, 2026, the Current Plan currently has 4,959,853 shares authorized for issuance thereunder. The proposed Incentive Plan Amendment seeks to increase the total number of shares authorized for issuance under the Current Plan by 15,000,000 shares of Common Stock, to an aggregate of 19,959,853 shares such that the share reserve consists of a total of 29,293,322 shares of Common Stock. No other changes are being made to the Current Plan. If approved, the new shares reserved under the Amended Plan (including the share increase pursuant to the January 1, 2026 annual evergreen increase) would represent approximately 68.14% of our 29,293,322 outstanding shares as of March 6, 2026. Our Board believes the proposed dilution to stockholders as a result of the amendment is judicious and sustainable and, importantly, critical to meet our business goals.</w:t>
      </w:r>
    </w:p>
    <w:p>
      <w:pPr>
        <w:spacing w:after="0" w:line="111"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In developing our share request for the Incentive Plan Amendment and analyzing the impact of utilizing equity as a means of compensation on our stockholders, we considered both our “overhang” and our “burn rate.”</w:t>
      </w:r>
    </w:p>
    <w:p>
      <w:pPr>
        <w:spacing w:after="0" w:line="289"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March 6, 2026, there were 1,861,806 shares underlying all equity awards outstanding, 4,959,853 shares available under the Current Plan for future awards, and 29,293,322 shares of Common Stock outstanding. Accordingly, our overhang at March 6, 2026 was 23.29%. If the 15,000,000 shares proposed to be authorized for grant under the Incentive Plan Amendment are included in the calculation, our overhang on March 6, 2026 would have been 74.49%.</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Burn rate provides a measure of the potential dilutive impact of our equity award program, which we calculate by dividing the number of shares subject to equity awards granted during the year by the basic weighted average number of shares outstanding. Set forth below is a table that reflects our burn rate for the 2025, 2024 and 2023 calendar years, as well as an average over those years.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Basic Weighted</w:t>
            </w:r>
          </w:p>
        </w:tc>
        <w:tc>
          <w:tcPr>
            <w:tcW w:w="1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7"/>
              </w:rPr>
              <w:t>Full Value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26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(RSUs)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Burn</w:t>
            </w: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Granted</w:t>
            </w:r>
          </w:p>
        </w:tc>
        <w:tc>
          <w:tcPr>
            <w:tcW w:w="90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Granted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r>
      <w:tr>
        <w:trPr>
          <w:trHeight w:val="252"/>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Calendar Year</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900" w:type="dxa"/>
            <w:vAlign w:val="bottom"/>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126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6"/>
                <w:vertAlign w:val="subscript"/>
              </w:rPr>
              <w:t>%</w:t>
            </w:r>
            <w:r>
              <w:rPr>
                <w:rFonts w:ascii="Times New Roman" w:cs="Times New Roman" w:eastAsia="Times New Roman" w:hAnsi="Times New Roman"/>
                <w:sz w:val="9"/>
                <w:szCs w:val="9"/>
                <w:b w:val="1"/>
                <w:bCs w:val="1"/>
                <w:color w:val="auto"/>
                <w:w w:val="86"/>
              </w:rPr>
              <w:t>(1)</w:t>
            </w:r>
          </w:p>
        </w:tc>
      </w:tr>
      <w:tr>
        <w:trPr>
          <w:trHeight w:val="235"/>
        </w:trPr>
        <w:tc>
          <w:tcPr>
            <w:tcW w:w="1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20,579,971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7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7,049</w:t>
            </w:r>
          </w:p>
        </w:tc>
        <w:tc>
          <w:tcPr>
            <w:tcW w:w="900" w:type="dxa"/>
            <w:vAlign w:val="bottom"/>
          </w:tcPr>
          <w:p>
            <w:pPr>
              <w:spacing w:after="0"/>
              <w:rPr>
                <w:sz w:val="23"/>
                <w:szCs w:val="2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7,049</w:t>
            </w:r>
          </w:p>
        </w:tc>
        <w:tc>
          <w:tcPr>
            <w:tcW w:w="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12,124,303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r>
      <w:tr>
        <w:trPr>
          <w:trHeight w:val="275"/>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450,000</w:t>
            </w:r>
          </w:p>
        </w:tc>
        <w:tc>
          <w:tcPr>
            <w:tcW w:w="90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12,208,851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35"/>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Three-Year Average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152,350</w:t>
            </w:r>
          </w:p>
        </w:tc>
        <w:tc>
          <w:tcPr>
            <w:tcW w:w="9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152,350</w:t>
            </w: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14,971,042</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59"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“gross burn rate” as the number of equity awards granted in the year divided by the basic weighted average number of shares of Common Stock outstanding. For purposes of this calculation, for each year, we counted the number of equity awards subject to any performance-based achievement based on the maximum number of shares of our Common Stock issuable under such awards.</w:t>
      </w:r>
    </w:p>
    <w:p>
      <w:pPr>
        <w:spacing w:after="0" w:line="1" w:lineRule="exact"/>
        <w:rPr>
          <w:rFonts w:ascii="Times New Roman" w:cs="Times New Roman" w:eastAsia="Times New Roman" w:hAnsi="Times New Roman"/>
          <w:sz w:val="16"/>
          <w:szCs w:val="16"/>
          <w:color w:val="auto"/>
        </w:rPr>
      </w:pPr>
    </w:p>
    <w:p>
      <w:pPr>
        <w:ind w:left="1000" w:right="599" w:hanging="426"/>
        <w:spacing w:after="0" w:line="272" w:lineRule="auto"/>
        <w:tabs>
          <w:tab w:leader="none" w:pos="10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awards granted by SEE ID that were assumed by the Company and converted into awards with respect to shares of CID Holdco common stock in connection with the Business Combination.</w:t>
      </w:r>
    </w:p>
    <w:p>
      <w:pPr>
        <w:spacing w:after="0" w:line="9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We intend to utilize the Amended Plan as we have utilized the Current Plan: specifically, to grant equity awards to our employees, non-employee directors, consultants, and advisors in order to attract, incentivize, retain and reward those who are critical to our success. The Compensation Committee determined the requested number of shares for the Amended Plan based on our projections for new-hire equity awards, annual equity awards to our employees and non-employee directors, employee retention and promotion awards, as well as an assessment of the magnitude of the share reserve under the Amended Plan that our stockholders would likely find acceptable. If our stockholders approve the Incentive Plan Amendment, subject to adjustment in the event of stock splits and other similar events, awards may be made under the Amended Plan for up to 19,959,853 shares of Common Stock, which is the sum of: (i) 17,032,521 shares of Common Stock; and (ii) 2,927,332 shares of Common Stock that were added on January 1, 2026 pursuant to the terms of evergreen increase under the Current Plan. In addition, the Amended Plan includes an evergreen feature providing for an annual automatic increasing in the number of shares authorized for issuance thereunder by a number of shares equal to the lesser of (a) 10% of the number of shares outstanding on the conclusion of the immediately preceding fiscal year, or (b) such amount, if any, as the Board may determine, with the next increase scheduled for January 1, 2027. Subject to adjustment in the event of a stock split, stock dividend and other similar events, no more than 6,097,563 shares of Common Stock may be issued under incentive stock options pursuant to the Amended Plan. The Amended Plan includes several features that are consistent with protecting the interests of our stockholders and sound corporate governance practices, as described below.</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following table includes information, as of March 6, 2026 regarding all of our outstanding equity awards under all of our equity-based compensation plans and arrangements under which shares of Common Stock may be issued. This includes shares subject to outstanding awards under the Current Plan and our 2021 Equity Incentive Plan (the “</w:t>
      </w:r>
      <w:r>
        <w:rPr>
          <w:rFonts w:ascii="Times New Roman" w:cs="Times New Roman" w:eastAsia="Times New Roman" w:hAnsi="Times New Roman"/>
          <w:sz w:val="17"/>
          <w:szCs w:val="17"/>
          <w:b w:val="1"/>
          <w:bCs w:val="1"/>
          <w:i w:val="1"/>
          <w:iCs w:val="1"/>
          <w:color w:val="auto"/>
        </w:rPr>
        <w:t>2021 Plan</w:t>
      </w:r>
      <w:r>
        <w:rPr>
          <w:rFonts w:ascii="Times New Roman" w:cs="Times New Roman" w:eastAsia="Times New Roman" w:hAnsi="Times New Roman"/>
          <w:sz w:val="17"/>
          <w:szCs w:val="17"/>
          <w:color w:val="auto"/>
        </w:rPr>
        <w:t>”), and up to 4,959,853 shares that remain available for the grant of new awards under the Current Plan as of March 6, 2026.</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Number of outstanding stock options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1,861,806</w:t>
            </w:r>
          </w:p>
        </w:tc>
      </w:tr>
      <w:tr>
        <w:trPr>
          <w:trHeight w:val="235"/>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exercise price of outstanding stock options</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0.1095</w:t>
            </w:r>
          </w:p>
        </w:tc>
      </w:tr>
      <w:tr>
        <w:trPr>
          <w:trHeight w:val="40"/>
        </w:trPr>
        <w:tc>
          <w:tcPr>
            <w:tcW w:w="6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contractual term of outstanding stock options (years)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35"/>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available for the grant of new awards under the Current Plan</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4,959,853</w:t>
            </w:r>
          </w:p>
        </w:tc>
      </w:tr>
      <w:tr>
        <w:trPr>
          <w:trHeight w:val="40"/>
        </w:trPr>
        <w:tc>
          <w:tcPr>
            <w:tcW w:w="6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shares requested for approval pursuant to the Incentive Plan Amendment</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15,000,000</w:t>
            </w:r>
          </w:p>
        </w:tc>
      </w:tr>
      <w:tr>
        <w:trPr>
          <w:trHeight w:val="191"/>
        </w:trPr>
        <w:tc>
          <w:tcPr>
            <w:tcW w:w="20" w:type="dxa"/>
            <w:vAlign w:val="bottom"/>
          </w:tcPr>
          <w:p>
            <w:pPr>
              <w:spacing w:after="0"/>
              <w:rPr>
                <w:sz w:val="16"/>
                <w:szCs w:val="16"/>
                <w:color w:val="auto"/>
              </w:rPr>
            </w:pPr>
          </w:p>
        </w:tc>
        <w:tc>
          <w:tcPr>
            <w:tcW w:w="65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Estimated total number of shares available for the grant of new awards under all equity-based</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compensation plans, assuming stockholder approval of the Incentive Plan Amendment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19,959,853</w:t>
            </w:r>
          </w:p>
        </w:tc>
      </w:tr>
      <w:tr>
        <w:trPr>
          <w:trHeight w:val="40"/>
        </w:trPr>
        <w:tc>
          <w:tcPr>
            <w:tcW w:w="65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Number of shares of common stock outstanding</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29,293,322</w:t>
            </w:r>
          </w:p>
        </w:tc>
      </w:tr>
      <w:tr>
        <w:trPr>
          <w:trHeight w:val="40"/>
        </w:trPr>
        <w:tc>
          <w:tcPr>
            <w:tcW w:w="20" w:type="dxa"/>
            <w:vAlign w:val="bottom"/>
          </w:tcPr>
          <w:p>
            <w:pPr>
              <w:spacing w:after="0"/>
              <w:rPr>
                <w:sz w:val="3"/>
                <w:szCs w:val="3"/>
                <w:color w:val="auto"/>
              </w:rPr>
            </w:pPr>
          </w:p>
        </w:tc>
        <w:tc>
          <w:tcPr>
            <w:tcW w:w="65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6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expect that the proposed share pool under the Amended Plan will allow us to continue to grant equity awards at our historic rates for approximately one year, but the actual duration of the share pool may vary based on changes in participation, the Company’s stock price and market practice.</w:t>
      </w:r>
    </w:p>
    <w:p>
      <w:pPr>
        <w:sectPr>
          <w:pgSz w:w="11900" w:h="16838" w:orient="portrait"/>
          <w:cols w:equalWidth="0" w:num="1">
            <w:col w:w="9019"/>
          </w:cols>
          <w:pgMar w:left="1440" w:top="265"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Why Stockholders Should Approve the 2026 Plan Amendment</w:t>
      </w:r>
    </w:p>
    <w:p>
      <w:pPr>
        <w:spacing w:after="0" w:line="145"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Attracts, Incentivizes, Retains and Motivates Talent</w:t>
      </w:r>
      <w:r>
        <w:rPr>
          <w:rFonts w:ascii="Times New Roman" w:cs="Times New Roman" w:eastAsia="Times New Roman" w:hAnsi="Times New Roman"/>
          <w:sz w:val="17"/>
          <w:szCs w:val="17"/>
          <w:color w:val="auto"/>
        </w:rPr>
        <w:t>. It is critical to our success that we attract,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incentivize, retain and motivate the best talent in what is a tremendously competitive labor market. Our equity-based compensation program has always been and will continue to be a key component in our ability to pay market-competitive compensation to our employees.</w:t>
      </w:r>
    </w:p>
    <w:p>
      <w:pPr>
        <w:spacing w:after="0" w:line="99"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Aligns with Our Pay-for-Performance Compensation Philosophy</w:t>
      </w:r>
      <w:r>
        <w:rPr>
          <w:rFonts w:ascii="Times New Roman" w:cs="Times New Roman" w:eastAsia="Times New Roman" w:hAnsi="Times New Roman"/>
          <w:sz w:val="17"/>
          <w:szCs w:val="17"/>
          <w:color w:val="auto"/>
        </w:rPr>
        <w:t>. We believe that equity-based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is inherently performance-based. As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RSUs.</w:t>
      </w:r>
    </w:p>
    <w:p>
      <w:pPr>
        <w:spacing w:after="0" w:line="10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Aligns Employee and Director Interests with Stockholder Interests</w:t>
      </w:r>
      <w:r>
        <w:rPr>
          <w:rFonts w:ascii="Times New Roman" w:cs="Times New Roman" w:eastAsia="Times New Roman" w:hAnsi="Times New Roman"/>
          <w:sz w:val="17"/>
          <w:szCs w:val="17"/>
          <w:color w:val="auto"/>
        </w:rPr>
        <w:t>. Providing our employees and non-employee directors with compensation in the form of equity directly aligns the interests of those employees and non-employee directors with the interests of our stockholders. If the Incentive Plan Amendment is approved by our stockholders, we will be able to continue granting equity-based incentives that foster this alignment between our employees and non-employee directors and our stockholders.</w:t>
      </w:r>
    </w:p>
    <w:p>
      <w:pPr>
        <w:spacing w:after="0" w:line="91"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Consistent with Stockholder Interests and Sound Corporate Governance</w:t>
      </w:r>
      <w:r>
        <w:rPr>
          <w:rFonts w:ascii="Times New Roman" w:cs="Times New Roman" w:eastAsia="Times New Roman" w:hAnsi="Times New Roman"/>
          <w:sz w:val="17"/>
          <w:szCs w:val="17"/>
          <w:color w:val="auto"/>
        </w:rPr>
        <w:t>. As described more thoroughly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below, the Amended Plan was purposefully designed to include features that are consistent with the interests of our stockholders and sound corporate governance practices.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Amended Plan</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The following is a brief summary of the Amended Plan, a copy of which is attached as </w:t>
      </w:r>
      <w:r>
        <w:rPr>
          <w:rFonts w:ascii="Times New Roman" w:cs="Times New Roman" w:eastAsia="Times New Roman" w:hAnsi="Times New Roman"/>
          <w:sz w:val="17"/>
          <w:szCs w:val="17"/>
          <w:u w:val="single" w:color="auto"/>
          <w:color w:val="auto"/>
        </w:rPr>
        <w:t>Appendix C</w:t>
      </w:r>
      <w:r>
        <w:rPr>
          <w:rFonts w:ascii="Times New Roman" w:cs="Times New Roman" w:eastAsia="Times New Roman" w:hAnsi="Times New Roman"/>
          <w:sz w:val="17"/>
          <w:szCs w:val="17"/>
          <w:color w:val="auto"/>
        </w:rPr>
        <w:t xml:space="preserve"> to this Proxy Statement. Please note that the following summary describes the Amended Plan as it is proposed to be amended by the Incentive Plan Amendment, as opposed to the Current Plan. As noted above, the Incentive Plan Amendment amends the Current Plan solely to increase the number of shares available for the issuance of awards, and the number of shares that may be issued subject to incentive stock options.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Types of Awards; Shares Available for Awards; Share Counting Rules</w:t>
      </w:r>
    </w:p>
    <w:p>
      <w:pPr>
        <w:spacing w:after="0" w:line="16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Amended Plan provides for the grant of incentive stock options intended to qualify under Section 422 of the Code, nonstatutory stock options, stock appreciation rights (SARs), restricted stock, restricted stock units (RSUs), other stock-based awards, and cash awards as described below, which we refer to, collectively, as awards or Awards.</w:t>
      </w:r>
    </w:p>
    <w:p>
      <w:pPr>
        <w:spacing w:after="0" w:line="9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Subject to adjustment in the event of stock splits, stock dividends and other similar events, awards may be made under the Amended Plan for up to a number of shares of Common Stock equal to 19,959,853 shares of Common Stock, which is the sum of: (i) 17,032,521 shares of Common Stock; and (ii) 2,927,332 shares of Common Stock that were added on January 1, 2026 pursuant to the terms of evergreen increase under the Current Plan. In addition, the Amended Plan includes an evergreen feature providing for an annual automatic increasing in the number of shares authorized for issuance thereunder by a number of shares equal to the lesser of (a) 10% of the number of shares outstanding on the conclusion of the immediately preceding fiscal year, or</w:t>
      </w:r>
    </w:p>
    <w:p>
      <w:pPr>
        <w:spacing w:after="0" w:line="3" w:lineRule="exact"/>
        <w:rPr>
          <w:sz w:val="20"/>
          <w:szCs w:val="20"/>
          <w:color w:val="auto"/>
        </w:rPr>
      </w:pPr>
    </w:p>
    <w:p>
      <w:pPr>
        <w:jc w:val="both"/>
        <w:ind w:left="580" w:right="579" w:hanging="6"/>
        <w:spacing w:after="0" w:line="261" w:lineRule="auto"/>
        <w:tabs>
          <w:tab w:leader="none" w:pos="84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if any, as the Board may determine, with the next increase scheduled for January 1, 2027. Subject to adjustment in the event of a stock split, stock dividend and other similar events, no more than 6,097,563 shares of Common Stock may be issued under incentive stock options pursuant to the Amended Plan. Shares of Common Stock issued under the Amended Plan may consist in whole or in part of authorized but unissued shares or treasury shares.</w:t>
      </w:r>
    </w:p>
    <w:p>
      <w:pPr>
        <w:spacing w:after="0" w:line="11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Amended Plan provides that the maximum aggregate amount of cash and value of awards (calculated based on grant date fair value for financial reporting purposes) granted to any individual non-employee director in any calendar year may not exceed $1,000,000 in the case of an incumbent director. However, such maximum aggregate amount shall not exceed $2,000,000 in any calendar year for any individual non-employee director in such non-employee director’s initial year of election or appointment. Moreover, fees paid by the Company on behalf of any non-employee director in connection with cash retainers converted into equity awards and any amounts paid to a non-employee director as reimbursement of an expense will not count against this limit.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Shares covered by awards under the Amended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stock) will again be available for the grant of awards under the Amended Plan (subject, in the case of incentive stock options, to any limitations under the Code). Upon payment in shares of stock pursuant to the exercise of an SAR, the number of shares available for issuance under the Amended Plan shall be reduced by the net number of shares for which the SAR is exercised. If the exercise price of an option is paid by tender to the Company, or attestation to the ownership, of shares of stock owned by the participant, or by means of a net exercise, the number of shares available for issuance under the Amended Plan will be reduced only by the net number of shares for which the option is exercised. Shares withheld or reacquired by the Company in satisfaction of tax withholding obligations pursuant to the exercise or settlement of options or SARs, and shares withheld or reacquired by the Company in satisfaction of tax withholding obligations pursuant to the vesting or settlement of awards will again become available for issuance under the Plan.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Descriptions of Awards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A participant who is awarded a stock option receives the right to purchase a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shares of Common Stock at a specified exercise price and subject to the other terms and conditions that are specified in connection with the award agreement. A stock option that is not intended to be an “incentive stock option” is a “nonstatutory stock option.” Stock options may not be granted at an exercise price that is less than 100% of the fair market value of our Common Stock on the date of grant. If our Board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Amended Plan, stock options may not be granted for a term in excess of ten (10) years (and, under present law, five (5) years in the case of incentive stock options granted to participants who hold greater than 10% of the total combined voting power of all classes of our stock or any of our subsidiaries).</w:t>
      </w:r>
    </w:p>
    <w:p>
      <w:pPr>
        <w:spacing w:after="0" w:line="329"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Amended Plan permits participants to pay the exercise price of stock options using one or more of the following manners of payment: (i) payment by cash or by check, (ii) if permitted by the Compensation Committee, by means of (1) a cashless exercise, (2) a stock tender exercise or (3) a net exercise; (iii) by such other consideration as may be approved by the Compensation Committee from time to time to the extent permitted by applicable law, or (iv) if permitted by the Compensation Committee, by any combination thereof. No stock options granted under the Amended Plan may provide for the payment or accrual of dividend equivalents.</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During the lifetime of the participant, stock options are exercisable only by the participant or the participant’s guardian or legal representative. Participants are not permitted to subject their options to any anticipation, alienation, sale, exchange, transfer, assignment, pledge, encumbrance, or garnishment by creditors of the participant or the participant’s beneficiary, except transfer by will or by the laws of descent and distribution. The Compensation Committee, in its sole discretion, may make an option assignable or transferable by setting forth the terms in the applicable award agreement evidencing such option.</w:t>
      </w:r>
    </w:p>
    <w:p>
      <w:pPr>
        <w:spacing w:after="0" w:line="10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A participant who is awarded a SAR receives, upon exercise, a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our Common Stock, or cash (or a combination of shares of our common stock and cash) determined by reference to appreciation, from and after the date of grant, in the fair market value of a share of our Common Stock over the measurement price. The Amended Plan provides that the measurement price of a SAR may not be less than 100% of the fair market value of our Common Stock on the date the SAR is granted (provided, however, that if our Board approves the grant of a SAR effective as of a future date, the measurement price shall not be less than 100% of the fair market value on such future date) and that SARs may not be granted with a term in excess of 10 years. No SARs granted under the Amended Plan may contain a provision entitling the participant to the automatic grant of additional SARs in connection with any exercise of the original SAR. No SARs granted under the Amended Plan may provide for the payment or accrual of dividend equivalents.</w:t>
      </w:r>
    </w:p>
    <w:p>
      <w:pPr>
        <w:spacing w:after="0" w:line="116"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Unless the Compensation Committee provides otherwise, SARs are not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Limitation on Repricing of Stock Options or SARs. </w:t>
      </w:r>
      <w:r>
        <w:rPr>
          <w:rFonts w:ascii="Times New Roman" w:cs="Times New Roman" w:eastAsia="Times New Roman" w:hAnsi="Times New Roman"/>
          <w:sz w:val="17"/>
          <w:szCs w:val="17"/>
          <w:color w:val="auto"/>
        </w:rPr>
        <w:t>Unless such action is approved by our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otherwise permitted under the terms of the Amended Plan in connection with certain changes in capitalization and reorganization events, we may not (i) amend any outstanding stock option or SAR granted under the Amended Plan to provide an exercise price or measurement price per share that is lower than the then-current exercise price or measurement price per share of such outstanding stock option or SAR, (ii) cancel any outstanding stock option or SAR (whether or not granted under the Amended Plan) and grant in substitution therefor new awards under the Amended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or (iii) cancel in exchange for a cash payment any outstanding stock option or SAR with an exercise price or measurement price per share above the then-current fair market value of our common stock.</w:t>
      </w:r>
    </w:p>
    <w:p>
      <w:pPr>
        <w:spacing w:after="0" w:line="10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A participant who is granted a restricted stock award is entitled to acquire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our common stock, subject to our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No interest will be paid on unvested dividends. Rights to acquire shares of stock pursuant to a restricted stock award are not subject in any manner to anticipation, alienation, sale, exchange, transfer, assignment, pledge, encumbrance or garnishment by creditors of the Participant or the Participant’s beneficiary, except transfer by will or the laws of descent and distribution.</w:t>
      </w:r>
    </w:p>
    <w:p>
      <w:pPr>
        <w:spacing w:after="0" w:line="324"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w:t>
      </w:r>
      <w:r>
        <w:rPr>
          <w:rFonts w:ascii="Times New Roman" w:cs="Times New Roman" w:eastAsia="Times New Roman" w:hAnsi="Times New Roman"/>
          <w:sz w:val="17"/>
          <w:szCs w:val="17"/>
          <w:color w:val="auto"/>
        </w:rPr>
        <w:t>A participant who is granted an RSU award is entitled to receive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or cash equal to the fair market value of such shares or a combination thereof, in the event that the conditions specified in the applicable award are satisfied, with such shares to be delivered at the time such award vests or on a deferred basis pursuant to the terms and conditions established by our Board. Our Board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 No interest will be paid on dividend equivalents. The right to receive shares pursuant to a RSU award are not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10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Other Stock-Based Awards. </w:t>
      </w:r>
      <w:r>
        <w:rPr>
          <w:rFonts w:ascii="Times New Roman" w:cs="Times New Roman" w:eastAsia="Times New Roman" w:hAnsi="Times New Roman"/>
          <w:sz w:val="17"/>
          <w:szCs w:val="17"/>
          <w:color w:val="auto"/>
        </w:rPr>
        <w:t>Under the Amended Plan, our Board may grant other awards of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Common Stock, and other awards that are valued in whole or in part by reference to, or are otherwise based on, shares of our Common Stock or other property, having such terms and conditions as our Board may determine. We refer to these types of awards as other stock-based awards. Other stock-based awards may be available as a form of payment in settlement of other awards granted under the Amended Plan or as payment in lieu of compensation to which a participant is otherwise entitled. Other stock-based awards may be paid in shares of our Common Stock or in cash, as our Board may determine. The award agreement of another stock-based award may provide the participant who receives such award with the right to receive dividend equivalents. Dividend equivalents may be settled in cash and/or shares of our Common Stock and will be subject to the same restrictions on transfer and forfeitability as the other stock-based award with respect to which they are awarded. No interest will be paid on dividend equivalents. Prior to the payment or settlement of an other stock-based award, the award will not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Cash Awards. </w:t>
      </w:r>
      <w:r>
        <w:rPr>
          <w:rFonts w:ascii="Times New Roman" w:cs="Times New Roman" w:eastAsia="Times New Roman" w:hAnsi="Times New Roman"/>
          <w:sz w:val="17"/>
          <w:szCs w:val="17"/>
          <w:color w:val="auto"/>
        </w:rPr>
        <w:t>Under the Amended Plan, our Board has the right to grant cash-based awards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subject to performance conditions. Prior to the payment or settlement of a cash-based award, the award will not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Performance Conditions. </w:t>
      </w:r>
      <w:r>
        <w:rPr>
          <w:rFonts w:ascii="Times New Roman" w:cs="Times New Roman" w:eastAsia="Times New Roman" w:hAnsi="Times New Roman"/>
          <w:sz w:val="17"/>
          <w:szCs w:val="17"/>
          <w:color w:val="auto"/>
        </w:rPr>
        <w:t>The Compensation Committee may choose to grant awards based on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measures based on objective criteria shall be calculated in accordance with the Company’s financial statements, or, if such measures are not reported in the Company’s financial statements, calculated in accordance with generally accepted accounting principles, or in accordance with a methodology established by the Compensation Committee prior to the grant of the award. Unless otherwise determined by the Compensation Committee prior to the grant of the award, the performance measures applicable to the award shall be calculated prior to the accrual of expense for any award for the same performance period and excluding the effect (whether positive or negative) on the performance measures of any change in accounting standards or any unusual or infrequently occurring event or transaction, as determined by the Compensation Committee, occurring after the establishment of the measures applicable to the award. Such measures may be based upon one or more of the following, without limitation, as determined by the Compensation Committee: (i) revenue;</w:t>
      </w:r>
    </w:p>
    <w:p>
      <w:pPr>
        <w:spacing w:after="0" w:line="5" w:lineRule="exact"/>
        <w:rPr>
          <w:sz w:val="20"/>
          <w:szCs w:val="20"/>
          <w:color w:val="auto"/>
        </w:rPr>
      </w:pPr>
    </w:p>
    <w:p>
      <w:pPr>
        <w:jc w:val="both"/>
        <w:ind w:left="580" w:right="579" w:hanging="6"/>
        <w:spacing w:after="0" w:line="257" w:lineRule="auto"/>
        <w:tabs>
          <w:tab w:leader="none" w:pos="8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w:t>
      </w:r>
    </w:p>
    <w:p>
      <w:pPr>
        <w:ind w:left="980" w:hanging="406"/>
        <w:spacing w:after="0"/>
        <w:tabs>
          <w:tab w:leader="none" w:pos="9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cash flow; (xiv) balance of cash, cash equivalents and marketable securities; (xv) stock price;</w:t>
      </w:r>
    </w:p>
    <w:p>
      <w:pPr>
        <w:spacing w:after="0" w:line="14" w:lineRule="exact"/>
        <w:rPr>
          <w:rFonts w:ascii="Times New Roman" w:cs="Times New Roman" w:eastAsia="Times New Roman" w:hAnsi="Times New Roman"/>
          <w:sz w:val="17"/>
          <w:szCs w:val="17"/>
          <w:color w:val="auto"/>
        </w:rPr>
      </w:pPr>
    </w:p>
    <w:p>
      <w:pPr>
        <w:ind w:left="980" w:hanging="406"/>
        <w:spacing w:after="0"/>
        <w:tabs>
          <w:tab w:leader="none" w:pos="9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(xvii) return on stockholder equity; (xviii) return on capital; (xix) return on assets;</w:t>
      </w:r>
    </w:p>
    <w:p>
      <w:pPr>
        <w:spacing w:after="0" w:line="14" w:lineRule="exact"/>
        <w:rPr>
          <w:rFonts w:ascii="Times New Roman" w:cs="Times New Roman" w:eastAsia="Times New Roman" w:hAnsi="Times New Roman"/>
          <w:sz w:val="17"/>
          <w:szCs w:val="17"/>
          <w:color w:val="auto"/>
        </w:rPr>
      </w:pPr>
    </w:p>
    <w:p>
      <w:pPr>
        <w:jc w:val="both"/>
        <w:ind w:left="580" w:right="579" w:hanging="6"/>
        <w:spacing w:after="0" w:line="261" w:lineRule="auto"/>
        <w:tabs>
          <w:tab w:leader="none" w:pos="97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investment; (xxi) total stockholder return; (xxii) employee satisfaction; (xxiii) employee retention; (xxiv) market share; (xxv) customer satisfaction; (xxvi) product development; (xxvii) research and development expenses; (xxviii) completion of an identified special project; (xxix) completion of a joint venture or other corporate transaction; and (xxx) personal performance objectives established for an individual participant or group of participants.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Eligibility to Receive Awards</w:t>
      </w:r>
    </w:p>
    <w:p>
      <w:pPr>
        <w:spacing w:after="0" w:line="162"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All of our employees, officers, and directors, as well as our consultants and advisors, are eligible to receive awards under the Amended Plan. However, incentive stock options may only be granted to our employees, employees of our present or future parent or subsidiary corporations as defined in Sections 424(e) or</w:t>
      </w:r>
    </w:p>
    <w:p>
      <w:pPr>
        <w:spacing w:after="0" w:line="2" w:lineRule="exact"/>
        <w:rPr>
          <w:sz w:val="20"/>
          <w:szCs w:val="20"/>
          <w:color w:val="auto"/>
        </w:rPr>
      </w:pPr>
    </w:p>
    <w:p>
      <w:pPr>
        <w:ind w:left="580" w:right="599" w:hanging="6"/>
        <w:spacing w:after="0" w:line="274" w:lineRule="auto"/>
        <w:tabs>
          <w:tab w:leader="none" w:pos="8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and employees of any other entities the employees of which are eligible to receive incentive stock options under the Code.</w:t>
      </w:r>
    </w:p>
    <w:p>
      <w:pPr>
        <w:spacing w:after="0" w:line="9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March 23, 2026, approximately 63 persons were eligible to receive awards under the Amended Plan, including five executive officers (who are current employees), 19 employees (excluding executive officers), six non-employee directors and 33 consultants.</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On March 23, 2026, the last reported sale price of our common stock on the Nasdaq Global Select Stock Market was $0.1879.</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No Rights as a Stockholder</w:t>
      </w:r>
    </w:p>
    <w:p>
      <w:pPr>
        <w:spacing w:after="0" w:line="16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No participant or designated beneficiary shall have any rights as a stockholder with respect to any shares of Common Stock to be distributed with respect to an award granted under the Amended Plan until becoming a record holder of such shares, subject to the terms of an award agreement.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Clawback</w:t>
      </w:r>
    </w:p>
    <w:p>
      <w:pPr>
        <w:spacing w:after="0" w:line="16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In accepting an award under the Amended Plan, a participant agrees to be bound by any clawback policy that the Company has in effect or may adopt in the future, including without limitation our Dodd-Frank Compensation Recovery Policy.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Amended Plan will be administered by the Compensation Committee. The Compensation Committee has the authority to grant awards and to adopt, amend and repeal the administrative rules, guidelines and practices relating to the Amended Plan that it deems advisable and to construe and interpret the provisions of the Amended Plan and any award agreements entered into under the Amended Plan. The Compensation Committee may correct any defect, supply any omission or reconcile any inconsistency in the Amended Plan or any award. All actions and decisions by the Compensation Committee with respect to the Amended Plan and any awards made under the Amended Plan will be made in the Compensation Committee’s discretion and will be final and binding on all persons having or claiming any interest in the Amended Plan or in any award. If, at any time, there is no committee of the Board then authorized or properly constituted to administer the Amended Plan, the Board shall exercise all of the powers with respect to the Amended Plan.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Except as otherwise provided in the Amended Plan, each award under the Amended Plan may be made alone or in addition or in relation to any other award. The terms of each award need not be identical, and our Compensation Committee need not treat participants uniformly. Our Compensation Committee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1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Compensation Committee may at any time provide that any award shall become immediately exercisable in whole or in part, free from some or all restrictions or conditions or otherwise realizable in whole or in part, as the case may be.</w:t>
      </w:r>
    </w:p>
    <w:p>
      <w:pPr>
        <w:spacing w:after="0" w:line="9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Adjustments for Changes in Capital Structure. </w:t>
      </w:r>
      <w:r>
        <w:rPr>
          <w:rFonts w:ascii="Times New Roman" w:cs="Times New Roman" w:eastAsia="Times New Roman" w:hAnsi="Times New Roman"/>
          <w:sz w:val="17"/>
          <w:szCs w:val="17"/>
          <w:color w:val="auto"/>
        </w:rPr>
        <w:t>In the event of any change in the stock effected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we are required to make appropriate and proportionate adjustments to (i) the number and kind of shares subject to the Amended Plan, (ii) to any outstanding awards, (iii) the annual increase, (iv) the award limits, and (v) in the exercise or purchase price per share under any outstanding award in order to prevent dilution or enlargement of participants’ rights under the Plan.</w:t>
      </w:r>
    </w:p>
    <w:p>
      <w:pPr>
        <w:spacing w:after="0" w:line="10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Amendment of Awards</w:t>
      </w:r>
      <w:r>
        <w:rPr>
          <w:rFonts w:ascii="Times New Roman" w:cs="Times New Roman" w:eastAsia="Times New Roman" w:hAnsi="Times New Roman"/>
          <w:sz w:val="17"/>
          <w:szCs w:val="17"/>
          <w:color w:val="auto"/>
        </w:rPr>
        <w:t>. Except as otherwise provided under the Amended Plan with respect to repricing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stock options or SARs and with respect to actions requiring stockholder approval, our Compensation Committee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Compensation Committee determines that the action, taking into account any related action, does not materially and adversely affect the participant’s rights under the Amended Plan or the change is otherwise permitted under the terms of the Amended Plan in connection with certain corporate events.</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 in Control Events</w:t>
      </w:r>
    </w:p>
    <w:p>
      <w:pPr>
        <w:spacing w:after="0" w:line="160"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The Amended Plan contains provisions addressing the consequences of any change in control event. Under the Amended Plan, a “Change in Control” generally occurs when (i) any person acquires beneficial ownership of more than 50% of the total combined voting power of the Company’s outstanding securities,</w:t>
      </w:r>
    </w:p>
    <w:p>
      <w:pPr>
        <w:spacing w:after="0" w:line="2" w:lineRule="exact"/>
        <w:rPr>
          <w:sz w:val="20"/>
          <w:szCs w:val="20"/>
          <w:color w:val="auto"/>
        </w:rPr>
      </w:pPr>
    </w:p>
    <w:p>
      <w:pPr>
        <w:jc w:val="both"/>
        <w:ind w:left="580" w:right="599" w:hanging="6"/>
        <w:spacing w:after="0" w:line="260" w:lineRule="auto"/>
        <w:tabs>
          <w:tab w:leader="none" w:pos="8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existing stockholders cease to retain, directly or indirectly, beneficial ownership of more than 50% of the combined voting power of the Company’s outstanding voting securities following a merger, consolidation, sale of all or substantially all of the Company’s assets, or a sale by stockholders of more than 50% of the Company’s voting securities, or (iii) the Company’s stockholders approve a plan of complete liquidation or dissolution of the Company, in each case subject to certain exceptions, including where the transaction results in a board of directors of the surviving entity comprised of a majority of incumbent directors.</w:t>
      </w:r>
    </w:p>
    <w:p>
      <w:pPr>
        <w:spacing w:after="0" w:line="11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the event of a Change in Control, outstanding awards shall be subject to the definitive agreement entered into by the Company in connection with the Change in Control. Subject to the requirements and limitations of Section 409A, if applicable, the Compensation Committee may provide in an award agreement or otherwise for any one or more of the following:</w:t>
      </w:r>
    </w:p>
    <w:p>
      <w:pPr>
        <w:spacing w:after="0" w:line="88"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Accelerated Vesting. </w:t>
      </w:r>
      <w:r>
        <w:rPr>
          <w:rFonts w:ascii="Times New Roman" w:cs="Times New Roman" w:eastAsia="Times New Roman" w:hAnsi="Times New Roman"/>
          <w:sz w:val="17"/>
          <w:szCs w:val="17"/>
          <w:color w:val="auto"/>
        </w:rPr>
        <w:t>In its discretion, the Committee may provide in the grant of any award or 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Compensation Committee determines.</w:t>
      </w:r>
    </w:p>
    <w:p>
      <w:pPr>
        <w:spacing w:after="0" w:line="31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Assumption, Continuation or Substitution. </w:t>
      </w:r>
      <w:r>
        <w:rPr>
          <w:rFonts w:ascii="Times New Roman" w:cs="Times New Roman" w:eastAsia="Times New Roman" w:hAnsi="Times New Roman"/>
          <w:sz w:val="17"/>
          <w:szCs w:val="17"/>
          <w:color w:val="auto"/>
        </w:rPr>
        <w:t>In the event of a Change in Control, the surviving,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continuing, successor, or purchasing corporation or other business entity or parent thereof, as the case may be (the “</w:t>
      </w:r>
      <w:r>
        <w:rPr>
          <w:rFonts w:ascii="Times New Roman" w:cs="Times New Roman" w:eastAsia="Times New Roman" w:hAnsi="Times New Roman"/>
          <w:sz w:val="17"/>
          <w:szCs w:val="17"/>
          <w:b w:val="1"/>
          <w:bCs w:val="1"/>
          <w:i w:val="1"/>
          <w:iCs w:val="1"/>
          <w:color w:val="auto"/>
        </w:rPr>
        <w:t>Acquiror</w:t>
      </w:r>
      <w:r>
        <w:rPr>
          <w:rFonts w:ascii="Times New Roman" w:cs="Times New Roman" w:eastAsia="Times New Roman" w:hAnsi="Times New Roman"/>
          <w:sz w:val="17"/>
          <w:szCs w:val="17"/>
          <w:color w:val="auto"/>
        </w:rPr>
        <w:t>”), may, without the consent of any participant, assume or continue the Company’s rights and obligations under each or any Award or portion thereof outstanding immediately prior to the Change in Control or substitute for each or any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 xml:space="preserve">such outstanding Award or portion thereof a substantially equivalent award with respect to the Acquiror’s stock, as applicable. If so determined by the Compensation Committee in its discretion, an award denominated in shares of Common Stock shall be deemed assumed if, following the Change in Control, the award confers the right to receive, subject to the terms and conditions of the Amended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such consideration is not solely common stock of the Acquiror, the Compensation Committee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2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Cash-Out of Outstanding Stock-Based Awards. </w:t>
      </w:r>
      <w:r>
        <w:rPr>
          <w:rFonts w:ascii="Times New Roman" w:cs="Times New Roman" w:eastAsia="Times New Roman" w:hAnsi="Times New Roman"/>
          <w:sz w:val="17"/>
          <w:szCs w:val="17"/>
          <w:color w:val="auto"/>
        </w:rPr>
        <w:t>The Compensation Committee may, in its discretion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Compensation Committee) of Common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Common Stock in the Change in Control, reduced (but not below zero) by the exercise or purchase price per share, if any, under such award. In the event such determination is made by the Compensation Committee, an award having an exercise or purchase price per share equal to or greater than the fair market value of the consideration to be paid per share of Common Stock in the Change in Control may be canceled without notice or payment of consideration to the holder thereof.</w:t>
      </w:r>
    </w:p>
    <w:p>
      <w:pPr>
        <w:spacing w:after="0" w:line="327"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Adjustments and Earnouts. </w:t>
      </w:r>
      <w:r>
        <w:rPr>
          <w:rFonts w:ascii="Times New Roman" w:cs="Times New Roman" w:eastAsia="Times New Roman" w:hAnsi="Times New Roman"/>
          <w:sz w:val="17"/>
          <w:szCs w:val="17"/>
          <w:color w:val="auto"/>
        </w:rPr>
        <w:t>The Compensation Committee may, in its discretion, determine that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shall or shall not be subject to the same post-closing purchase price adjustments, escrow terms, offset rights, holdback terms, earnouts and similar conditions as the other holders of the Company’s Common Stock, subject to any limitations or reductions as may be necessary to comply with Section 409A or Section 424 of the Code.</w:t>
      </w:r>
    </w:p>
    <w:p>
      <w:pPr>
        <w:spacing w:after="0" w:line="30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Provisions Applicable to Stock-Based Awards</w:t>
      </w:r>
      <w:r>
        <w:rPr>
          <w:rFonts w:ascii="Times New Roman" w:cs="Times New Roman" w:eastAsia="Times New Roman" w:hAnsi="Times New Roman"/>
          <w:sz w:val="17"/>
          <w:szCs w:val="17"/>
          <w:color w:val="auto"/>
        </w:rPr>
        <w:t>. Under the Amended Plan, if a Change in Control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Compensation Committee may, in its discretion and without the discretion of any award participant, determine that,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Compensation Committee, an award having an exercise or purchase price per share equal to or greater than the fair market value of the consideration to be paid per share of stock in the Change in Control may be canceled without notice or payment of consideration to the holder thereof.</w:t>
      </w:r>
    </w:p>
    <w:p>
      <w:pPr>
        <w:spacing w:after="0" w:line="327"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Provisions Applicable to Non-Employee Director Awards</w:t>
      </w:r>
      <w:r>
        <w:rPr>
          <w:rFonts w:ascii="Times New Roman" w:cs="Times New Roman" w:eastAsia="Times New Roman" w:hAnsi="Times New Roman"/>
          <w:sz w:val="17"/>
          <w:szCs w:val="17"/>
          <w:color w:val="auto"/>
        </w:rPr>
        <w:t>. In the event of a Change in Control,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award granted to a non-employee director shall become immediately exercisable and vested in full and, except to the extent assumed, continued or substituted for or otherwise restricted by Section 409A, shall be settled effective immediately prior to the time of consummation of the Change in Control.</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Withholding</w:t>
      </w:r>
    </w:p>
    <w:p>
      <w:pPr>
        <w:spacing w:after="0" w:line="160"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The Company shall have the right to deduct from any and all payments made under the Amended Plan, or to require the participant, through payroll withholding, cash payment or otherwise, to make adequate provision for, the federal, state, local and foreign taxes (including social insurance), if any, required by law to be withheld by the</w:t>
      </w:r>
    </w:p>
    <w:p>
      <w:pPr>
        <w:sectPr>
          <w:pgSz w:w="11900" w:h="16838" w:orient="portrait"/>
          <w:cols w:equalWidth="0" w:num="1">
            <w:col w:w="9019"/>
          </w:cols>
          <w:pgMar w:left="1440" w:top="265"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Company with respect to an award or the shares acquired pursuant thereto. The Company shall have no obligation to deliver shares of stock, to release shares of stock from an escrow established pursuant to an award agreement, or to make any payment in cash under the Amended Plan until the Company’s tax withholding obligations have been satisfied by the participant.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Amendment or Termination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Compensation Committee may amend, suspend or terminate the Amended Plan at any time. However, without the approval of the Company’s stockholders, there shall be (a) no increase in the maximum aggregate number of shares of Common Stock that may be issued under the Amended Plan, (b) no change in the class of persons eligible to receive Incentive Stock Options, and (c) no other amendment of the Amended Plan that would require approval of the Company’s stockholders under any applicable law, regulation or rule, including the rules of any stock exchange or quotation system upon which the Common Stock may then be listed or quoted. No amendment, suspension or termination of the Amended Plan shall affect any then outstanding award unless expressly provided by the Compensation Committee. Except as provided by the next sentence, no amendment, suspension or termination of the Amended Plan may have a materially adverse effect on any then outstanding award without the consent of the participant. Notwithstanding any other provision of the Amended Plan or any award agreement to the contrary, the Compensation Committee may, in its sole and absolute discretion and without the consent of any participant, amend the Amended Plan or any award agreement, to take effect retroactively or otherwise, as it deems necessary or advisable for the purpose of conforming the Amended Plan or such award agreement to any present or future law, regulation or rule applicable to the Amended Plan, including, but not limited to, Section 409A.</w:t>
      </w:r>
    </w:p>
    <w:p>
      <w:pPr>
        <w:spacing w:after="0" w:line="111"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If stockholders do not approve the Incentive Plan Amendment, the Incentive Plan Amendment will not go into effect and we will not grant additional awards under the Current Plan in excess of the current share reserve. In this event, our Board will consider whether to adopt alternative arrangements based on its assessment of our needs.</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0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Incentive Stock Options</w:t>
      </w:r>
      <w:r>
        <w:rPr>
          <w:rFonts w:ascii="Times New Roman" w:cs="Times New Roman" w:eastAsia="Times New Roman" w:hAnsi="Times New Roman"/>
          <w:sz w:val="17"/>
          <w:szCs w:val="17"/>
          <w:color w:val="auto"/>
        </w:rPr>
        <w:t>. A participant will not have income upon the grant of an incentive stock 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Also, except as described below, a participant will not have income upon 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0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99"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A participant will not have income upon the grant of a nonstatutory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A participant will have compensation income upon the exercise of a 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 participant will not have income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06"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A participant will not have income upon the grant of restricted stock unless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election under Section 83(b) of the 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 participant will not have income upon the grant of an RSU. A participant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permitted to make a Section 83(b) election with 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Stock-Based Awards. </w:t>
      </w:r>
      <w:r>
        <w:rPr>
          <w:rFonts w:ascii="Times New Roman" w:cs="Times New Roman" w:eastAsia="Times New Roman" w:hAnsi="Times New Roman"/>
          <w:sz w:val="17"/>
          <w:szCs w:val="17"/>
          <w:color w:val="auto"/>
        </w:rPr>
        <w:t>The tax consequences associated with any other stock-based award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05"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Tax Consequences to the Company. </w:t>
      </w:r>
      <w:r>
        <w:rPr>
          <w:rFonts w:ascii="Times New Roman" w:cs="Times New Roman" w:eastAsia="Times New Roman" w:hAnsi="Times New Roman"/>
          <w:sz w:val="17"/>
          <w:szCs w:val="17"/>
          <w:color w:val="auto"/>
        </w:rPr>
        <w:t>There will be no tax consequences to the Company except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will be entitled to a deduction when a participant has compensation income, subject to the limitations of Section 162(m) of the Code.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Awards Granted under the Current Plan</w:t>
      </w:r>
    </w:p>
    <w:p>
      <w:pPr>
        <w:spacing w:after="0" w:line="16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about equity-based awards granted under the Current Plan since adoption of the Current Plan through March 23, 2026 to the individuals and groups described in the below table.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Stock Options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Options (#)</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0" w:type="dxa"/>
            <w:vAlign w:val="bottom"/>
          </w:tcPr>
          <w:p>
            <w:pPr>
              <w:spacing w:after="0"/>
              <w:rPr>
                <w:sz w:val="1"/>
                <w:szCs w:val="1"/>
                <w:color w:val="auto"/>
              </w:rPr>
            </w:pP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 Exercisable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44"/>
        </w:trPr>
        <w:tc>
          <w:tcPr>
            <w:tcW w:w="4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Ed Nabrotzky, Chief Executive Officer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0.1758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Charles Maddox, Chief Financial Officer, Chief Operations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136,572</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34,143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0.1758</w:t>
            </w:r>
          </w:p>
        </w:tc>
        <w:tc>
          <w:tcPr>
            <w:tcW w:w="0" w:type="dxa"/>
            <w:vAlign w:val="bottom"/>
          </w:tcPr>
          <w:p>
            <w:pPr>
              <w:spacing w:after="0"/>
              <w:rPr>
                <w:sz w:val="1"/>
                <w:szCs w:val="1"/>
                <w:color w:val="auto"/>
              </w:rPr>
            </w:pPr>
          </w:p>
        </w:tc>
      </w:tr>
      <w:tr>
        <w:trPr>
          <w:trHeight w:val="40"/>
        </w:trPr>
        <w:tc>
          <w:tcPr>
            <w:tcW w:w="4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 Chief Technology Officer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1,396,205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0.0516</w:t>
            </w:r>
          </w:p>
        </w:tc>
        <w:tc>
          <w:tcPr>
            <w:tcW w:w="0" w:type="dxa"/>
            <w:vAlign w:val="bottom"/>
          </w:tcPr>
          <w:p>
            <w:pPr>
              <w:spacing w:after="0"/>
              <w:rPr>
                <w:sz w:val="1"/>
                <w:szCs w:val="1"/>
                <w:color w:val="auto"/>
              </w:rPr>
            </w:pPr>
          </w:p>
        </w:tc>
      </w:tr>
      <w:tr>
        <w:trPr>
          <w:trHeight w:val="235"/>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current executive officers as a group</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1,669,349</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68,248</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 current directors who are not executive officers as a</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group</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All employees, including all current officers who are not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officers, as a group</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14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Information as of March 23, 2026 regarding equity compensation plans approved and not approved by stockholders is summarized in the following table: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under Equity</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Shares to be</w:t>
            </w: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Incentive Plans</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Issued Upon</w:t>
            </w: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w:t>
            </w: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Column A)</w:t>
            </w:r>
          </w:p>
        </w:tc>
      </w:tr>
      <w:tr>
        <w:trPr>
          <w:trHeight w:val="44"/>
        </w:trPr>
        <w:tc>
          <w:tcPr>
            <w:tcW w:w="4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4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Stockholders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1,861,806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4,959,853</w:t>
            </w: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 by</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1"/>
        </w:trPr>
        <w:tc>
          <w:tcPr>
            <w:tcW w:w="20" w:type="dxa"/>
            <w:vAlign w:val="bottom"/>
          </w:tcPr>
          <w:p>
            <w:pPr>
              <w:spacing w:after="0"/>
              <w:rPr>
                <w:sz w:val="20"/>
                <w:szCs w:val="20"/>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2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20" w:type="dxa"/>
            <w:vAlign w:val="bottom"/>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1,861,806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0.1095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4,959,853</w:t>
            </w: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Amended Plan Benefits Table</w:t>
      </w:r>
    </w:p>
    <w:p>
      <w:pPr>
        <w:spacing w:after="0" w:line="149"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includes additional information regarding the equity awards currently contemplated to be made under the Amended Plan:</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RSU</w:t>
            </w:r>
          </w:p>
        </w:tc>
        <w:tc>
          <w:tcPr>
            <w:tcW w:w="0" w:type="dxa"/>
            <w:vAlign w:val="bottom"/>
          </w:tcPr>
          <w:p>
            <w:pPr>
              <w:spacing w:after="0"/>
              <w:rPr>
                <w:sz w:val="1"/>
                <w:szCs w:val="1"/>
                <w:color w:val="auto"/>
              </w:rPr>
            </w:pP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 Value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Option Awards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0" w:type="dxa"/>
            <w:vAlign w:val="bottom"/>
          </w:tcPr>
          <w:p>
            <w:pPr>
              <w:spacing w:after="0"/>
              <w:rPr>
                <w:sz w:val="1"/>
                <w:szCs w:val="1"/>
                <w:color w:val="auto"/>
              </w:rPr>
            </w:pPr>
          </w:p>
        </w:tc>
      </w:tr>
      <w:tr>
        <w:trPr>
          <w:trHeight w:val="44"/>
        </w:trPr>
        <w:tc>
          <w:tcPr>
            <w:tcW w:w="4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Ed Nabrotzky, Chief Executive Officer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2,016,667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Charles Maddox, Chief Financial Officer, Chief Operations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264,000</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1,466,667</w:t>
            </w:r>
          </w:p>
        </w:tc>
        <w:tc>
          <w:tcPr>
            <w:tcW w:w="124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0"/>
        </w:trPr>
        <w:tc>
          <w:tcPr>
            <w:tcW w:w="4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 Chief Technology Officer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217,800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1,210,000</w:t>
            </w:r>
          </w:p>
        </w:tc>
        <w:tc>
          <w:tcPr>
            <w:tcW w:w="12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35"/>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current executive officers as a group</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1,205,820</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6,699,000</w:t>
            </w:r>
          </w:p>
        </w:tc>
        <w:tc>
          <w:tcPr>
            <w:tcW w:w="124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 current directors who are not executive officers as a</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group</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2,194,444</w:t>
            </w:r>
          </w:p>
        </w:tc>
        <w:tc>
          <w:tcPr>
            <w:tcW w:w="12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All employees, including all current officers who are not</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officers, as a group</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affirmative vote of the holders of at least the majority of the shares of stock present or represented (virtually or by proxy) at the Annual Meeting is necessary to approve the amendment to the Incentive Stock Incentive Plan. Abstentions shall have the effect of a vote “AGAINST” the proposal and broker non-votes will have no effect on the outcome of this proposal.</w:t>
      </w:r>
    </w:p>
    <w:p>
      <w:pPr>
        <w:spacing w:after="0" w:line="101" w:lineRule="exact"/>
        <w:rPr>
          <w:sz w:val="20"/>
          <w:szCs w:val="20"/>
          <w:color w:val="auto"/>
        </w:rPr>
      </w:pPr>
    </w:p>
    <w:p>
      <w:pPr>
        <w:jc w:val="cente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THE BOARD RECOMMENDS THAT STOCKHOLDERS VOTE FOR THE APPROVAL OF THE AMENDMENT TO THE INCENTIVE STOCK INCENTIVE PLAN.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CERTAIN BENEFICIAL OWNERSHIP MATTERS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Security Ownership of Principal Stockholders</w:t>
      </w:r>
    </w:p>
    <w:p>
      <w:pPr>
        <w:spacing w:after="0" w:line="134"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capital stock as of the Record Date for the Annual Meeting, by:</w:t>
      </w:r>
    </w:p>
    <w:p>
      <w:pPr>
        <w:spacing w:after="0" w:line="55" w:lineRule="exact"/>
        <w:rPr>
          <w:sz w:val="20"/>
          <w:szCs w:val="20"/>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our Common Stock;</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percentage of shares beneficially owned shown in the table is based on 29,293,322 shares of Common Stock outstanding as of March 23, 2026, each share of which is entitled to one vote at the Annual Meeting. 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The information does not necessarily indicate beneficial ownership for any other purpose, including for purposes of Section 13(d) and 13(g) of the Securities Act.</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8"/>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44"/>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3"/>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53"/>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Named Executive Officers</w:t>
            </w:r>
            <w:r>
              <w:rPr>
                <w:rFonts w:ascii="Times New Roman" w:cs="Times New Roman" w:eastAsia="Times New Roman" w:hAnsi="Times New Roman"/>
                <w:sz w:val="17"/>
                <w:szCs w:val="17"/>
                <w:b w:val="1"/>
                <w:bCs w:val="1"/>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Edmund Nabrotzky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3,571,614</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2,052,788</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Janice Bryant Howroyd</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32,983</w:t>
            </w:r>
          </w:p>
        </w:tc>
        <w:tc>
          <w:tcPr>
            <w:tcW w:w="1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Walter Skowronski</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Carlson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 Saling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Phyllis Newhouse</w:t>
            </w:r>
            <w:r>
              <w:rPr>
                <w:rFonts w:ascii="Times New Roman" w:cs="Times New Roman" w:eastAsia="Times New Roman" w:hAnsi="Times New Roman"/>
                <w:sz w:val="20"/>
                <w:szCs w:val="20"/>
                <w:color w:val="auto"/>
                <w:vertAlign w:val="superscript"/>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2,574,494</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(8 individuals)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8,231,879</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Five Percent Holders</w:t>
            </w: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3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Tremaine Reny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2,470,060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40"/>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Jeffery Andersen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1,524,924</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3"/>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ShoulderUp 2021 Trust</w:t>
            </w:r>
            <w:r>
              <w:rPr>
                <w:rFonts w:ascii="Times New Roman" w:cs="Times New Roman" w:eastAsia="Times New Roman" w:hAnsi="Times New Roman"/>
                <w:sz w:val="20"/>
                <w:szCs w:val="20"/>
                <w:color w:val="auto"/>
                <w:vertAlign w:val="superscript"/>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1,551,180</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one percent of the outstanding Common Stock.</w:t>
      </w:r>
    </w:p>
    <w:p>
      <w:pPr>
        <w:spacing w:after="0" w:line="22" w:lineRule="exact"/>
        <w:rPr>
          <w:sz w:val="20"/>
          <w:szCs w:val="20"/>
          <w:color w:val="auto"/>
        </w:rPr>
      </w:pPr>
    </w:p>
    <w:p>
      <w:pPr>
        <w:ind w:left="1000" w:right="5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those listed in the table above is 5661 S Cameron St, Suite 100, Las Vegas, NV 89118.</w:t>
      </w:r>
    </w:p>
    <w:p>
      <w:pPr>
        <w:ind w:left="1000" w:right="59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ASK, LLC. Janice Howroyd is the sole member of ASK, LLC and has voting and investment control of the shares held by ASK, LLC.</w:t>
      </w:r>
    </w:p>
    <w:p>
      <w:pPr>
        <w:jc w:val="both"/>
        <w:ind w:left="1000" w:right="5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ind w:left="1000" w:right="599" w:hanging="426"/>
        <w:spacing w:after="0" w:line="272"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ShoulderUp 2021 Trust. The address of the principal business office of ShoulderUp 2021 Trust is 2291 Loring Oak PL NW Marietta, GA 30064.</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biographical information for each of our executive officers, including our named executive officers, as of the date of this Proxy Statement is set forth below, except Mr. Nabrotzky, our CEO. Mr. Nabrotzky also serves as a director on our Board and his biographical information is set forth above in the section titled “</w:t>
      </w:r>
      <w:r>
        <w:rPr>
          <w:rFonts w:ascii="Times New Roman" w:cs="Times New Roman" w:eastAsia="Times New Roman" w:hAnsi="Times New Roman"/>
          <w:sz w:val="17"/>
          <w:szCs w:val="17"/>
          <w:i w:val="1"/>
          <w:iCs w:val="1"/>
          <w:color w:val="auto"/>
        </w:rPr>
        <w:t>Proposal 1 — Election of Directors</w:t>
      </w:r>
      <w:r>
        <w:rPr>
          <w:rFonts w:ascii="Times New Roman" w:cs="Times New Roman" w:eastAsia="Times New Roman" w:hAnsi="Times New Roman"/>
          <w:sz w:val="17"/>
          <w:szCs w:val="17"/>
          <w:color w:val="auto"/>
        </w:rPr>
        <w:t>.”</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6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Officer/Chief Operations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Chief Technology Officer</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Delores Rochester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Revenue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Ansgar Thiede</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Chief Strategy Officer</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Charles Maddox </w:t>
      </w:r>
      <w:r>
        <w:rPr>
          <w:rFonts w:ascii="Times New Roman" w:cs="Times New Roman" w:eastAsia="Times New Roman" w:hAnsi="Times New Roman"/>
          <w:sz w:val="17"/>
          <w:szCs w:val="17"/>
          <w:color w:val="auto"/>
        </w:rPr>
        <w:t>has served as the Company’s Chief Operating and Chief Financial Officer since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April 2024. He previously was the Company’s 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 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spacing w:after="0" w:line="10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Vijayan Nambiar </w:t>
      </w:r>
      <w:r>
        <w:rPr>
          <w:rFonts w:ascii="Times New Roman" w:cs="Times New Roman" w:eastAsia="Times New Roman" w:hAnsi="Times New Roman"/>
          <w:sz w:val="17"/>
          <w:szCs w:val="17"/>
          <w:color w:val="auto"/>
        </w:rPr>
        <w:t>has served as Chief Technology Officer of CID Holdco since May 2022.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joining the Company, Mr. Nambiar was a 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9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Delores Rochester </w:t>
      </w:r>
      <w:r>
        <w:rPr>
          <w:rFonts w:ascii="Times New Roman" w:cs="Times New Roman" w:eastAsia="Times New Roman" w:hAnsi="Times New Roman"/>
          <w:sz w:val="17"/>
          <w:szCs w:val="17"/>
          <w:color w:val="auto"/>
        </w:rPr>
        <w:t>has served as the Company’s Chief Revenue Officer since January 2026.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joining the Company, Ms. Rochester worked for Oracle’s Enterprise Software business for the comm/IT, media, retail, and services and hospitality verticals. She has over 25 years of experience building and leading high-performance teams in sales, sales management, business development, financing, finance, and operations. Before joining Oracle, Rochester had a 17-year tenure with IBM. While at IBM, she received 3 U.S. and 5 IBM patents and was published in the Advanced Semiconductor Manufacturing Counsel Journal. Her blend of technical fluency, commercial acumen, and executive level selling has earned repeated top honors, including multiple 100% Club awards and recognition among the top global 1% of sellers. Del holds a B.S. in Chemical Engineering from Brown University, a Master’s in Materials Science from RPI, and an MBA in Finance and Entrepreneurship from The University of Chicago Booth School of Business. She is also a certified sales executive through Harvard Business School and a graduate of Oracle’s Accelerated Executive Institute.</w:t>
      </w:r>
    </w:p>
    <w:p>
      <w:pPr>
        <w:spacing w:after="0" w:line="11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Ansgar Thiede </w:t>
      </w:r>
      <w:r>
        <w:rPr>
          <w:rFonts w:ascii="Times New Roman" w:cs="Times New Roman" w:eastAsia="Times New Roman" w:hAnsi="Times New Roman"/>
          <w:sz w:val="17"/>
          <w:szCs w:val="17"/>
          <w:color w:val="auto"/>
        </w:rPr>
        <w:t>has served as the Company’s Chief Strategy Officer since January 2026. Dr. Thiede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brings more than a decade of experience building and scaling AI-driven, SaaS-based platforms in complex enterprise environments. He has held senior product and engineering leadership roles at Infios and Blue Yonder, where he led global teams across data science, software engineering, platform operations, and customer enablement. His background spans AI strategy, cloud-native product development, and operational excellence.</w:t>
      </w:r>
    </w:p>
    <w:p>
      <w:pPr>
        <w:sectPr>
          <w:pgSz w:w="11900" w:h="16838" w:orient="portrait"/>
          <w:cols w:equalWidth="0" w:num="1">
            <w:col w:w="9019"/>
          </w:cols>
          <w:pgMar w:left="1440" w:top="265"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w:t>
      </w:r>
      <w:r>
        <w:rPr>
          <w:rFonts w:ascii="Times New Roman" w:cs="Times New Roman" w:eastAsia="Times New Roman" w:hAnsi="Times New Roman"/>
          <w:sz w:val="17"/>
          <w:szCs w:val="17"/>
          <w:b w:val="1"/>
          <w:bCs w:val="1"/>
          <w:i w:val="1"/>
          <w:iCs w:val="1"/>
          <w:color w:val="auto"/>
        </w:rPr>
        <w:t>Named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Executive Officers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NEOs</w:t>
      </w:r>
      <w:r>
        <w:rPr>
          <w:rFonts w:ascii="Times New Roman" w:cs="Times New Roman" w:eastAsia="Times New Roman" w:hAnsi="Times New Roman"/>
          <w:sz w:val="17"/>
          <w:szCs w:val="17"/>
          <w:color w:val="auto"/>
        </w:rPr>
        <w:t>”)). Also, as an emerging growth company, we are not required to include,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have not included, certain of the other compensation tables required by Item 402 of Regulation S-K in this Proxy Statement.</w:t>
      </w:r>
    </w:p>
    <w:p>
      <w:pPr>
        <w:spacing w:after="0" w:line="3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executives are our Named Executive Officers:</w:t>
      </w:r>
    </w:p>
    <w:p>
      <w:pPr>
        <w:spacing w:after="0" w:line="158" w:lineRule="exact"/>
        <w:rPr>
          <w:sz w:val="20"/>
          <w:szCs w:val="20"/>
          <w:color w:val="auto"/>
        </w:rPr>
      </w:pPr>
    </w:p>
    <w:p>
      <w:pPr>
        <w:ind w:left="1400" w:hanging="406"/>
        <w:spacing w:after="0"/>
        <w:tabs>
          <w:tab w:leader="none" w:pos="14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 Nabrotzky, Chief Executive Officer;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Charles Maddox, Chief Financial Officer/Chief Operations Officer;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Vijayan Nambiar, Chief Technology Officer.</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regarding the compensation of our NEOs for the years ended December 31, 2025 and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40" w:type="dxa"/>
            <w:vAlign w:val="bottom"/>
          </w:tcPr>
          <w:p>
            <w:pPr>
              <w:spacing w:after="0"/>
              <w:rPr>
                <w:sz w:val="17"/>
                <w:szCs w:val="17"/>
                <w:color w:val="auto"/>
              </w:rPr>
            </w:pPr>
          </w:p>
        </w:tc>
      </w:t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Fiscal</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7"/>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21"/>
                <w:szCs w:val="21"/>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88"/>
              </w:rPr>
              <w:t>Year</w:t>
            </w:r>
          </w:p>
        </w:tc>
        <w:tc>
          <w:tcPr>
            <w:tcW w:w="6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0"/>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Ed Nabrotzky</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285,384</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357,500</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642,884</w:t>
            </w:r>
          </w:p>
        </w:tc>
      </w:tr>
      <w:tr>
        <w:trPr>
          <w:trHeight w:val="255"/>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5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230,000</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5,821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235,821</w:t>
            </w:r>
          </w:p>
        </w:tc>
      </w:tr>
      <w:tr>
        <w:trPr>
          <w:trHeight w:val="373"/>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5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263,958</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514,821</w:t>
            </w: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5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230,000</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230,000</w:t>
            </w: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Operations Officer</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0"/>
        </w:trPr>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9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5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276,154</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476,154</w:t>
            </w:r>
          </w:p>
        </w:tc>
      </w:tr>
      <w:tr>
        <w:trPr>
          <w:trHeight w:val="23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Technology Officer</w:t>
            </w:r>
          </w:p>
        </w:tc>
        <w:tc>
          <w:tcPr>
            <w:tcW w:w="5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230,000</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230,000</w:t>
            </w:r>
          </w:p>
        </w:tc>
      </w:tr>
      <w:tr>
        <w:trPr>
          <w:trHeight w:val="40"/>
        </w:trPr>
        <w:tc>
          <w:tcPr>
            <w:tcW w:w="2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$320,000 transaction bonus paid in connection with the closing of the Business Combination, and $37,500 in fees for service as a member of the Board.</w:t>
      </w:r>
    </w:p>
    <w:p>
      <w:pPr>
        <w:ind w:left="1000" w:hanging="426"/>
        <w:spacing w:after="0"/>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transaction bonuses paid in connection with the Business Combination.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Disclosure to the Summary Compensation Table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Executive Employment Agreements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NEOs, each of which provides for at-will employment and provides for no specified term of employment. Set forth below is a description of the employment agreements with the NEOs during 2025. Each employment agreement does not have a specific term and provides that the applicable named executive officer is an at-will employee.</w:t>
      </w:r>
    </w:p>
    <w:p>
      <w:pPr>
        <w:spacing w:after="0" w:line="1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Edmund Nabrotzky</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Agreement between Edmund Nabrotzky and SEE ID</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the time of the Business Combination, Mr. Nabrotzky was employed by SEE ID for the position of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Agreement between Edmund Nabrotzky and SEE ID Holding Corp</w:t>
      </w:r>
    </w:p>
    <w:p>
      <w:pPr>
        <w:spacing w:after="0" w:line="14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Nabrotzky, dated September 5, 2025, for the position of CEO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Charles Maddox</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Agreement between Charles Maddox and SEE ID</w:t>
      </w:r>
    </w:p>
    <w:p>
      <w:pPr>
        <w:spacing w:after="0" w:line="16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1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Agreement between Charles Maddox and SEE ID Holding Corp</w:t>
      </w:r>
    </w:p>
    <w:p>
      <w:pPr>
        <w:spacing w:after="0" w:line="16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Vijayan Nambiar</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Agreement between Vijayan Nambiar and SEE ID</w:t>
      </w:r>
    </w:p>
    <w:p>
      <w:pPr>
        <w:spacing w:after="0" w:line="149"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i w:val="1"/>
          <w:iCs w:val="1"/>
          <w:color w:val="auto"/>
        </w:rPr>
        <w:t>Agreement between Vijayan Nambiar and SEE ID Holding Corp</w:t>
      </w:r>
    </w:p>
    <w:p>
      <w:pPr>
        <w:spacing w:after="0" w:line="16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w:t>
      </w:r>
    </w:p>
    <w:p>
      <w:pPr>
        <w:spacing w:after="0" w:line="1" w:lineRule="exact"/>
        <w:rPr>
          <w:sz w:val="20"/>
          <w:szCs w:val="20"/>
          <w:color w:val="auto"/>
        </w:rPr>
      </w:pPr>
    </w:p>
    <w:p>
      <w:pPr>
        <w:jc w:val="both"/>
        <w:ind w:left="580" w:right="579" w:hanging="6"/>
        <w:spacing w:after="0" w:line="260" w:lineRule="auto"/>
        <w:tabs>
          <w:tab w:leader="none" w:pos="84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3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Annual Base Salaries</w:t>
      </w:r>
    </w:p>
    <w:p>
      <w:pPr>
        <w:spacing w:after="0" w:line="160"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Incentive Bonus Compensation</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Named Executive Officer was eligible to receive a target annual incentive bonus during 2025 at the discretion of the Board.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No incentive compensation was paid to our NEOs during 2025 other than a $600 incentive bonus paid to Mr. Maddox, which was made to maintain consistency with our Puerto Rico employees’ statutory Christmas bonus requirements.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Business Combination Change of Control Payments</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recognition of their efforts on the Business Combination, the Board approved the following change in control transaction bonuses, which paid to our NEOs during 2025, subject to the closing of the Business Combination. The actual cash bonuses awarded to the NEOs in respect of 2025 are set forth in the “All Other Compensation” column of the Summary Compensation Table above.</w:t>
      </w:r>
    </w:p>
    <w:p>
      <w:pPr>
        <w:spacing w:after="0" w:line="103" w:lineRule="exact"/>
        <w:rPr>
          <w:sz w:val="20"/>
          <w:szCs w:val="20"/>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Edmund Nabrotzky (Chief Executive Officer): $320,000</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Charles Maddox (Chief Financial Officer/Chief Operations Officer): $250,000</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Vijayan Nambiar (Chief Technology Officer): $200,000</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Equity Incentive Awards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SEE ID previously granted stock options to our NEOs, all of which are currently vested and were assumed by us and converted into options to purchase common shares of CID Holdco, Inc. in connection with the Business Combination. We maintain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Other Compensation</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Retirement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currently do not maintain a 401(k) or any other retirement savings plan for our employees.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Employee Benefits and Perquisites</w:t>
      </w:r>
    </w:p>
    <w:p>
      <w:pPr>
        <w:spacing w:after="0" w:line="14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decide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31, 2025</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regarding outstanding option awards held by the Company’s named executive officers as of December 31, 2025.</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r>
      <w:tr>
        <w:trPr>
          <w:trHeight w:val="196"/>
        </w:trPr>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Stock Options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Options (#)</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Exercisable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Unexercisable</w:t>
            </w:r>
          </w:p>
        </w:tc>
        <w:tc>
          <w:tcPr>
            <w:tcW w:w="110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255"/>
        </w:trPr>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Ed Nabrotzky</w:t>
            </w:r>
          </w:p>
        </w:tc>
        <w:tc>
          <w:tcPr>
            <w:tcW w:w="8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09/01/2021</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2"/>
              </w:rPr>
              <w:t>136,572</w:t>
            </w:r>
            <w:r>
              <w:rPr>
                <w:rFonts w:ascii="Times New Roman" w:cs="Times New Roman" w:eastAsia="Times New Roman" w:hAnsi="Times New Roman"/>
                <w:sz w:val="20"/>
                <w:szCs w:val="20"/>
                <w:color w:val="auto"/>
                <w:w w:val="92"/>
                <w:vertAlign w:val="superscript"/>
              </w:rPr>
              <w:t>(1)(2)</w:t>
            </w:r>
          </w:p>
        </w:tc>
        <w:tc>
          <w:tcPr>
            <w:tcW w:w="8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34,143</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0.1758</w:t>
            </w:r>
          </w:p>
        </w:tc>
        <w:tc>
          <w:tcPr>
            <w:tcW w:w="8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09/01/2031</w:t>
            </w:r>
          </w:p>
        </w:tc>
      </w:tr>
      <w:tr>
        <w:trPr>
          <w:trHeight w:val="275"/>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Charles Maddox</w:t>
            </w:r>
          </w:p>
        </w:tc>
        <w:tc>
          <w:tcPr>
            <w:tcW w:w="1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09/01/2021</w:t>
            </w:r>
          </w:p>
        </w:tc>
        <w:tc>
          <w:tcPr>
            <w:tcW w:w="100" w:type="dxa"/>
            <w:vAlign w:val="bottom"/>
          </w:tcPr>
          <w:p>
            <w:pPr>
              <w:spacing w:after="0"/>
              <w:rPr>
                <w:sz w:val="23"/>
                <w:szCs w:val="23"/>
                <w:color w:val="auto"/>
              </w:rPr>
            </w:pPr>
          </w:p>
        </w:tc>
        <w:tc>
          <w:tcPr>
            <w:tcW w:w="122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2"/>
              </w:rPr>
              <w:t>136,572</w:t>
            </w:r>
            <w:r>
              <w:rPr>
                <w:rFonts w:ascii="Times New Roman" w:cs="Times New Roman" w:eastAsia="Times New Roman" w:hAnsi="Times New Roman"/>
                <w:sz w:val="20"/>
                <w:szCs w:val="20"/>
                <w:color w:val="auto"/>
                <w:w w:val="92"/>
                <w:vertAlign w:val="superscript"/>
              </w:rPr>
              <w:t>(1)(2)</w:t>
            </w:r>
          </w:p>
        </w:tc>
        <w:tc>
          <w:tcPr>
            <w:tcW w:w="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34,143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0.1758</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09/01/2031</w:t>
            </w:r>
          </w:p>
        </w:tc>
      </w:tr>
      <w:tr>
        <w:trPr>
          <w:trHeight w:val="275"/>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05/07/2022</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518,242</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05/07/2032</w:t>
            </w:r>
          </w:p>
        </w:tc>
      </w:tr>
      <w:tr>
        <w:trPr>
          <w:trHeight w:val="275"/>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05/07/2022</w:t>
            </w:r>
          </w:p>
        </w:tc>
        <w:tc>
          <w:tcPr>
            <w:tcW w:w="100" w:type="dxa"/>
            <w:vAlign w:val="bottom"/>
          </w:tcPr>
          <w:p>
            <w:pPr>
              <w:spacing w:after="0"/>
              <w:rPr>
                <w:sz w:val="23"/>
                <w:szCs w:val="23"/>
                <w:color w:val="auto"/>
              </w:rPr>
            </w:pPr>
          </w:p>
        </w:tc>
        <w:tc>
          <w:tcPr>
            <w:tcW w:w="12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518,242</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0.0516</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05/07/2032</w:t>
            </w:r>
          </w:p>
        </w:tc>
      </w:tr>
      <w:tr>
        <w:trPr>
          <w:trHeight w:val="275"/>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Vijayan Nambiar</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11/21/2023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359,721</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0.0516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11/21/2033</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58"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spacing w:after="0" w:line="3"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of the shares subject to the option vest on each of the five anniversaries of the grant date.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Policy</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Warrant Agreement</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Simultaneously with the closing of the Business Combination, Continental, as the transfer agent, SUAC and the Company entered into the Warrant Assumption and Assignment Agreement (the “</w:t>
      </w:r>
      <w:r>
        <w:rPr>
          <w:rFonts w:ascii="Times New Roman" w:cs="Times New Roman" w:eastAsia="Times New Roman" w:hAnsi="Times New Roman"/>
          <w:sz w:val="17"/>
          <w:szCs w:val="17"/>
          <w:b w:val="1"/>
          <w:bCs w:val="1"/>
          <w:i w:val="1"/>
          <w:iCs w:val="1"/>
          <w:color w:val="auto"/>
        </w:rPr>
        <w:t>Warrant Assumption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pursuant to which, among other things, SUAC assigned to the Company all of SUAC’s right, title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interest in and to, and the Company assumed all of SUAC’s liabilities and obligations under the certain Warrant Agreement, dated as of November 16, 2021, between SUAC and Continental (the “</w:t>
      </w:r>
      <w:r>
        <w:rPr>
          <w:rFonts w:ascii="Times New Roman" w:cs="Times New Roman" w:eastAsia="Times New Roman" w:hAnsi="Times New Roman"/>
          <w:sz w:val="17"/>
          <w:szCs w:val="17"/>
          <w:b w:val="1"/>
          <w:bCs w:val="1"/>
          <w:i w:val="1"/>
          <w:iCs w:val="1"/>
          <w:color w:val="auto"/>
        </w:rPr>
        <w:t>Existing 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As a result, each Warrant automatically ceased to represent a right to acquire SUAC Class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and instead represents a right to acquire shares of the Company’s Common Stock pursuant to the terms and conditions of the Existing Warrant Agreement (as amended by the Warrant Assumption Agreement).</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Related Party Transactions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8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31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years ended December 31,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2025. In making this statement, we have relied upon the written representations of our directors and executive officers and copies of reports that have been filed with the SEC.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Matters That May Come Before the Annual Meeting</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w:t>
      </w:r>
    </w:p>
    <w:p>
      <w:pPr>
        <w:spacing w:after="0" w:line="10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have filed our Annual Report on Form 10-K for the fiscal year ended December 31, 2025, with the SEC. It is available free of charge at the SEC’s website at www.sec.gov. Stockholders can also access this Proxy Statement, our Annual Report on Form 10-K, on our website at https://ir.daic.ai/, or a copy of our Annual Report, is available without charge upon written request to our Corporate Secretary at 2 Shaker Road Suite E213, Shirley, MA 01464.</w:t>
      </w:r>
    </w:p>
    <w:p>
      <w:pPr>
        <w:spacing w:after="0" w:line="16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Jeff Saling</w:t>
      </w:r>
    </w:p>
    <w:p>
      <w:pPr>
        <w:spacing w:after="0" w:line="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Jeff Saling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-120015</wp:posOffset>
            </wp:positionV>
            <wp:extent cx="24955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April 17, 2026</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OF THE</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CID Holdco, Inc., a corporation organized and existing under the General Corporation Law of the State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Delaware, does hereby certify as follows:</w:t>
      </w:r>
    </w:p>
    <w:p>
      <w:pPr>
        <w:spacing w:after="0" w:line="138" w:lineRule="exact"/>
        <w:rPr>
          <w:sz w:val="20"/>
          <w:szCs w:val="20"/>
          <w:color w:val="auto"/>
        </w:rPr>
      </w:pPr>
    </w:p>
    <w:p>
      <w:pPr>
        <w:ind w:left="58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FIRST:</w:t>
      </w:r>
      <w:r>
        <w:rPr>
          <w:sz w:val="20"/>
          <w:szCs w:val="20"/>
          <w:color w:val="auto"/>
        </w:rPr>
        <w:tab/>
      </w:r>
      <w:r>
        <w:rPr>
          <w:rFonts w:ascii="Times New Roman" w:cs="Times New Roman" w:eastAsia="Times New Roman" w:hAnsi="Times New Roman"/>
          <w:sz w:val="17"/>
          <w:szCs w:val="17"/>
          <w:color w:val="auto"/>
        </w:rPr>
        <w:t>The name of the corporation is CID Holdco, Inc.</w:t>
      </w:r>
    </w:p>
    <w:p>
      <w:pPr>
        <w:spacing w:after="0" w:line="143" w:lineRule="exact"/>
        <w:rPr>
          <w:sz w:val="20"/>
          <w:szCs w:val="20"/>
          <w:color w:val="auto"/>
        </w:rPr>
      </w:pPr>
    </w:p>
    <w:p>
      <w:pPr>
        <w:jc w:val="both"/>
        <w:ind w:left="580" w:right="599"/>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SECOND: </w:t>
      </w:r>
      <w:r>
        <w:rPr>
          <w:rFonts w:ascii="Times New Roman" w:cs="Times New Roman" w:eastAsia="Times New Roman" w:hAnsi="Times New Roman"/>
          <w:sz w:val="17"/>
          <w:szCs w:val="17"/>
          <w:color w:val="auto"/>
        </w:rPr>
        <w:t>This Certificate of Amendment (“</w:t>
      </w:r>
      <w:r>
        <w:rPr>
          <w:rFonts w:ascii="Times New Roman" w:cs="Times New Roman" w:eastAsia="Times New Roman" w:hAnsi="Times New Roman"/>
          <w:sz w:val="17"/>
          <w:szCs w:val="17"/>
          <w:b w:val="1"/>
          <w:bCs w:val="1"/>
          <w:i w:val="1"/>
          <w:iCs w:val="1"/>
          <w:color w:val="auto"/>
        </w:rPr>
        <w:t>Certificate of Amendment</w:t>
      </w:r>
      <w:r>
        <w:rPr>
          <w:rFonts w:ascii="Times New Roman" w:cs="Times New Roman" w:eastAsia="Times New Roman" w:hAnsi="Times New Roman"/>
          <w:sz w:val="17"/>
          <w:szCs w:val="17"/>
          <w:color w:val="auto"/>
        </w:rPr>
        <w:t>”) amends the provisions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Company’s Amended and Restated Certificate of Incorporation, as filed of record with the Delaware Secretary of State on June 18, 2025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Certificate of Incorporation is hereby amended by revising Section 4.1 of Article IV to include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paragraph (a) as follows:</w:t>
      </w:r>
    </w:p>
    <w:p>
      <w:pPr>
        <w:spacing w:after="0" w:line="78" w:lineRule="exact"/>
        <w:rPr>
          <w:sz w:val="20"/>
          <w:szCs w:val="20"/>
          <w:color w:val="auto"/>
        </w:rPr>
      </w:pPr>
    </w:p>
    <w:p>
      <w:pPr>
        <w:jc w:val="both"/>
        <w:ind w:left="1420" w:right="579" w:hanging="426"/>
        <w:spacing w:after="0" w:line="262" w:lineRule="auto"/>
        <w:tabs>
          <w:tab w:leader="none" w:pos="141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Reverse Stock Split</w:t>
      </w:r>
      <w:r>
        <w:rPr>
          <w:rFonts w:ascii="Times New Roman" w:cs="Times New Roman" w:eastAsia="Times New Roman" w:hAnsi="Times New Roman"/>
          <w:sz w:val="17"/>
          <w:szCs w:val="17"/>
          <w:color w:val="auto"/>
        </w:rPr>
        <w:t>. Upon the effectiveness of the filing of this Certificate of Amendment (the “</w:t>
      </w:r>
      <w:r>
        <w:rPr>
          <w:rFonts w:ascii="Times New Roman" w:cs="Times New Roman" w:eastAsia="Times New Roman" w:hAnsi="Times New Roman"/>
          <w:sz w:val="17"/>
          <w:szCs w:val="17"/>
          <w:b w:val="1"/>
          <w:bCs w:val="1"/>
          <w:i w:val="1"/>
          <w:iCs w:val="1"/>
          <w:color w:val="auto"/>
        </w:rPr>
        <w:t>Effective Time</w:t>
      </w:r>
      <w:r>
        <w:rPr>
          <w:rFonts w:ascii="Times New Roman" w:cs="Times New Roman" w:eastAsia="Times New Roman" w:hAnsi="Times New Roman"/>
          <w:sz w:val="17"/>
          <w:szCs w:val="17"/>
          <w:color w:val="auto"/>
        </w:rPr>
        <w:t>”), each share of Common Stock, either issued or outstanding or held by the Company as treasury stock, immediately prior to the Effective Time, will be automatically reclassified and combined (without any further act) into a smaller number of shares such that each</w:t>
      </w:r>
    </w:p>
    <w:p>
      <w:pPr>
        <w:spacing w:after="0" w:line="2" w:lineRule="exact"/>
        <w:rPr>
          <w:rFonts w:ascii="Times New Roman" w:cs="Times New Roman" w:eastAsia="Times New Roman" w:hAnsi="Times New Roman"/>
          <w:sz w:val="17"/>
          <w:szCs w:val="17"/>
          <w:color w:val="auto"/>
        </w:rPr>
      </w:pPr>
    </w:p>
    <w:p>
      <w:pPr>
        <w:jc w:val="both"/>
        <w:ind w:left="1420" w:right="579" w:hanging="7"/>
        <w:spacing w:after="0" w:line="259" w:lineRule="auto"/>
        <w:tabs>
          <w:tab w:leader="none" w:pos="167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issued and outstanding or held by the Company as treasury stock immediately prior to the Effective Time is reclassified into one share of Common Stock of the Company (the “</w:t>
      </w: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w:t>
      </w:r>
    </w:p>
    <w:p>
      <w:pPr>
        <w:spacing w:after="0" w:line="97"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FOURTH: </w:t>
      </w:r>
      <w:r>
        <w:rPr>
          <w:rFonts w:ascii="Times New Roman" w:cs="Times New Roman" w:eastAsia="Times New Roman" w:hAnsi="Times New Roman"/>
          <w:sz w:val="17"/>
          <w:szCs w:val="17"/>
          <w:color w:val="auto"/>
        </w:rPr>
        <w:t>The Certificate of Amendment was duly adopted in accordance with Sections 242 and 245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 Corporation Law of the State of Delaware, as amended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by the Company’s stockholders in accordance with Section 212 of the DGCL.</w:t>
      </w:r>
    </w:p>
    <w:p>
      <w:pPr>
        <w:spacing w:after="0" w:line="94" w:lineRule="exact"/>
        <w:rPr>
          <w:sz w:val="20"/>
          <w:szCs w:val="20"/>
          <w:color w:val="auto"/>
        </w:rPr>
      </w:pPr>
    </w:p>
    <w:p>
      <w:pPr>
        <w:ind w:left="580"/>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FIFTH:</w:t>
      </w:r>
      <w:r>
        <w:rPr>
          <w:sz w:val="20"/>
          <w:szCs w:val="20"/>
          <w:color w:val="auto"/>
        </w:rPr>
        <w:tab/>
      </w:r>
      <w:r>
        <w:rPr>
          <w:rFonts w:ascii="Times New Roman" w:cs="Times New Roman" w:eastAsia="Times New Roman" w:hAnsi="Times New Roman"/>
          <w:sz w:val="17"/>
          <w:szCs w:val="17"/>
          <w:color w:val="auto"/>
        </w:rPr>
        <w:t>All other provisions of the Certificate of Incorporation shall remain in full force and effect</w:t>
      </w:r>
    </w:p>
    <w:p>
      <w:pPr>
        <w:spacing w:after="0" w:line="16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CID Holdco, Inc. has caused this Certificate of Amendment to be duly executed and acknowledged in its name and on its behalf by the undersigned officer, thereunto duly authorized, as of the date first set forth above.</w:t>
      </w:r>
    </w:p>
    <w:p>
      <w:pPr>
        <w:spacing w:after="0" w:line="1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By:</w:t>
      </w:r>
    </w:p>
    <w:p>
      <w:pPr>
        <w:spacing w:after="0" w:line="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Name: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-111760</wp:posOffset>
            </wp:positionV>
            <wp:extent cx="1954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0" w:lineRule="exact"/>
        <w:rPr>
          <w:sz w:val="20"/>
          <w:szCs w:val="20"/>
          <w:color w:val="auto"/>
        </w:rPr>
      </w:pPr>
    </w:p>
    <w:p>
      <w:pPr>
        <w:ind w:left="4780"/>
        <w:spacing w:after="0"/>
        <w:tabs>
          <w:tab w:leader="none" w:pos="53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Designation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[A] Convertible Preferred Stock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151 of the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Corporation Law of the State of Delaware)</w:t>
      </w:r>
    </w:p>
    <w:p>
      <w:pPr>
        <w:spacing w:after="0" w:line="127" w:lineRule="exact"/>
        <w:rPr>
          <w:sz w:val="20"/>
          <w:szCs w:val="20"/>
          <w:color w:val="auto"/>
        </w:rPr>
      </w:pPr>
    </w:p>
    <w:p>
      <w:pPr>
        <w:jc w:val="both"/>
        <w:ind w:left="580" w:right="599"/>
        <w:spacing w:after="0" w:line="263" w:lineRule="auto"/>
        <w:rPr>
          <w:sz w:val="20"/>
          <w:szCs w:val="20"/>
          <w:color w:val="auto"/>
        </w:rPr>
      </w:pPr>
      <w:r>
        <w:rPr>
          <w:rFonts w:ascii="Times New Roman" w:cs="Times New Roman" w:eastAsia="Times New Roman" w:hAnsi="Times New Roman"/>
          <w:sz w:val="17"/>
          <w:szCs w:val="17"/>
          <w:color w:val="auto"/>
        </w:rPr>
        <w:t>CID HoldCo, Inc., a corporation organized and existing under the laws of the State of 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in accordance with the provisions of Section 151 thereof, hereby certifies that the Board of Directors of the Corporation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in accordance with the provisions of the Amended and Restated Certificate of Incorporation of the Corporation and applicable law duly adopted resolutions creating a series of shares of Preferred Stock of the Corporation with the designation and number of shares of such series, and the voting and other powers, preferences and relative, participating, optional or other rights, and the qualifications, limitations and restrictions, of the shares of such series, as follows: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Designation and Number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There is hereby created out of the authorized and unissued shares of Preferred Stock of the Corporation a series of Preferred Stock designated as the “Series [A] Convertible Preferred Stock,” par value $0.0001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and the authorized number of shares constituting such series shall be [•]. Each share of Preferred Stock shall have a stated value equal to $[•] per share, subject to increase set forth in Section 3 below (the “</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Ranking</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Each share of Preferred Stock shall rank equally in all respects and shall be subject to the provisions herein. The Preferred Stock shall, with respect to payment of dividends and rights (including as to the distribution of assets) upon Liquidation, rank senior and prior to the Corporation’s Junior Stock. The Preferred Stock shall rank junior to all of the Corporation’s existing and future indebtedness and other liabilities, except to the extent otherwise provided herein.</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hanging="6"/>
        <w:spacing w:after="0" w:line="262" w:lineRule="auto"/>
        <w:tabs>
          <w:tab w:leader="none" w:pos="84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shall be entitled to receive, and the Corporation shall pay, dividends on each share of Preferred Stock only when, as and if declared by the Board out of funds legally available therefor. Dividends, if so declared, shall be payable in cash, or at the Corporation’s option, in duly authorized, validly issued, fully paid and non-assessable shares of Preferred Stock (“</w:t>
      </w:r>
      <w:r>
        <w:rPr>
          <w:rFonts w:ascii="Times New Roman" w:cs="Times New Roman" w:eastAsia="Times New Roman" w:hAnsi="Times New Roman"/>
          <w:sz w:val="17"/>
          <w:szCs w:val="17"/>
          <w:u w:val="single" w:color="auto"/>
          <w:color w:val="auto"/>
        </w:rPr>
        <w:t>Dividend Shares</w:t>
      </w:r>
      <w:r>
        <w:rPr>
          <w:rFonts w:ascii="Times New Roman" w:cs="Times New Roman" w:eastAsia="Times New Roman" w:hAnsi="Times New Roman"/>
          <w:sz w:val="17"/>
          <w:szCs w:val="17"/>
          <w:color w:val="auto"/>
        </w:rPr>
        <w:t>”) or a combination thereof, on such dates as the Board may determine (each such date, a “Dividend Payment Date”). For purposes hereof, each Dividend Share shall be deemed to have a value of $[•] per share. The Holders shall have the same rights and remedies with respect to the delivery of any such shares as if such shares were being issued pursuant to Section 8. No dividends shall accrue or cumulate on the Preferred Stock, and no right to dividends shall exist unless and until declared by the Board.</w:t>
      </w:r>
    </w:p>
    <w:p>
      <w:pPr>
        <w:spacing w:after="0" w:line="323" w:lineRule="exact"/>
        <w:rPr>
          <w:rFonts w:ascii="Times New Roman" w:cs="Times New Roman" w:eastAsia="Times New Roman" w:hAnsi="Times New Roman"/>
          <w:sz w:val="17"/>
          <w:szCs w:val="17"/>
          <w:color w:val="auto"/>
        </w:rPr>
      </w:pPr>
    </w:p>
    <w:p>
      <w:pPr>
        <w:jc w:val="both"/>
        <w:ind w:left="580" w:right="579" w:hanging="6"/>
        <w:spacing w:after="0" w:line="265" w:lineRule="auto"/>
        <w:tabs>
          <w:tab w:leader="none" w:pos="83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conversion of any Preferred Stock, no further dividends shall be declared or paid with respect to the shares of Preferred Stock so converted, provided that the Corporation actually delivers the Conversion Shares within the time period required by Section 7(b)(i)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spacing w:after="0" w:line="106" w:lineRule="exact"/>
        <w:rPr>
          <w:rFonts w:ascii="Times New Roman" w:cs="Times New Roman" w:eastAsia="Times New Roman" w:hAnsi="Times New Roman"/>
          <w:sz w:val="17"/>
          <w:szCs w:val="17"/>
          <w:color w:val="auto"/>
        </w:rPr>
      </w:pPr>
    </w:p>
    <w:p>
      <w:pPr>
        <w:jc w:val="both"/>
        <w:ind w:left="580" w:right="599" w:hanging="6"/>
        <w:spacing w:after="0" w:line="267" w:lineRule="auto"/>
        <w:tabs>
          <w:tab w:leader="none" w:pos="82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any Preferred Stock shall remain outstanding, neither the Corporation nor any Subsidiary thereof shall directly or indirectly pay or declare any dividend or make any distribution upon, nor shall any distribution be made in respect of, any Junior Stock, nor shall any monies be set aside for or applied to the purchase or redemption (through a sinking fund or otherwise) of any Junior Stock, unless all declared and unpaid dividends on the Preferred Stock have been paid in full.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hanging="6"/>
        <w:spacing w:after="0" w:line="262" w:lineRule="auto"/>
        <w:tabs>
          <w:tab w:leader="none" w:pos="85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voluntary or involuntary liquidation, dissolution or winding up of the affairs of the Corporation (a “</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after payment or provision for payment of the debts and other liabilities of the Corporation, the Holders shall be entitled to receive, with respect to each share of Preferred Stock held before any payment shall be made or any assets distributed to the holders of any Junior Stock, $[•] per share of Preferred Stock plus all declared and unpaid dividends on each share of Preferred Stock through the date of Liquidation (collectively, the “</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xml:space="preserve">”) and second, after the full Liquidation Preference has been paid or set aside the remaining amount shall be distributed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and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to holders of Common Stock and the Holders as if each such share of Preferred Stock had been converted into Common Stock in accordance with the terms hereof immediately prior to such Liquidation.</w:t>
      </w:r>
    </w:p>
    <w:p>
      <w:pPr>
        <w:spacing w:after="0" w:line="109" w:lineRule="exact"/>
        <w:rPr>
          <w:rFonts w:ascii="Times New Roman" w:cs="Times New Roman" w:eastAsia="Times New Roman" w:hAnsi="Times New Roman"/>
          <w:sz w:val="17"/>
          <w:szCs w:val="17"/>
          <w:color w:val="auto"/>
        </w:rPr>
      </w:pPr>
    </w:p>
    <w:p>
      <w:pPr>
        <w:jc w:val="both"/>
        <w:ind w:left="580" w:right="599" w:hanging="6"/>
        <w:spacing w:after="0" w:line="270" w:lineRule="auto"/>
        <w:tabs>
          <w:tab w:leader="none" w:pos="82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in any Liquidation the assets available for payment of the Liquidation Preference are insufficient to permit the payment of the full preferential amounts described in Section 4(a) to the holders of the Preferred Stock then all the remaining available assets shall be distributed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among the holders of the then outstanding Preferred Stock in accordance with the respective aggregate Liquidation Preferences.</w:t>
      </w:r>
    </w:p>
    <w:p>
      <w:pPr>
        <w:spacing w:after="0" w:line="89" w:lineRule="exact"/>
        <w:rPr>
          <w:rFonts w:ascii="Times New Roman" w:cs="Times New Roman" w:eastAsia="Times New Roman" w:hAnsi="Times New Roman"/>
          <w:sz w:val="17"/>
          <w:szCs w:val="17"/>
          <w:color w:val="auto"/>
        </w:rPr>
      </w:pPr>
    </w:p>
    <w:p>
      <w:pPr>
        <w:jc w:val="both"/>
        <w:ind w:left="580" w:right="599" w:hanging="6"/>
        <w:spacing w:after="0" w:line="264" w:lineRule="auto"/>
        <w:tabs>
          <w:tab w:leader="none" w:pos="85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consolidation or merger of the Corporation into or with another entity nor the dissolution, liquidation, winding up or reorganization of the Corporation immediately followed by the incorporation of another corporation to which such assets are distributed or transferred, nor the sale, lease, transfer or conveyance of all or substantially all of the assets of the Corporation to another entity shall be deemed a Liquidation;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effective provision is made in the certificate of incorporation of the resulting or surviving entity or otherwise for the preservation and protection of the rights of the Holders on substantially identical terms.</w:t>
      </w: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580" w:right="579" w:hanging="6"/>
        <w:spacing w:after="0" w:line="278" w:lineRule="auto"/>
        <w:tabs>
          <w:tab w:leader="none" w:pos="8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 General</w:t>
      </w:r>
      <w:r>
        <w:rPr>
          <w:rFonts w:ascii="Times New Roman" w:cs="Times New Roman" w:eastAsia="Times New Roman" w:hAnsi="Times New Roman"/>
          <w:sz w:val="17"/>
          <w:szCs w:val="17"/>
          <w:color w:val="auto"/>
        </w:rPr>
        <w:t>. Except to the extent otherwise required by applicable Law or expressly set forth in this Section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 the Holders will vote together with the Common Stock and not as a separate class, except as required by law, on any matters on which any of the holders of Common Stock are entitled to vote.</w:t>
      </w:r>
    </w:p>
    <w:p>
      <w:pPr>
        <w:spacing w:after="0" w:line="80" w:lineRule="exact"/>
        <w:rPr>
          <w:rFonts w:ascii="Times New Roman" w:cs="Times New Roman" w:eastAsia="Times New Roman" w:hAnsi="Times New Roman"/>
          <w:sz w:val="17"/>
          <w:szCs w:val="17"/>
          <w:color w:val="auto"/>
        </w:rPr>
      </w:pPr>
    </w:p>
    <w:p>
      <w:pPr>
        <w:jc w:val="both"/>
        <w:ind w:left="580" w:right="579" w:hanging="6"/>
        <w:spacing w:after="0" w:line="267" w:lineRule="auto"/>
        <w:tabs>
          <w:tab w:leader="none" w:pos="8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Authorization of Senior Preferred Shares</w:t>
      </w:r>
      <w:r>
        <w:rPr>
          <w:rFonts w:ascii="Times New Roman" w:cs="Times New Roman" w:eastAsia="Times New Roman" w:hAnsi="Times New Roman"/>
          <w:sz w:val="17"/>
          <w:szCs w:val="17"/>
          <w:color w:val="auto"/>
        </w:rPr>
        <w:t>. Notwithstanding Section 5(a) and for so long as any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remain issued and outstanding, without the affirmative vote of the Holders of a majority of the outstanding voting power of the Preferred Stock, voting together as a single class separate from all other classes or series of capital stock of the Corporation, the Corporation shall not and shall not permit any Subsidiary to authorize or issue Senior Preferred Shares.</w:t>
      </w:r>
    </w:p>
    <w:p>
      <w:pPr>
        <w:spacing w:after="0" w:line="104" w:lineRule="exact"/>
        <w:rPr>
          <w:rFonts w:ascii="Times New Roman" w:cs="Times New Roman" w:eastAsia="Times New Roman" w:hAnsi="Times New Roman"/>
          <w:sz w:val="17"/>
          <w:szCs w:val="17"/>
          <w:color w:val="auto"/>
        </w:rPr>
      </w:pPr>
    </w:p>
    <w:p>
      <w:pPr>
        <w:jc w:val="both"/>
        <w:ind w:left="580" w:right="579" w:hanging="6"/>
        <w:spacing w:after="0" w:line="261" w:lineRule="auto"/>
        <w:tabs>
          <w:tab w:leader="none" w:pos="8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or Alteration of Terms of Preferred Stock </w:t>
      </w:r>
      <w:r>
        <w:rPr>
          <w:rFonts w:ascii="Times New Roman" w:cs="Times New Roman" w:eastAsia="Times New Roman" w:hAnsi="Times New Roman"/>
          <w:sz w:val="17"/>
          <w:szCs w:val="17"/>
          <w:color w:val="auto"/>
        </w:rPr>
        <w:t>Notwithstanding Section 5(a), the affirmative vote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Holders of a majority of the voting power of the Preferred Stock, voting together as a single class separate from all other classes or series of capital stock of the Corporation, shall be required for the approval of any amendment, alteration or repeal of any provision of this Certificate of Designations (including by merger, operation of Law or otherwise) which adversely affects the rights, preferences, privileges or voting powers of the Preferred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nothing herein contained shall require such vote or approval (i) in connection with any increase in the total number of authorized shares under the Certificate of Incorporation or any authorization, designation or increase of any class or series of shares under the Certificate of Incorporation or (ii) in connection with any consolidation, merger, combination or similar transaction in which the Corporation is the surviving entity which does not adversely affect the rights, preferences, privileges or voting powers of the Preferred Stock.</w:t>
      </w:r>
    </w:p>
    <w:p>
      <w:pPr>
        <w:spacing w:after="0" w:line="323" w:lineRule="exact"/>
        <w:rPr>
          <w:rFonts w:ascii="Times New Roman" w:cs="Times New Roman" w:eastAsia="Times New Roman" w:hAnsi="Times New Roman"/>
          <w:sz w:val="17"/>
          <w:szCs w:val="17"/>
          <w:color w:val="auto"/>
        </w:rPr>
      </w:pPr>
    </w:p>
    <w:p>
      <w:pPr>
        <w:ind w:left="580" w:right="599" w:hanging="6"/>
        <w:spacing w:after="0" w:line="299" w:lineRule="auto"/>
        <w:tabs>
          <w:tab w:leader="none" w:pos="8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One Vote Per Share. </w:t>
      </w:r>
      <w:r>
        <w:rPr>
          <w:rFonts w:ascii="Times New Roman" w:cs="Times New Roman" w:eastAsia="Times New Roman" w:hAnsi="Times New Roman"/>
          <w:sz w:val="17"/>
          <w:szCs w:val="17"/>
          <w:color w:val="auto"/>
        </w:rPr>
        <w:t>On any matter on which Holders are entitled to vote pursuant to this Section 5,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will have one (1) vote per share.</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[Reserved].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hanging="6"/>
        <w:spacing w:after="0" w:line="267" w:lineRule="auto"/>
        <w:tabs>
          <w:tab w:leader="none" w:pos="83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Preferred Stock shall be convertible, in whole or in part, at any time and from time to time from and after the Funding Date, at the option of the Holder thereof, at a rate equal to the quotient of (i) $[•], divided by (ii) the volume weighted average price for the 20 trading days during the 30-day period immediately prior to such conversion, provided that in no event shall the denominator be less than $[•] per share (the “</w:t>
      </w: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 Holders shall effect conversions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 xml:space="preserve">by providing the Corporation with the form of conversion notice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Notice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such Notice of Conversion to the Corporation (such date, the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If no Conversion Date is specified in a Notice of Conversion, the Conversion Date shall be the date such Notice of Conversion to the Corporation is deemed delivered hereunder. Upon delivery of the Notice of Conversion by a Holder, such Holder shall be deemed for all corporate purposes to have become the holder of record of the Conversion Shares with respect to which the Preferred Stock has been converted, irrespective of date of delivery of such Conversion Shares.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Shares of Preferred Stock converted into Common Stock in accordance with the terms hereof shall be canceled and shall not be reissued. In addition, all of the outstanding shares of Preferred Stock shall mandatorily and automatically convert into shares of Common Stock in accordance with this Section 7 upon the affirmative vote of a majority of the issued and outstanding shares of Preferred Stock.</w:t>
      </w:r>
    </w:p>
    <w:p>
      <w:pPr>
        <w:spacing w:after="0" w:line="332" w:lineRule="exact"/>
        <w:rPr>
          <w:sz w:val="20"/>
          <w:szCs w:val="20"/>
          <w:color w:val="auto"/>
        </w:rPr>
      </w:pPr>
    </w:p>
    <w:p>
      <w:pPr>
        <w:ind w:left="820" w:hanging="246"/>
        <w:spacing w:after="0"/>
        <w:tabs>
          <w:tab w:leader="none" w:pos="8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Mechanics of Conversion.</w:t>
      </w:r>
    </w:p>
    <w:p>
      <w:pPr>
        <w:spacing w:after="0" w:line="158" w:lineRule="exact"/>
        <w:rPr>
          <w:rFonts w:ascii="Times New Roman" w:cs="Times New Roman" w:eastAsia="Times New Roman" w:hAnsi="Times New Roman"/>
          <w:sz w:val="17"/>
          <w:szCs w:val="17"/>
          <w:color w:val="auto"/>
        </w:rPr>
      </w:pPr>
    </w:p>
    <w:p>
      <w:pPr>
        <w:jc w:val="both"/>
        <w:ind w:left="580" w:right="579" w:firstLine="833"/>
        <w:spacing w:after="0" w:line="262" w:lineRule="auto"/>
        <w:tabs>
          <w:tab w:leader="none" w:pos="166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later than the earlier of (i) two (2) Trading Days and (ii) the number of Trading Days comprising the Standard Settlement Period (as defined below) after each Conversion Date (the “</w:t>
      </w:r>
      <w:r>
        <w:rPr>
          <w:rFonts w:ascii="Times New Roman" w:cs="Times New Roman" w:eastAsia="Times New Roman" w:hAnsi="Times New Roman"/>
          <w:sz w:val="17"/>
          <w:szCs w:val="17"/>
          <w:u w:val="single" w:color="auto"/>
          <w:color w:val="auto"/>
        </w:rPr>
        <w:t>Share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the Corporation shall deliver, or cause to be delivered, to the converting Holder (A) the number of Conversion Shares being acquired upon the conversion of the Preferred Stock and (B) at the option of the holder</w:t>
      </w:r>
    </w:p>
    <w:p>
      <w:pPr>
        <w:spacing w:after="0" w:line="2" w:lineRule="exact"/>
        <w:rPr>
          <w:rFonts w:ascii="Times New Roman" w:cs="Times New Roman" w:eastAsia="Times New Roman" w:hAnsi="Times New Roman"/>
          <w:sz w:val="17"/>
          <w:szCs w:val="17"/>
          <w:color w:val="auto"/>
        </w:rPr>
      </w:pPr>
    </w:p>
    <w:p>
      <w:pPr>
        <w:jc w:val="both"/>
        <w:ind w:left="580" w:right="579" w:hanging="6"/>
        <w:spacing w:after="0" w:line="257" w:lineRule="auto"/>
        <w:tabs>
          <w:tab w:leader="none" w:pos="79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Dividend Shares or (ii) cash, in each case, in the amount of declared and unpaid dividends on the shares of Preferred Stock subject to conversion. The Corporation shall deliver the Conversion Shares electronically through the Depository Trust Corporation or another established clearing corporation performing similar functions.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Corporation’s primary Trading Market with respect to the Common Stock as in effect on the date of delivery of the Notice of Conversion, but in no event earlier than one</w:t>
      </w:r>
    </w:p>
    <w:p>
      <w:pPr>
        <w:spacing w:after="0" w:line="1" w:lineRule="exact"/>
        <w:rPr>
          <w:rFonts w:ascii="Times New Roman" w:cs="Times New Roman" w:eastAsia="Times New Roman" w:hAnsi="Times New Roman"/>
          <w:sz w:val="17"/>
          <w:szCs w:val="17"/>
          <w:color w:val="auto"/>
        </w:rPr>
      </w:pPr>
    </w:p>
    <w:p>
      <w:pPr>
        <w:jc w:val="both"/>
        <w:ind w:left="580" w:right="59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Trading Day after each Conversion Date. To the extent that the Conversion Shares are subject to an effective registration covering the issuance of such Conversion Shares to, or resale of such Conversion Shares by, the Holder, then such Conversion Shares shall be issued free and clear of any restrictive legends.</w:t>
      </w:r>
    </w:p>
    <w:p>
      <w:pPr>
        <w:spacing w:after="0" w:line="94" w:lineRule="exact"/>
        <w:rPr>
          <w:rFonts w:ascii="Times New Roman" w:cs="Times New Roman" w:eastAsia="Times New Roman" w:hAnsi="Times New Roman"/>
          <w:sz w:val="17"/>
          <w:szCs w:val="17"/>
          <w:color w:val="auto"/>
        </w:rPr>
      </w:pPr>
    </w:p>
    <w:p>
      <w:pPr>
        <w:jc w:val="both"/>
        <w:ind w:left="580" w:right="579" w:firstLine="833"/>
        <w:spacing w:after="0" w:line="265" w:lineRule="auto"/>
        <w:tabs>
          <w:tab w:leader="none" w:pos="168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the case of any Notice of Conversion, such Conversion Shares are not delivered to or as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spacing w:after="0" w:line="106" w:lineRule="exact"/>
        <w:rPr>
          <w:rFonts w:ascii="Times New Roman" w:cs="Times New Roman" w:eastAsia="Times New Roman" w:hAnsi="Times New Roman"/>
          <w:sz w:val="17"/>
          <w:szCs w:val="17"/>
          <w:color w:val="auto"/>
        </w:rPr>
      </w:pPr>
    </w:p>
    <w:p>
      <w:pPr>
        <w:jc w:val="both"/>
        <w:ind w:left="580" w:right="579" w:firstLine="833"/>
        <w:spacing w:after="0" w:line="261" w:lineRule="auto"/>
        <w:tabs>
          <w:tab w:leader="none" w:pos="1745"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delivery shall not operate as a waiver by the Corporation of any such action that the Corporation may have against such Holder.</w:t>
      </w:r>
    </w:p>
    <w:p>
      <w:pPr>
        <w:spacing w:after="0" w:line="326" w:lineRule="exact"/>
        <w:rPr>
          <w:rFonts w:ascii="Times New Roman" w:cs="Times New Roman" w:eastAsia="Times New Roman" w:hAnsi="Times New Roman"/>
          <w:sz w:val="17"/>
          <w:szCs w:val="17"/>
          <w:color w:val="auto"/>
        </w:rPr>
      </w:pPr>
    </w:p>
    <w:p>
      <w:pPr>
        <w:jc w:val="both"/>
        <w:ind w:left="580" w:right="579" w:firstLine="833"/>
        <w:spacing w:after="0" w:line="262" w:lineRule="auto"/>
        <w:tabs>
          <w:tab w:leader="none" w:pos="175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covenants that it will at all times reserve and keep available out of its authorized and unissued shares of Common Stock for the sole purpose of issuance upon conversion of the Preferred Stock and payment of dividends on the Preferred Stock, each as provided herein,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Preferred Stock and payment of dividends hereunder. The Corporation covenants that all shares of Common Stock that shall be so issuable shall, upon issue, be duly authorized, validly issued, fully paid and nonassessable.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833"/>
        <w:spacing w:after="0" w:line="263" w:lineRule="auto"/>
        <w:tabs>
          <w:tab w:leader="none" w:pos="167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Rate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111" w:lineRule="exact"/>
        <w:rPr>
          <w:rFonts w:ascii="Times New Roman" w:cs="Times New Roman" w:eastAsia="Times New Roman" w:hAnsi="Times New Roman"/>
          <w:sz w:val="17"/>
          <w:szCs w:val="17"/>
          <w:color w:val="auto"/>
        </w:rPr>
      </w:pPr>
    </w:p>
    <w:p>
      <w:pPr>
        <w:jc w:val="both"/>
        <w:ind w:left="580" w:right="579" w:firstLine="833"/>
        <w:spacing w:after="0" w:line="261" w:lineRule="auto"/>
        <w:tabs>
          <w:tab w:leader="none" w:pos="171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Corporation (or another established clearing corporation performing similar functions) required for same-day electronic delivery of the Conversion Shares.</w:t>
      </w:r>
    </w:p>
    <w:p>
      <w:pPr>
        <w:spacing w:after="0" w:line="110" w:lineRule="exact"/>
        <w:rPr>
          <w:rFonts w:ascii="Times New Roman" w:cs="Times New Roman" w:eastAsia="Times New Roman" w:hAnsi="Times New Roman"/>
          <w:sz w:val="17"/>
          <w:szCs w:val="17"/>
          <w:color w:val="auto"/>
        </w:rPr>
      </w:pPr>
    </w:p>
    <w:p>
      <w:pPr>
        <w:jc w:val="both"/>
        <w:ind w:left="580" w:right="579" w:hanging="6"/>
        <w:spacing w:after="0" w:line="258" w:lineRule="auto"/>
        <w:tabs>
          <w:tab w:leader="none" w:pos="82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while the Preferred Stock is outstanding, (i) the Corporation, directly or indirectly, in one or more related transactions is a party to any merger or consolidation of the Corporation, (ii) the Corporation, directly or indirectly, effects any sale, lease, license, assignment, transfer, conveyance or other disposition of all or substantially all of its assets in one or a series of related transactions other than in the ordinary course of business, (iii) any, direct or indirect, purchase offer, tender offer or exchange offer (whether by the Corporation or another Person) is completed, (iv) the Corporation, directly or indirectly, in one or more related transactions effects any reclassification, reorganization or recapitalization of the Common Stock or any compulsory share exchange, in each case pursuant to which the Common Stock is converted into, exchanged for or represents solely the right to receive, other securities, cash or property, or any combination thereof (such other securities, cash or property, or combination thereof, the “</w:t>
      </w:r>
      <w:r>
        <w:rPr>
          <w:rFonts w:ascii="Times New Roman" w:cs="Times New Roman" w:eastAsia="Times New Roman" w:hAnsi="Times New Roman"/>
          <w:sz w:val="17"/>
          <w:szCs w:val="17"/>
          <w:u w:val="single" w:color="auto"/>
          <w:color w:val="auto"/>
        </w:rPr>
        <w:t>Reference Property</w:t>
      </w:r>
      <w:r>
        <w:rPr>
          <w:rFonts w:ascii="Times New Roman" w:cs="Times New Roman" w:eastAsia="Times New Roman" w:hAnsi="Times New Roman"/>
          <w:sz w:val="17"/>
          <w:szCs w:val="17"/>
          <w:color w:val="auto"/>
        </w:rPr>
        <w:t>,” and the amount and kind of Reference Property that a holder of one share of Common Stock would be entitled to receive on account of such transaction, a “Reference Property Unit”) (each such transaction,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notwithstanding anything to the contrary herein, (I) at the effective time of such Fundamental Transaction, the Conversion Shares due upon conversion of any Preferred Stock shall be determined in the same manner as if each reference to any number of shares of Common Stock in this Certificate of Designation were instead a reference to the same number of Reference Property Units and (II) if such Reference Property Unit consists of any security of a Person other than the Corporation, then such Person (and, as a condition to the Corporation effecting such Fundamental Transaction, the Corporation shall ensure that such Person) shall execute such instruments as shall be necessary to give effect to this Section 7(c). If holders of Common Stock are given any choice as to the securities, cash or property to be received in such Fundamental Transaction, then each Holder shall be given the same choice as to the Reference Property Unit it receives upon any conversion of the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Reference Property Units. The Corporation shall cause any successor entity in a Fundamental Transaction in which the Corporation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Corporation under this Certificate of Designation and the other Transaction Documents in accordance with the provisions of this Section 7(c) pursuant to written agreements in form and substance reasonably satisfactory to the Holders and approved by the Holders (without unreasonable delay) prior to such Fundamental Transaction and shall, at the option of the Holders, deliver to the Holder in exchange for the Preferred Stock a security of the Successor Entity evidenced by a written instrument substantially similar in form and substance to the Preferred Stock which is convertible in accordance with this Section 7(c), and which is reasonably satisfactory in form and substance to the Holders. Upon the occurrence of any such Fundamental Transaction, the Successor Entity shall succeed to, and, except in the case of a lease,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Adjustments; Rights of Holders Upon Certain Dividends, Distributions or Fundamental Transactions.</w:t>
      </w:r>
    </w:p>
    <w:p>
      <w:pPr>
        <w:spacing w:after="0" w:line="158" w:lineRule="exact"/>
        <w:rPr>
          <w:sz w:val="20"/>
          <w:szCs w:val="20"/>
          <w:color w:val="auto"/>
        </w:rPr>
      </w:pPr>
    </w:p>
    <w:p>
      <w:pPr>
        <w:jc w:val="both"/>
        <w:ind w:left="580" w:right="579" w:hanging="6"/>
        <w:spacing w:after="0" w:line="262" w:lineRule="auto"/>
        <w:tabs>
          <w:tab w:leader="none" w:pos="85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at any time while any Preferred Stock is outstanding: (i) pays a stock dividend or otherwise makes a distribution or distributions payable in shares of Common Stock on shares of Common Stock, (ii) subdivides outstanding shares of Common Stock into a larger number of shares or (iii) combines (including by way of a reverse stock split) outstanding shares of Common Stock into a smaller number of shares, then the Conversion Rate shall be adjusted to equal an amount equal to such Conversion Rate immediately before such adjustment multiplied by a fraction of which the numerator shall be the number of shares of Common Stock outstanding immediately before giving effect to such event, and of which the denominator shall be the number of shares of Common Stock outstanding immediately after giving effect to such event as applicable.</w:t>
      </w:r>
    </w:p>
    <w:p>
      <w:pPr>
        <w:spacing w:after="0" w:line="323" w:lineRule="exact"/>
        <w:rPr>
          <w:rFonts w:ascii="Times New Roman" w:cs="Times New Roman" w:eastAsia="Times New Roman" w:hAnsi="Times New Roman"/>
          <w:sz w:val="17"/>
          <w:szCs w:val="17"/>
          <w:color w:val="auto"/>
        </w:rPr>
      </w:pPr>
    </w:p>
    <w:p>
      <w:pPr>
        <w:jc w:val="both"/>
        <w:ind w:left="580" w:right="579" w:hanging="6"/>
        <w:spacing w:after="0" w:line="261" w:lineRule="auto"/>
        <w:tabs>
          <w:tab w:leader="none" w:pos="82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without duplication of any dividends to be due on Preferred Stock pursuant to Section 3(a), each Holder will be entitled to acquire, upon the terms applicable to such Purchase Rights, the aggregate Purchase Rights which the Holder could have acquired if such Holder had held the number of shares of Common Stock acquirable upon conversion of such Holder’s Preferred Stock (without regard to any limitations on exercise hereof) on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318" w:lineRule="exact"/>
        <w:rPr>
          <w:rFonts w:ascii="Times New Roman" w:cs="Times New Roman" w:eastAsia="Times New Roman" w:hAnsi="Times New Roman"/>
          <w:sz w:val="17"/>
          <w:szCs w:val="17"/>
          <w:color w:val="auto"/>
        </w:rPr>
      </w:pPr>
    </w:p>
    <w:p>
      <w:pPr>
        <w:jc w:val="both"/>
        <w:ind w:left="580" w:right="579" w:hanging="6"/>
        <w:spacing w:after="0" w:line="258" w:lineRule="auto"/>
        <w:tabs>
          <w:tab w:leader="none" w:pos="8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calculations under this Section 8 shall be made to the nearest cent or the nearest 1/100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a share, as the case may be. For purposes of this Section 8, the number of shares of Common Stock deemed to be issued and outstanding as of a given date shall be the sum of the number of shares of Common Stock (excluding any treasury shares of the Corporation) issued and outstanding.</w:t>
      </w:r>
    </w:p>
    <w:p>
      <w:pPr>
        <w:spacing w:after="0" w:line="113"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to Holders.</w:t>
      </w:r>
    </w:p>
    <w:p>
      <w:pPr>
        <w:spacing w:after="0" w:line="158" w:lineRule="exact"/>
        <w:rPr>
          <w:rFonts w:ascii="Times New Roman" w:cs="Times New Roman" w:eastAsia="Times New Roman" w:hAnsi="Times New Roman"/>
          <w:sz w:val="17"/>
          <w:szCs w:val="17"/>
          <w:color w:val="auto"/>
        </w:rPr>
      </w:pPr>
    </w:p>
    <w:p>
      <w:pPr>
        <w:jc w:val="both"/>
        <w:ind w:left="780" w:right="599" w:firstLine="842"/>
        <w:spacing w:after="0" w:line="276" w:lineRule="auto"/>
        <w:tabs>
          <w:tab w:leader="none" w:pos="1848"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Conversion Rate is adjusted pursuant to any provision of this Section 8, the Corporation shall promptly deliver to each Holder a notice setting forth the Conversion Rate after such adjustment and setting forth a brief statement of the facts requiring such adjustment.</w:t>
      </w:r>
    </w:p>
    <w:p>
      <w:pPr>
        <w:spacing w:after="0" w:line="85" w:lineRule="exact"/>
        <w:rPr>
          <w:rFonts w:ascii="Times New Roman" w:cs="Times New Roman" w:eastAsia="Times New Roman" w:hAnsi="Times New Roman"/>
          <w:sz w:val="17"/>
          <w:szCs w:val="17"/>
          <w:color w:val="auto"/>
        </w:rPr>
      </w:pPr>
    </w:p>
    <w:p>
      <w:pPr>
        <w:jc w:val="both"/>
        <w:ind w:left="780" w:right="579" w:firstLine="842"/>
        <w:spacing w:after="0" w:line="259" w:lineRule="auto"/>
        <w:tabs>
          <w:tab w:leader="none" w:pos="188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Preferred Stock, and shall cause to be delivered to each Holder at its last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share exchange, dissolution, liquidation or winding up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share exchange, dissolution, liquidation or winding up, provided that the failure to deliver such notice or any defect therein or in the delivery thereof shall not affect the validity of the corporate action required to be specified in such notice.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Repurchased or Reacquired Shares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Shares of Preferred Stock that have been repurchased or reacquired by the Corporation shall be restored to the status of authorized, unissued and undesignated shares that shall be available for future issuance.</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Record Holders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To the fullest extent permitted by applicable Law, the Corporation and the Corporation’s transfer agent for the Preferred Stock may deem and treat the Holder of any share of Preferred Stock as the true and lawful owner thereof for all purposes, and neither the Corporation nor such transfer agent shall be affected by any notice to the contrary.</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spacing w:after="0" w:line="289" w:lineRule="auto"/>
        <w:rPr>
          <w:sz w:val="20"/>
          <w:szCs w:val="20"/>
          <w:color w:val="auto"/>
        </w:rPr>
      </w:pPr>
      <w:r>
        <w:rPr>
          <w:rFonts w:ascii="Times New Roman" w:cs="Times New Roman" w:eastAsia="Times New Roman" w:hAnsi="Times New Roman"/>
          <w:sz w:val="17"/>
          <w:szCs w:val="17"/>
          <w:color w:val="auto"/>
        </w:rPr>
        <w:t>Except as otherwise expressly provided hereunder, all notices and other communications referred to herein shall be in writing and delivered personally or sent by e-mail or by reputable overnight courier service, charges prepaid:</w:t>
      </w:r>
    </w:p>
    <w:p>
      <w:pPr>
        <w:spacing w:after="0" w:line="289" w:lineRule="exact"/>
        <w:rPr>
          <w:sz w:val="20"/>
          <w:szCs w:val="20"/>
          <w:color w:val="auto"/>
        </w:rPr>
      </w:pPr>
    </w:p>
    <w:p>
      <w:pPr>
        <w:ind w:left="580" w:right="599" w:hanging="6"/>
        <w:spacing w:after="0" w:line="296" w:lineRule="auto"/>
        <w:tabs>
          <w:tab w:leader="none" w:pos="82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Corporation as follows, or as otherwise specified in a written notice given to each of the Holders in accordance with this Section 11:</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CID HoldCo, Inc.</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Attention: [•]</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E-mail: [•]</w:t>
      </w:r>
    </w:p>
    <w:p>
      <w:pPr>
        <w:spacing w:after="0" w:line="140" w:lineRule="exact"/>
        <w:rPr>
          <w:sz w:val="20"/>
          <w:szCs w:val="20"/>
          <w:color w:val="auto"/>
        </w:rPr>
      </w:pPr>
    </w:p>
    <w:p>
      <w:pPr>
        <w:jc w:val="both"/>
        <w:ind w:left="580" w:right="579" w:hanging="6"/>
        <w:spacing w:after="0" w:line="262" w:lineRule="auto"/>
        <w:tabs>
          <w:tab w:leader="none" w:pos="83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any Holder, by e-mail if such Holder has provided an e-mail address to the Corporation or its transfer agent for purposes of notification, or, if no such e-mail address is available, to such Holder’s address as it appears in the stock records of the Corporation or as otherwise specified in a written notice given by such Holder to the Corporation or, at the Corporation’s option with respect to any notice from the Corporation to a Holder, in accordance with customary practices of the Corporation’s transfer agent. Any such notice or communication given as provided above shall be deemed received by the receiving party upon: actual receipt, if delivered personally; actual delivery, if delivered in accordance with customary practices of the Corporation’s transfer agent; on the next Business Day after deposit with an overnight courier, if sent by an overnight courier; or on the next Business Day after transmission, if sent by e-mail.</w:t>
      </w:r>
    </w:p>
    <w:p>
      <w:pPr>
        <w:spacing w:after="0" w:line="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Absolute Obligation.</w:t>
      </w:r>
    </w:p>
    <w:p>
      <w:pPr>
        <w:spacing w:after="0" w:line="15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Except as expressly provided herein, no provision of this Certificate of Designation shall alter or impair the obligation of the Corporation, which is absolute and unconditional, to pay liquidated damages, declared and unpaid dividends and accrued interest, as applicable, on the shares of Preferred Stock at the time, place, and rate, and in the coin or currency, herein prescribed.</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Replacement Certificates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 and any other documentation as may be required by the Corporation’s transfer agent.</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Waiver.</w:t>
      </w:r>
    </w:p>
    <w:p>
      <w:pPr>
        <w:spacing w:after="0" w:line="158"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Next Business Day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Whenever any payment or other obligation hereunder shall be due on a day other than a Business Day, such payment shall be made on the next succeeding Business Day.</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headings contained herein are for convenience only, do not constitute a part of this Certificate of Designation and shall not be deemed to limit or affect any of the provisions hereof.</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Status of Converted Preferred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Shares of Preferred Stock may only be issued pursuant to the Purchase Agreement. If any shares of Preferred Stock shall be converted or reacquired by the Corporation, such shares shall resume the status of authorized but unissued shares of preferred stock and shall no longer be designated as Series [A] Convertible Preferred Stock.</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Other Rights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shares of Preferred Stock shall not have any rights, preferences, privileges or voting powers or relative, participating, optional or other special rights, or qualifications, limitations or restrictions thereof, other than as set forth herein or in the Certificate of Incorporation or as required by applicable Law.</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Capitalized terms used and not otherwise defined in this Certificate of Designations shall have their respective meanings as defined below:</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has the meaning set forth in the preamble.</w:t>
      </w:r>
    </w:p>
    <w:p>
      <w:pPr>
        <w:spacing w:after="0" w:line="15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 Saturday, a Sunday and any day which is a federal legal holiday in the United States or any day on which banking institutions in the State of New York are authorized or required by law or other governmental action to close.</w:t>
      </w:r>
    </w:p>
    <w:p>
      <w:pPr>
        <w:spacing w:after="0" w:line="9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means this Certificate of Designation relating to the Preferred Stock, as it may be amended from time to time.</w:t>
      </w:r>
    </w:p>
    <w:p>
      <w:pPr>
        <w:spacing w:after="0" w:line="6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means the Amended and Restated Certificate of Incorporation of the Corporation, as it may be amended from time to time, and shall include this Certificate of Designation.</w:t>
      </w:r>
    </w:p>
    <w:p>
      <w:pPr>
        <w:spacing w:after="0" w:line="81"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Corporation, par value $0.0001 per share, and stock of any other class of securities into which such securities may hereafter be reclassified or changed.</w:t>
      </w:r>
    </w:p>
    <w:p>
      <w:pPr>
        <w:spacing w:after="0" w:line="6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Corporation or the Subsidiaries which would entitle the holder thereof to acquire at any time Common Stock, including, without limitation, preferred stock, rights, options, warrants or other instrument that is at any time convertible into or exercisable or exchangeable for, or otherwise entitles the holder thereof to receive, Common Stock.</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shall have the meaning set forth in Section 7(a).</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 has the meaning set forth in Section 7(a).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has the meaning set forth in the preamble.</w:t>
      </w:r>
    </w:p>
    <w:p>
      <w:pPr>
        <w:spacing w:after="0" w:line="15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means, collectively, the shares of Common Stock issuable upon conversion of the shares of Preferred Stock in accordance with the terms hereof.</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 Payment Date</w:t>
      </w:r>
      <w:r>
        <w:rPr>
          <w:rFonts w:ascii="Times New Roman" w:cs="Times New Roman" w:eastAsia="Times New Roman" w:hAnsi="Times New Roman"/>
          <w:sz w:val="17"/>
          <w:szCs w:val="17"/>
          <w:color w:val="auto"/>
        </w:rPr>
        <w:t>” shall have the meaning set forth in Section 3(a).</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 Shares</w:t>
      </w:r>
      <w:r>
        <w:rPr>
          <w:rFonts w:ascii="Times New Roman" w:cs="Times New Roman" w:eastAsia="Times New Roman" w:hAnsi="Times New Roman"/>
          <w:sz w:val="17"/>
          <w:szCs w:val="17"/>
          <w:color w:val="auto"/>
        </w:rPr>
        <w:t>” shall have the meaning set forth in Section 3(a).</w:t>
      </w:r>
    </w:p>
    <w:p>
      <w:pPr>
        <w:spacing w:after="0" w:line="15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U.S. Securities Exchange Act of 1934, as amended (or any successor legislation which shall be in effect at the time).</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shall have the meaning set forth in Section 7(c).</w:t>
      </w:r>
    </w:p>
    <w:p>
      <w:pPr>
        <w:spacing w:after="0" w:line="145"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Funding Date</w:t>
      </w:r>
      <w:r>
        <w:rPr>
          <w:rFonts w:ascii="Times New Roman" w:cs="Times New Roman" w:eastAsia="Times New Roman" w:hAnsi="Times New Roman"/>
          <w:sz w:val="17"/>
          <w:szCs w:val="17"/>
          <w:color w:val="auto"/>
        </w:rPr>
        <w:t>” shall mean the date on which shares of Preferred Stock are first issued to the initial Holder(s) thereof.</w:t>
      </w:r>
    </w:p>
    <w:p>
      <w:pPr>
        <w:spacing w:after="0" w:line="8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United States, European Union, national, federal, state, provincial, county, municipal or other local government or governmental department, commission, board, bureau, agency or instrumentality, or any court, in each case whether of the United States of America or any other country applicable to a specified Person.</w:t>
      </w:r>
    </w:p>
    <w:p>
      <w:pPr>
        <w:spacing w:after="0" w:line="10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means a holder of record of one (1) or more shares of Preferred Stock, as reflected in the stock records of the Corporation or the transfer agent, which may be treated by the Corporation and the transfer agent as the absolute owner of such shares for all purposes to the fullest extent permitted by applicable Law.</w:t>
      </w:r>
    </w:p>
    <w:p>
      <w:pPr>
        <w:spacing w:after="0" w:line="8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Junior Stock</w:t>
      </w:r>
      <w:r>
        <w:rPr>
          <w:rFonts w:ascii="Times New Roman" w:cs="Times New Roman" w:eastAsia="Times New Roman" w:hAnsi="Times New Roman"/>
          <w:sz w:val="17"/>
          <w:szCs w:val="17"/>
          <w:color w:val="auto"/>
        </w:rPr>
        <w:t>” means the Common Stock and any other class or series of equity securities of the Corporation, whether currently issued or issued in the future, which ranks junior to the Preferred Stock either or both as to the payment of dividends and/or as to the distribution of assets on any Liquidation.</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statute, law, ordinance, rule or regulation of any Governmental Authority.</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has the meaning set forth in Section 4(a).</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 Preference</w:t>
      </w:r>
      <w:r>
        <w:rPr>
          <w:rFonts w:ascii="Times New Roman" w:cs="Times New Roman" w:eastAsia="Times New Roman" w:hAnsi="Times New Roman"/>
          <w:sz w:val="17"/>
          <w:szCs w:val="17"/>
          <w:color w:val="auto"/>
        </w:rPr>
        <w:t>” has the meaning set forth in Section 4(a).</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shall have the meaning set forth in Section 7(a).</w:t>
      </w:r>
    </w:p>
    <w:p>
      <w:pPr>
        <w:spacing w:after="0" w:line="15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partnership, limited liability company, estate, trust, common or collective fund, association, private foundation, joint stock company or other entity and includes a group as that term is used for purposes of Section 13(d)(3) of the Exchange Act.</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has the meaning set forth in Section 1.</w:t>
      </w:r>
    </w:p>
    <w:p>
      <w:pPr>
        <w:spacing w:after="0" w:line="15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Preferred Shares</w:t>
      </w:r>
      <w:r>
        <w:rPr>
          <w:rFonts w:ascii="Times New Roman" w:cs="Times New Roman" w:eastAsia="Times New Roman" w:hAnsi="Times New Roman"/>
          <w:sz w:val="17"/>
          <w:szCs w:val="17"/>
          <w:color w:val="auto"/>
        </w:rPr>
        <w:t>” means shares of capital stock that are of senior or pari passu rank to the Preferred Stock in respect of the preferences as to dividends, distributions and payments upon the liquidation, dissolution and winding up of the Corporation.</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shall have the meaning set forth in Section 7(b)(i).</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shall have the meaning set forth in Section 1.</w:t>
      </w:r>
    </w:p>
    <w:p>
      <w:pPr>
        <w:spacing w:after="0" w:line="15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Subscription Agreement</w:t>
      </w:r>
      <w:r>
        <w:rPr>
          <w:rFonts w:ascii="Times New Roman" w:cs="Times New Roman" w:eastAsia="Times New Roman" w:hAnsi="Times New Roman"/>
          <w:sz w:val="17"/>
          <w:szCs w:val="17"/>
          <w:color w:val="auto"/>
        </w:rPr>
        <w:t>” means the Subscription Agreement, dated [•] 2026, among the Corporation and the original Holders, as amended, modified or supplemented from time to time in accordance with its terms.</w:t>
      </w:r>
    </w:p>
    <w:p>
      <w:pPr>
        <w:spacing w:after="0" w:line="6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Corporation and shall, where applicable, also include any direct or indirect subsidiary of the Corporation formed or acquired after the date of the Purchase Agreement.</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shall have the meaning set forth in Section 7(c).</w:t>
      </w:r>
    </w:p>
    <w:p>
      <w:pPr>
        <w:spacing w:after="0" w:line="18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principal Trading Market is open for business.</w:t>
      </w:r>
    </w:p>
    <w:p>
      <w:pPr>
        <w:spacing w:after="0" w:line="15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0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this Certificate of Designation, the Subscription Agreement, all exhibits and schedules thereto and hereto and any other documents or agreements executed in connection with the transactions contemplated pursuant to the Subscription Agreement.</w:t>
      </w:r>
    </w:p>
    <w:p>
      <w:pPr>
        <w:spacing w:after="0" w:line="85"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means Continental Stock Transfer &amp; Trust Corporation, the current transfer agent of the Corporation, and any successor transfer agent of the 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IN WITNESS WHEREOF, the undersigned has caused this Certificate of Designation to be executed by its duly authorized officer on this ___ day of [•], 2026.</w:t>
      </w:r>
    </w:p>
    <w:p>
      <w:pPr>
        <w:spacing w:after="0" w:line="1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CID HoldCo, Inc.</w:t>
      </w:r>
    </w:p>
    <w:p>
      <w:pPr>
        <w:spacing w:after="0" w:line="2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6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60"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6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NOTICE OF CONVERSION</w:t>
      </w:r>
    </w:p>
    <w:p>
      <w:pPr>
        <w:spacing w:after="0" w:line="32" w:lineRule="exact"/>
        <w:rPr>
          <w:sz w:val="20"/>
          <w:szCs w:val="20"/>
          <w:color w:val="auto"/>
        </w:rPr>
      </w:pPr>
    </w:p>
    <w:p>
      <w:pPr>
        <w:jc w:val="center"/>
        <w:ind w:left="580" w:right="599"/>
        <w:spacing w:after="0" w:line="274" w:lineRule="auto"/>
        <w:rPr>
          <w:sz w:val="20"/>
          <w:szCs w:val="20"/>
          <w:color w:val="auto"/>
        </w:rPr>
      </w:pPr>
      <w:r>
        <w:rPr>
          <w:rFonts w:ascii="Times New Roman" w:cs="Times New Roman" w:eastAsia="Times New Roman" w:hAnsi="Times New Roman"/>
          <w:sz w:val="17"/>
          <w:szCs w:val="17"/>
          <w:color w:val="auto"/>
        </w:rPr>
        <w:t>(TO BE EXECUTED BY THE REGISTERED HOLDER IN ORDER TO CONVERT SHARES OF SERIES [A] CONVERTIBLE PREFERRED STOCK)</w:t>
      </w:r>
    </w:p>
    <w:p>
      <w:pPr>
        <w:spacing w:after="0" w:line="99"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The undersigned hereby elects to convert the number of shares of Series [A] Convertible Preferred Stock, par value $0.0001 per share (the “Preferred Stock”), of CID HoldCo, Inc., a Delaware corporation (the “Corporation”), indicated below into shares of common stock, par value $0.0001 per share (the “Common Stock”), of the Corporation, in accordance with the Certificate of Designation governing such Preferred Stock,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No fee will be charged to the Holders for any conversion, except for any such transfer taxes.</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Conversion calculations: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Date to Effect Conversion: _______________</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Number of shares of Preferred Stock owned prior to Conversion: _______________</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Number of shares of Preferred Stock to be Converted: _______________</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Stated  Value  plus  Declared  and  Unpaid  Dividends  of  shares  of  Preferred  Stock  to  be  Converted: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Number of shares of Common Stock to be Issued: _______________</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Applicable Conversion Price: _______________</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Number of shares of Preferred Stock subsequent to Conversion: _______________</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Address for Delivery: _______________</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Or DWAC Instructions:</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Broker no: _______________</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Account no: _______________</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[HOLDER]</w:t>
      </w:r>
    </w:p>
    <w:p>
      <w:pPr>
        <w:spacing w:after="0" w:line="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b w:val="1"/>
          <w:bCs w:val="1"/>
          <w:color w:val="auto"/>
        </w:rPr>
        <w:t>Appendix C</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AMENDMENT TO THE CID HOLDCO, INC. 2024 EQUITY INCENTIVE PLAN</w:t>
      </w:r>
    </w:p>
    <w:p>
      <w:pPr>
        <w:spacing w:after="0" w:line="160" w:lineRule="exact"/>
        <w:rPr>
          <w:sz w:val="20"/>
          <w:szCs w:val="20"/>
          <w:color w:val="auto"/>
        </w:rPr>
      </w:pPr>
    </w:p>
    <w:p>
      <w:pPr>
        <w:ind w:left="580" w:right="599" w:firstLine="629"/>
        <w:spacing w:after="0" w:line="296" w:lineRule="auto"/>
        <w:rPr>
          <w:sz w:val="20"/>
          <w:szCs w:val="20"/>
          <w:color w:val="auto"/>
        </w:rPr>
      </w:pPr>
      <w:r>
        <w:rPr>
          <w:rFonts w:ascii="Times New Roman" w:cs="Times New Roman" w:eastAsia="Times New Roman" w:hAnsi="Times New Roman"/>
          <w:sz w:val="17"/>
          <w:szCs w:val="17"/>
          <w:color w:val="auto"/>
        </w:rPr>
        <w:t>WHEREAS, CID Holdco, Inc. (the “Company”) maintains the CID Holdco, Inc. 2024 Equity Incentive Plan (the “Plan”); and</w:t>
      </w:r>
    </w:p>
    <w:p>
      <w:pPr>
        <w:spacing w:after="0" w:line="81" w:lineRule="exact"/>
        <w:rPr>
          <w:sz w:val="20"/>
          <w:szCs w:val="20"/>
          <w:color w:val="auto"/>
        </w:rPr>
      </w:pPr>
    </w:p>
    <w:p>
      <w:pPr>
        <w:ind w:left="1200" w:right="939"/>
        <w:spacing w:after="0" w:line="426" w:lineRule="auto"/>
        <w:rPr>
          <w:sz w:val="20"/>
          <w:szCs w:val="20"/>
          <w:color w:val="auto"/>
        </w:rPr>
      </w:pPr>
      <w:r>
        <w:rPr>
          <w:rFonts w:ascii="Times New Roman" w:cs="Times New Roman" w:eastAsia="Times New Roman" w:hAnsi="Times New Roman"/>
          <w:sz w:val="17"/>
          <w:szCs w:val="17"/>
          <w:color w:val="auto"/>
        </w:rPr>
        <w:t>WHEREAS, Section 17 of the Plan provides that the Plan may be amended from time to time; and WHEREAS, the Company desires to amend the Plan in certain respects;</w:t>
      </w:r>
    </w:p>
    <w:p>
      <w:pPr>
        <w:ind w:left="1200"/>
        <w:spacing w:after="0"/>
        <w:rPr>
          <w:sz w:val="20"/>
          <w:szCs w:val="20"/>
          <w:color w:val="auto"/>
        </w:rPr>
      </w:pPr>
      <w:r>
        <w:rPr>
          <w:rFonts w:ascii="Times New Roman" w:cs="Times New Roman" w:eastAsia="Times New Roman" w:hAnsi="Times New Roman"/>
          <w:sz w:val="17"/>
          <w:szCs w:val="17"/>
          <w:color w:val="auto"/>
        </w:rPr>
        <w:t>NOW, THEREFORE, the Plan is hereby amended, effective as of the date the stockholders of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 approve this amendment, in the following respects:</w:t>
      </w:r>
    </w:p>
    <w:p>
      <w:pPr>
        <w:spacing w:after="0" w:line="140" w:lineRule="exact"/>
        <w:rPr>
          <w:sz w:val="20"/>
          <w:szCs w:val="20"/>
          <w:color w:val="auto"/>
        </w:rPr>
      </w:pPr>
    </w:p>
    <w:p>
      <w:pPr>
        <w:ind w:left="1820" w:hanging="617"/>
        <w:spacing w:after="0"/>
        <w:tabs>
          <w:tab w:leader="none" w:pos="18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 of the Plan is amended to read in its entirety as follows:</w:t>
      </w:r>
    </w:p>
    <w:p>
      <w:pPr>
        <w:spacing w:after="0" w:line="143" w:lineRule="exact"/>
        <w:rPr>
          <w:sz w:val="20"/>
          <w:szCs w:val="20"/>
          <w:color w:val="auto"/>
        </w:rPr>
      </w:pPr>
    </w:p>
    <w:p>
      <w:pPr>
        <w:jc w:val="both"/>
        <w:ind w:left="1200" w:right="1219" w:firstLine="62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4.1 Maximum Number of Shares Issuable</w:t>
      </w:r>
      <w:r>
        <w:rPr>
          <w:rFonts w:ascii="Times New Roman" w:cs="Times New Roman" w:eastAsia="Times New Roman" w:hAnsi="Times New Roman"/>
          <w:sz w:val="17"/>
          <w:szCs w:val="17"/>
          <w:color w:val="auto"/>
        </w:rPr>
        <w:t xml:space="preserve">. Subject to adjustment as provided in </w:t>
      </w:r>
      <w:r>
        <w:rPr>
          <w:rFonts w:ascii="Times New Roman" w:cs="Times New Roman" w:eastAsia="Times New Roman" w:hAnsi="Times New Roman"/>
          <w:sz w:val="17"/>
          <w:szCs w:val="17"/>
          <w:u w:val="single" w:color="auto"/>
          <w:color w:val="auto"/>
        </w:rPr>
        <w:t>Sections 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the maximum aggregate number of shares of Stock that may be issued under the Plan shall be equal to 17,032,521 shares, which is the sum of (i) 2,032,521 shares which reflects the shares of Stock authorized for issuance under the Plan as of the Effective Date, plus (ii) 15,000,000 shares which were approved at the Company’s 2026 Annual Meeting of Stockholders (together, the “</w:t>
      </w:r>
      <w:r>
        <w:rPr>
          <w:rFonts w:ascii="Times New Roman" w:cs="Times New Roman" w:eastAsia="Times New Roman" w:hAnsi="Times New Roman"/>
          <w:sz w:val="17"/>
          <w:szCs w:val="17"/>
          <w:b w:val="1"/>
          <w:bCs w:val="1"/>
          <w:color w:val="auto"/>
        </w:rPr>
        <w:t>Base Reserve</w:t>
      </w:r>
      <w:r>
        <w:rPr>
          <w:rFonts w:ascii="Times New Roman" w:cs="Times New Roman" w:eastAsia="Times New Roman" w:hAnsi="Times New Roman"/>
          <w:sz w:val="17"/>
          <w:szCs w:val="17"/>
          <w:color w:val="auto"/>
        </w:rPr>
        <w:t>”) plus an annual increase, effective as of the first day of the Company’s fiscal year beginning in the year following the fiscal year in which the Company’s stockholders initially approved the Plan and the first day of each subsequent fiscal year through and including the first day of the Company’s fiscal year beginning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spacing w:after="0" w:line="114" w:lineRule="exact"/>
        <w:rPr>
          <w:sz w:val="20"/>
          <w:szCs w:val="20"/>
          <w:color w:val="auto"/>
        </w:rPr>
      </w:pPr>
    </w:p>
    <w:p>
      <w:pPr>
        <w:jc w:val="both"/>
        <w:ind w:left="580" w:right="579" w:firstLine="629"/>
        <w:spacing w:after="0" w:line="264" w:lineRule="auto"/>
        <w:rPr>
          <w:sz w:val="20"/>
          <w:szCs w:val="20"/>
          <w:color w:val="auto"/>
        </w:rPr>
      </w:pPr>
      <w:r>
        <w:rPr>
          <w:rFonts w:ascii="Times New Roman" w:cs="Times New Roman" w:eastAsia="Times New Roman" w:hAnsi="Times New Roman"/>
          <w:sz w:val="17"/>
          <w:szCs w:val="17"/>
          <w:color w:val="auto"/>
        </w:rPr>
        <w:t>In the event of any conflict between the terms and conditions of the Plan and the terms and conditions of this Amendment, the terms and conditions of this Amendment shall prevail and control. If any term or provision of this Amendment or the application thereof to any persons or circumstances shall, to any extent, be invalid or unenforceable, the remainder of this Amendment or the application of such term or provision to persons or circumstances other than those as to which it is held invalid or unenforceable shall not be affected thereby, and each term and provision of this Amendment shall be valid and enforced to the fullest extent permitted by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629"/>
        <w:spacing w:after="0" w:line="296" w:lineRule="auto"/>
        <w:rPr>
          <w:sz w:val="20"/>
          <w:szCs w:val="20"/>
          <w:color w:val="auto"/>
        </w:rPr>
      </w:pPr>
      <w:r>
        <w:rPr>
          <w:rFonts w:ascii="Times New Roman" w:cs="Times New Roman" w:eastAsia="Times New Roman" w:hAnsi="Times New Roman"/>
          <w:sz w:val="17"/>
          <w:szCs w:val="17"/>
          <w:color w:val="auto"/>
        </w:rPr>
        <w:t>IN WITNESS WHEREOF, the undersigned has executed this Amendment as of the date first written above on behalf of the Company.</w:t>
      </w:r>
    </w:p>
    <w:p>
      <w:pPr>
        <w:spacing w:after="0" w:line="1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CID HOLDCO, INC.</w:t>
      </w:r>
    </w:p>
    <w:p>
      <w:pPr>
        <w:spacing w:after="0" w:line="209" w:lineRule="exact"/>
        <w:rPr>
          <w:sz w:val="20"/>
          <w:szCs w:val="20"/>
          <w:color w:val="auto"/>
        </w:rPr>
      </w:pPr>
    </w:p>
    <w:p>
      <w:pPr>
        <w:ind w:left="4780"/>
        <w:spacing w:after="0"/>
        <w:tabs>
          <w:tab w:leader="none" w:pos="53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Edmund Nabrotzky</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Name: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-111760</wp:posOffset>
            </wp:positionV>
            <wp:extent cx="1954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0" w:lineRule="exact"/>
        <w:rPr>
          <w:sz w:val="20"/>
          <w:szCs w:val="20"/>
          <w:color w:val="auto"/>
        </w:rPr>
      </w:pPr>
    </w:p>
    <w:p>
      <w:pPr>
        <w:ind w:left="4780"/>
        <w:spacing w:after="0"/>
        <w:tabs>
          <w:tab w:leader="none" w:pos="534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20955</wp:posOffset>
            </wp:positionV>
            <wp:extent cx="7264400" cy="99809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4400" cy="99809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20955</wp:posOffset>
            </wp:positionV>
            <wp:extent cx="7264400" cy="9964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lvl w:ilvl="1">
      <w:lvlJc w:val="left"/>
      <w:lvlText w:val="•"/>
      <w:numFmt w:val="bullet"/>
      <w:start w:val="1"/>
    </w:lvl>
  </w:abstractNum>
  <w:abstractNum w:abstractNumId="6">
    <w:nsid w:val="5577F8E1"/>
    <w:multiLevelType w:val="hybridMultilevel"/>
    <w:lvl w:ilvl="0">
      <w:lvlJc w:val="left"/>
      <w:lvlText w:val="%1."/>
      <w:numFmt w:val="decimal"/>
      <w:start w:val="1"/>
    </w:lvl>
    <w:lvl w:ilvl="1">
      <w:lvlJc w:val="left"/>
      <w:lvlText w:val="•"/>
      <w:numFmt w:val="bullet"/>
      <w:start w:val="1"/>
    </w:lvl>
  </w:abstractNum>
  <w:abstractNum w:abstractNumId="7">
    <w:nsid w:val="440BADFC"/>
    <w:multiLevelType w:val="hybridMultilevel"/>
    <w:lvl w:ilvl="0">
      <w:lvlJc w:val="left"/>
      <w:lvlText w:val="J.%1."/>
      <w:numFmt w:val="upperLetter"/>
      <w:start w:val="10"/>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lowerRoman"/>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lowerRoman"/>
      <w:start w:val="4"/>
    </w:lvl>
  </w:abstractNum>
  <w:abstractNum w:abstractNumId="23">
    <w:nsid w:val="1D4ED43B"/>
    <w:multiLevelType w:val="hybridMultilevel"/>
    <w:lvl w:ilvl="0">
      <w:lvlJc w:val="left"/>
      <w:lvlText w:val="(%1)"/>
      <w:numFmt w:val="lowerRoman"/>
      <w:start w:val="6"/>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1)"/>
      <w:numFmt w:val="lowerRoman"/>
      <w:start w:val="3"/>
    </w:lvl>
  </w:abstractNum>
  <w:abstractNum w:abstractNumId="32">
    <w:nsid w:val="7644A45C"/>
    <w:multiLevelType w:val="hybridMultilevel"/>
    <w:lvl w:ilvl="0">
      <w:lvlJc w:val="left"/>
      <w:lvlText w:val="J.%1."/>
      <w:numFmt w:val="upperLetter"/>
      <w:start w:val="10"/>
    </w:lvl>
  </w:abstractNum>
  <w:abstractNum w:abstractNumId="33">
    <w:nsid w:val="32FFF902"/>
    <w:multiLevelType w:val="hybridMultilevel"/>
    <w:lvl w:ilvl="0">
      <w:lvlJc w:val="left"/>
      <w:lvlText w:val="(%1)"/>
      <w:numFmt w:val="lowerRoman"/>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lowerLetter"/>
      <w:start w:val="2"/>
    </w:lvl>
  </w:abstractNum>
  <w:abstractNum w:abstractNumId="36">
    <w:nsid w:val="749ABB43"/>
    <w:multiLevelType w:val="hybridMultilevel"/>
    <w:lvl w:ilvl="0">
      <w:lvlJc w:val="left"/>
      <w:lvlText w:val="(%1)"/>
      <w:numFmt w:val="lowerRoman"/>
      <w:start w:val="2"/>
    </w:lvl>
  </w:abstractNum>
  <w:abstractNum w:abstractNumId="37">
    <w:nsid w:val="3DC240FB"/>
    <w:multiLevelType w:val="hybridMultilevel"/>
    <w:lvl w:ilvl="0">
      <w:lvlJc w:val="left"/>
      <w:lvlText w:val="(%1)"/>
      <w:numFmt w:val="lowerRoman"/>
      <w:start w:val="13"/>
    </w:lvl>
  </w:abstractNum>
  <w:abstractNum w:abstractNumId="38">
    <w:nsid w:val="1BA026FA"/>
    <w:multiLevelType w:val="hybridMultilevel"/>
    <w:lvl w:ilvl="0">
      <w:lvlJc w:val="left"/>
      <w:lvlText w:val="(%1)"/>
      <w:numFmt w:val="lowerRoman"/>
      <w:start w:val="16"/>
    </w:lvl>
  </w:abstractNum>
  <w:abstractNum w:abstractNumId="39">
    <w:nsid w:val="79A1DEAA"/>
    <w:multiLevelType w:val="hybridMultilevel"/>
    <w:lvl w:ilvl="0">
      <w:lvlJc w:val="left"/>
      <w:lvlText w:val="(%1)"/>
      <w:numFmt w:val="lowerRoman"/>
      <w:start w:val="20"/>
    </w:lvl>
  </w:abstractNum>
  <w:abstractNum w:abstractNumId="40">
    <w:nsid w:val="75C6C33A"/>
    <w:multiLevelType w:val="hybridMultilevel"/>
    <w:lvl w:ilvl="0">
      <w:lvlJc w:val="left"/>
      <w:lvlText w:val="(%1)"/>
      <w:numFmt w:val="lowerLetter"/>
      <w:start w:val="6"/>
    </w:lvl>
  </w:abstractNum>
  <w:abstractNum w:abstractNumId="41">
    <w:nsid w:val="12E685FB"/>
    <w:multiLevelType w:val="hybridMultilevel"/>
    <w:lvl w:ilvl="0">
      <w:lvlJc w:val="left"/>
      <w:lvlText w:val="(%1)"/>
      <w:numFmt w:val="lowerRoman"/>
      <w:start w:val="2"/>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lowerRoman"/>
      <w:start w:val="2"/>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lowerLetter"/>
      <w:start w:val="1"/>
    </w:lvl>
    <w:lvl w:ilvl="1">
      <w:lvlJc w:val="left"/>
      <w:lvlText w:val="[•]"/>
      <w:numFmt w:val="bullet"/>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2"/>
    </w:lvl>
    <w:lvl w:ilvl="1">
      <w:lvlJc w:val="left"/>
      <w:lvlText w:val="(%2)"/>
      <w:numFmt w:val="lowerRoman"/>
      <w:start w:val="1"/>
    </w:lvl>
  </w:abstractNum>
  <w:abstractNum w:abstractNumId="56">
    <w:nsid w:val="741226BB"/>
    <w:multiLevelType w:val="hybridMultilevel"/>
    <w:lvl w:ilvl="0">
      <w:lvlJc w:val="left"/>
      <w:lvlText w:val="(%1)"/>
      <w:numFmt w:val="lowerLetter"/>
      <w:start w:val="9"/>
    </w:lvl>
    <w:lvl w:ilvl="1">
      <w:lvlJc w:val="left"/>
      <w:lvlText w:val="(%2)"/>
      <w:numFmt w:val="lowerRoman"/>
      <w:start w:val="2"/>
    </w:lvl>
  </w:abstractNum>
  <w:abstractNum w:abstractNumId="57">
    <w:nsid w:val="D34B6A8"/>
    <w:multiLevelType w:val="hybridMultilevel"/>
    <w:lvl w:ilvl="0">
      <w:lvlJc w:val="left"/>
      <w:lvlText w:val="%1"/>
      <w:numFmt w:val="lowerLetter"/>
      <w:start w:val="1"/>
    </w:lvl>
    <w:lvl w:ilvl="1">
      <w:lvlJc w:val="left"/>
      <w:lvlText w:val="(%2)"/>
      <w:numFmt w:val="lowerRoman"/>
      <w:start w:val="5"/>
    </w:lvl>
  </w:abstractNum>
  <w:abstractNum w:abstractNumId="58">
    <w:nsid w:val="10233C99"/>
    <w:multiLevelType w:val="hybridMultilevel"/>
    <w:lvl w:ilvl="0">
      <w:lvlJc w:val="left"/>
      <w:lvlText w:val="(%1)"/>
      <w:numFmt w:val="lowerLetter"/>
      <w:start w:val="3"/>
    </w:lvl>
    <w:lvl w:ilvl="1">
      <w:lvlJc w:val="left"/>
      <w:lvlText w:val="%2"/>
      <w:numFmt w:val="lowerRoman"/>
      <w:start w:val="1"/>
    </w:lvl>
  </w:abstractNum>
  <w:abstractNum w:abstractNumId="59">
    <w:nsid w:val="3F6AB60F"/>
    <w:multiLevelType w:val="hybridMultilevel"/>
    <w:lvl w:ilvl="0">
      <w:lvlJc w:val="left"/>
      <w:lvlText w:val="(%1)"/>
      <w:numFmt w:val="lowerLetter"/>
      <w:start w:val="1"/>
    </w:lvl>
    <w:lvl w:ilvl="1">
      <w:lvlJc w:val="left"/>
      <w:lvlText w:val="(%2)"/>
      <w:numFmt w:val="lowerRoman"/>
      <w:start w:val="1"/>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2"/>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2026-04-17T10:44:32Z</dcterms:created>
  <dcterms:modified xsi:type="dcterms:W3CDTF">2026-04-17T10:44:32Z</dcterms:modified>
</cp:coreProperties>
</file>