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00" w:type="dxa"/>
            <w:vAlign w:val="bottom"/>
            <w:gridSpan w:val="3"/>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2700" w:type="dxa"/>
            <w:vAlign w:val="bottom"/>
          </w:tcPr>
          <w:p>
            <w:pPr>
              <w:spacing w:after="0"/>
              <w:rPr>
                <w:sz w:val="20"/>
                <w:szCs w:val="20"/>
                <w:color w:val="auto"/>
              </w:rPr>
            </w:pPr>
          </w:p>
        </w:tc>
      </w:tr>
      <w:tr>
        <w:trPr>
          <w:trHeight w:val="410"/>
        </w:trPr>
        <w:tc>
          <w:tcPr>
            <w:tcW w:w="2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00" w:type="dxa"/>
            <w:vAlign w:val="bottom"/>
            <w:gridSpan w:val="3"/>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700" w:type="dxa"/>
            <w:vAlign w:val="bottom"/>
          </w:tcPr>
          <w:p>
            <w:pPr>
              <w:spacing w:after="0"/>
              <w:rPr>
                <w:sz w:val="24"/>
                <w:szCs w:val="24"/>
                <w:color w:val="auto"/>
              </w:rPr>
            </w:pPr>
          </w:p>
        </w:tc>
      </w:tr>
      <w:tr>
        <w:trPr>
          <w:trHeight w:val="238"/>
        </w:trPr>
        <w:tc>
          <w:tcPr>
            <w:tcW w:w="2860" w:type="dxa"/>
            <w:vAlign w:val="bottom"/>
          </w:tcPr>
          <w:p>
            <w:pPr>
              <w:spacing w:after="0"/>
              <w:rPr>
                <w:sz w:val="20"/>
                <w:szCs w:val="20"/>
                <w:color w:val="auto"/>
              </w:rPr>
            </w:pPr>
          </w:p>
        </w:tc>
        <w:tc>
          <w:tcPr>
            <w:tcW w:w="568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tc>
        <w:tc>
          <w:tcPr>
            <w:tcW w:w="2700" w:type="dxa"/>
            <w:vAlign w:val="bottom"/>
          </w:tcPr>
          <w:p>
            <w:pPr>
              <w:spacing w:after="0"/>
              <w:rPr>
                <w:sz w:val="20"/>
                <w:szCs w:val="20"/>
                <w:color w:val="auto"/>
              </w:rPr>
            </w:pPr>
          </w:p>
        </w:tc>
      </w:tr>
      <w:tr>
        <w:trPr>
          <w:trHeight w:val="432"/>
        </w:trPr>
        <w:tc>
          <w:tcPr>
            <w:tcW w:w="2860" w:type="dxa"/>
            <w:vAlign w:val="bottom"/>
          </w:tcPr>
          <w:p>
            <w:pPr>
              <w:spacing w:after="0"/>
              <w:rPr>
                <w:sz w:val="24"/>
                <w:szCs w:val="24"/>
                <w:color w:val="auto"/>
              </w:rPr>
            </w:pPr>
          </w:p>
        </w:tc>
        <w:tc>
          <w:tcPr>
            <w:tcW w:w="568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Date of Report (Date of earliest event reported): May 12, 2026</w:t>
            </w:r>
          </w:p>
        </w:tc>
        <w:tc>
          <w:tcPr>
            <w:tcW w:w="2700" w:type="dxa"/>
            <w:vAlign w:val="bottom"/>
          </w:tcPr>
          <w:p>
            <w:pPr>
              <w:spacing w:after="0"/>
              <w:rPr>
                <w:sz w:val="24"/>
                <w:szCs w:val="24"/>
                <w:color w:val="auto"/>
              </w:rPr>
            </w:pPr>
          </w:p>
        </w:tc>
      </w:tr>
      <w:tr>
        <w:trPr>
          <w:trHeight w:val="414"/>
        </w:trPr>
        <w:tc>
          <w:tcPr>
            <w:tcW w:w="2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00" w:type="dxa"/>
            <w:vAlign w:val="bottom"/>
            <w:gridSpan w:val="3"/>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9"/>
              </w:rPr>
              <w:t>CID HoldCo, Inc.</w:t>
            </w:r>
          </w:p>
        </w:tc>
        <w:tc>
          <w:tcPr>
            <w:tcW w:w="2700" w:type="dxa"/>
            <w:vAlign w:val="bottom"/>
          </w:tcPr>
          <w:p>
            <w:pPr>
              <w:spacing w:after="0"/>
              <w:rPr>
                <w:sz w:val="24"/>
                <w:szCs w:val="24"/>
                <w:color w:val="auto"/>
              </w:rPr>
            </w:pPr>
          </w:p>
        </w:tc>
      </w:tr>
      <w:tr>
        <w:trPr>
          <w:trHeight w:val="234"/>
        </w:trPr>
        <w:tc>
          <w:tcPr>
            <w:tcW w:w="2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920" w:type="dxa"/>
            <w:vAlign w:val="bottom"/>
            <w:gridSpan w:val="4"/>
          </w:tcPr>
          <w:p>
            <w:pPr>
              <w:jc w:val="center"/>
              <w:ind w:right="9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tc>
        <w:tc>
          <w:tcPr>
            <w:tcW w:w="2700" w:type="dxa"/>
            <w:vAlign w:val="bottom"/>
          </w:tcPr>
          <w:p>
            <w:pPr>
              <w:spacing w:after="0"/>
              <w:rPr>
                <w:sz w:val="20"/>
                <w:szCs w:val="20"/>
                <w:color w:val="auto"/>
              </w:rPr>
            </w:pPr>
          </w:p>
        </w:tc>
      </w:tr>
      <w:tr>
        <w:trPr>
          <w:trHeight w:val="439"/>
        </w:trPr>
        <w:tc>
          <w:tcPr>
            <w:tcW w:w="2860" w:type="dxa"/>
            <w:vAlign w:val="bottom"/>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8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7"/>
              </w:rPr>
              <w:t>001-42711</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99-2578850</w:t>
            </w:r>
          </w:p>
        </w:tc>
      </w:tr>
      <w:tr>
        <w:trPr>
          <w:trHeight w:val="198"/>
        </w:trPr>
        <w:tc>
          <w:tcPr>
            <w:tcW w:w="2860" w:type="dxa"/>
            <w:vAlign w:val="bottom"/>
            <w:tcBorders>
              <w:top w:val="single" w:sz="8" w:color="auto"/>
            </w:tcBorders>
          </w:tcPr>
          <w:p>
            <w:pPr>
              <w:jc w:val="center"/>
              <w:ind w:left="67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700" w:type="dxa"/>
            <w:vAlign w:val="bottom"/>
            <w:tcBorders>
              <w:top w:val="single" w:sz="8" w:color="auto"/>
            </w:tcBorders>
          </w:tcPr>
          <w:p>
            <w:pPr>
              <w:jc w:val="center"/>
              <w:ind w:right="79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86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700" w:type="dxa"/>
            <w:vAlign w:val="bottom"/>
          </w:tcPr>
          <w:p>
            <w:pPr>
              <w:jc w:val="center"/>
              <w:ind w:right="7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8540" w:type="dxa"/>
            <w:vAlign w:val="bottom"/>
            <w:gridSpan w:val="6"/>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5661 S Cameron St, Suite 100,</w:t>
            </w:r>
          </w:p>
        </w:tc>
        <w:tc>
          <w:tcPr>
            <w:tcW w:w="2700" w:type="dxa"/>
            <w:vAlign w:val="bottom"/>
          </w:tcPr>
          <w:p>
            <w:pPr>
              <w:spacing w:after="0"/>
              <w:rPr>
                <w:sz w:val="24"/>
                <w:szCs w:val="24"/>
                <w:color w:val="auto"/>
              </w:rPr>
            </w:pPr>
          </w:p>
        </w:tc>
      </w:tr>
      <w:tr>
        <w:trPr>
          <w:trHeight w:val="245"/>
        </w:trPr>
        <w:tc>
          <w:tcPr>
            <w:tcW w:w="2860" w:type="dxa"/>
            <w:vAlign w:val="bottom"/>
          </w:tcPr>
          <w:p>
            <w:pPr>
              <w:spacing w:after="0"/>
              <w:rPr>
                <w:sz w:val="21"/>
                <w:szCs w:val="21"/>
                <w:color w:val="auto"/>
              </w:rPr>
            </w:pPr>
          </w:p>
        </w:tc>
        <w:tc>
          <w:tcPr>
            <w:tcW w:w="5680" w:type="dxa"/>
            <w:vAlign w:val="bottom"/>
            <w:gridSpan w:val="5"/>
          </w:tcPr>
          <w:p>
            <w:pPr>
              <w:jc w:val="center"/>
              <w:ind w:right="3960"/>
              <w:spacing w:after="0"/>
              <w:rPr>
                <w:sz w:val="20"/>
                <w:szCs w:val="20"/>
                <w:color w:val="auto"/>
              </w:rPr>
            </w:pPr>
            <w:r>
              <w:rPr>
                <w:rFonts w:ascii="Times New Roman" w:cs="Times New Roman" w:eastAsia="Times New Roman" w:hAnsi="Times New Roman"/>
                <w:sz w:val="18"/>
                <w:szCs w:val="18"/>
                <w:b w:val="1"/>
                <w:bCs w:val="1"/>
                <w:color w:val="auto"/>
                <w:w w:val="98"/>
              </w:rPr>
              <w:t>Las Vegas, Nevada</w:t>
            </w:r>
          </w:p>
        </w:tc>
        <w:tc>
          <w:tcPr>
            <w:tcW w:w="27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89118</w:t>
            </w:r>
          </w:p>
        </w:tc>
      </w:tr>
      <w:tr>
        <w:trPr>
          <w:trHeight w:val="234"/>
        </w:trPr>
        <w:tc>
          <w:tcPr>
            <w:tcW w:w="744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700" w:type="dxa"/>
            <w:vAlign w:val="bottom"/>
            <w:tcBorders>
              <w:top w:val="single" w:sz="8" w:color="auto"/>
            </w:tcBorders>
          </w:tcPr>
          <w:p>
            <w:pPr>
              <w:jc w:val="center"/>
              <w:ind w:right="810"/>
              <w:spacing w:after="0"/>
              <w:rPr>
                <w:sz w:val="20"/>
                <w:szCs w:val="20"/>
                <w:color w:val="auto"/>
              </w:rPr>
            </w:pPr>
            <w:r>
              <w:rPr>
                <w:rFonts w:ascii="Times New Roman" w:cs="Times New Roman" w:eastAsia="Times New Roman" w:hAnsi="Times New Roman"/>
                <w:sz w:val="18"/>
                <w:szCs w:val="18"/>
                <w:color w:val="auto"/>
              </w:rPr>
              <w:t>(Zip Code)</w:t>
            </w:r>
          </w:p>
        </w:tc>
      </w:tr>
      <w:tr>
        <w:trPr>
          <w:trHeight w:val="395"/>
        </w:trPr>
        <w:tc>
          <w:tcPr>
            <w:tcW w:w="2860" w:type="dxa"/>
            <w:vAlign w:val="bottom"/>
          </w:tcPr>
          <w:p>
            <w:pPr>
              <w:spacing w:after="0"/>
              <w:rPr>
                <w:sz w:val="24"/>
                <w:szCs w:val="24"/>
                <w:color w:val="auto"/>
              </w:rPr>
            </w:pPr>
          </w:p>
        </w:tc>
        <w:tc>
          <w:tcPr>
            <w:tcW w:w="458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(303)-332-4122</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34"/>
        </w:trPr>
        <w:tc>
          <w:tcPr>
            <w:tcW w:w="2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920" w:type="dxa"/>
            <w:vAlign w:val="bottom"/>
            <w:gridSpan w:val="4"/>
          </w:tcPr>
          <w:p>
            <w:pPr>
              <w:jc w:val="center"/>
              <w:ind w:right="9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700" w:type="dxa"/>
            <w:vAlign w:val="bottom"/>
          </w:tcPr>
          <w:p>
            <w:pPr>
              <w:spacing w:after="0"/>
              <w:rPr>
                <w:sz w:val="20"/>
                <w:szCs w:val="20"/>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6"/>
        </w:trPr>
        <w:tc>
          <w:tcPr>
            <w:tcW w:w="4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of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DAIC</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496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Warrants, each exercisable for one share of Common Stock at an</w:t>
            </w:r>
          </w:p>
        </w:tc>
        <w:tc>
          <w:tcPr>
            <w:tcW w:w="268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8"/>
              </w:rPr>
              <w:t>DAICW</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exercise price of $11.50 per share</w:t>
            </w:r>
          </w:p>
        </w:tc>
        <w:tc>
          <w:tcPr>
            <w:tcW w:w="2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On May 12, 2026, CID HoldCo, Inc. (the "Company") held its 2026 Annual Meeting of Stockholders (the "Annual Meeting"). The Annual Meeting was conducted virtually via live video webcast. As of the record date of March 23, 2026, there were 29,293,322 shares of the Company's common stock, par value $0.0001 per share (the "Common Stock"), outstanding and entitled to vote at the Annual Meeting. 17,634,353 shares of Common Stock were represented at the Annual Meeting in person (virtually) or by proxy, constituting a quorum.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brief description of each matter voted upon at the Annual Meeting and the final results of voting on each such matter.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 Election of Class I Director</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Stockholders voted to elect one Class I director nominee, Phyllis Newhouse, to serve until the 2029 annual meeting of stockholders or until her successor is duly elected and qualified. Directors are elected by a plurality of the votes cast. The voting results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Nominee</w:t>
            </w: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Withheld</w:t>
            </w:r>
          </w:p>
        </w:tc>
        <w:tc>
          <w:tcPr>
            <w:tcW w:w="274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2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Phyllis Newhouse</w:t>
            </w:r>
          </w:p>
        </w:tc>
        <w:tc>
          <w:tcPr>
            <w:tcW w:w="24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11,822,046</w:t>
            </w:r>
          </w:p>
        </w:tc>
        <w:tc>
          <w:tcPr>
            <w:tcW w:w="20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414,464</w:t>
            </w:r>
          </w:p>
        </w:tc>
        <w:tc>
          <w:tcPr>
            <w:tcW w:w="274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5,397,843</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voting results, Phyllis Newhouse was elected as a Class I director.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 Ratification of Independent Registered Public Accounting Firm</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Stockholders voted to ratify the appointment of Carr, Riggs &amp; Ingram, LLC as the Company's independent registered public accounting firm for the fiscal year ending December 31, 2026. The affirmative vote of the holders of a majority of shares of the voting power present or represented by proxy was required for approval. The voting results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3200" w:type="dxa"/>
            <w:vAlign w:val="bottom"/>
            <w:gridSpan w:val="2"/>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r>
      <w:tr>
        <w:trPr>
          <w:trHeight w:val="210"/>
        </w:trPr>
        <w:tc>
          <w:tcPr>
            <w:tcW w:w="3480" w:type="dxa"/>
            <w:vAlign w:val="bottom"/>
            <w:tcBorders>
              <w:top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17,337,725</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980" w:type="dxa"/>
            <w:vAlign w:val="bottom"/>
            <w:tcBorders>
              <w:top w:val="single" w:sz="8" w:color="auto"/>
            </w:tcBorders>
            <w:shd w:val="clear" w:color="auto" w:fill="CCEEFF"/>
          </w:tcPr>
          <w:p>
            <w:pPr>
              <w:jc w:val="right"/>
              <w:ind w:right="1570"/>
              <w:spacing w:after="0"/>
              <w:rPr>
                <w:sz w:val="20"/>
                <w:szCs w:val="20"/>
                <w:color w:val="auto"/>
              </w:rPr>
            </w:pPr>
            <w:r>
              <w:rPr>
                <w:rFonts w:ascii="Times New Roman" w:cs="Times New Roman" w:eastAsia="Times New Roman" w:hAnsi="Times New Roman"/>
                <w:sz w:val="18"/>
                <w:szCs w:val="18"/>
                <w:color w:val="auto"/>
              </w:rPr>
              <w:t>189,078</w:t>
            </w:r>
          </w:p>
        </w:tc>
        <w:tc>
          <w:tcPr>
            <w:tcW w:w="220" w:type="dxa"/>
            <w:vAlign w:val="bottom"/>
            <w:tcBorders>
              <w:top w:val="single" w:sz="8" w:color="CCEEFF"/>
            </w:tcBorders>
            <w:shd w:val="clear" w:color="auto" w:fill="CCEEFF"/>
          </w:tcPr>
          <w:p>
            <w:pPr>
              <w:spacing w:after="0"/>
              <w:rPr>
                <w:sz w:val="18"/>
                <w:szCs w:val="18"/>
                <w:color w:val="auto"/>
              </w:rPr>
            </w:pPr>
          </w:p>
        </w:tc>
        <w:tc>
          <w:tcPr>
            <w:tcW w:w="3460" w:type="dxa"/>
            <w:vAlign w:val="bottom"/>
            <w:tcBorders>
              <w:top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107,550</w:t>
            </w:r>
          </w:p>
        </w:tc>
      </w:tr>
      <w:tr>
        <w:trPr>
          <w:trHeight w:val="432"/>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Based on the voting results, this proposal was approved.</w:t>
            </w:r>
          </w:p>
        </w:tc>
        <w:tc>
          <w:tcPr>
            <w:tcW w:w="2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432"/>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Proposal 3 — Approval of the Reverse Split Proposal</w:t>
            </w:r>
          </w:p>
        </w:tc>
        <w:tc>
          <w:tcPr>
            <w:tcW w:w="2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60" w:type="dxa"/>
            <w:vAlign w:val="bottom"/>
          </w:tcPr>
          <w:p>
            <w:pPr>
              <w:spacing w:after="0"/>
              <w:rPr>
                <w:sz w:val="24"/>
                <w:szCs w:val="24"/>
                <w:color w:val="auto"/>
              </w:rPr>
            </w:pPr>
          </w:p>
        </w:tc>
      </w:tr>
    </w:tbl>
    <w:p>
      <w:pPr>
        <w:spacing w:after="0" w:line="19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Stockholders voted to approve an amendment to the Company's Amended and Restated Certificate of Incorporation to authorize the Board of Directors to effect one or more reverse stock splits of the Common Stock by a ratio of not less than one-for-ten (1:10) and not more than one-for-twenty-five (1:25), with the exact ratio and number of reverse stock splits, if any, to be determined by the Board of Directors in its sole discretion. The affirmative vote of a majority of the votes cast by the holders entitled to vote thereon was required for approval. The voting results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3200" w:type="dxa"/>
            <w:vAlign w:val="bottom"/>
            <w:gridSpan w:val="2"/>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r>
      <w:tr>
        <w:trPr>
          <w:trHeight w:val="210"/>
        </w:trPr>
        <w:tc>
          <w:tcPr>
            <w:tcW w:w="3480" w:type="dxa"/>
            <w:vAlign w:val="bottom"/>
            <w:tcBorders>
              <w:top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16,513,265</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980" w:type="dxa"/>
            <w:vAlign w:val="bottom"/>
            <w:tcBorders>
              <w:top w:val="single" w:sz="8" w:color="auto"/>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1,113,370</w:t>
            </w:r>
          </w:p>
        </w:tc>
        <w:tc>
          <w:tcPr>
            <w:tcW w:w="220" w:type="dxa"/>
            <w:vAlign w:val="bottom"/>
            <w:tcBorders>
              <w:top w:val="single" w:sz="8" w:color="CCEEFF"/>
            </w:tcBorders>
            <w:shd w:val="clear" w:color="auto" w:fill="CCEEFF"/>
          </w:tcPr>
          <w:p>
            <w:pPr>
              <w:spacing w:after="0"/>
              <w:rPr>
                <w:sz w:val="18"/>
                <w:szCs w:val="18"/>
                <w:color w:val="auto"/>
              </w:rPr>
            </w:pPr>
          </w:p>
        </w:tc>
        <w:tc>
          <w:tcPr>
            <w:tcW w:w="3460" w:type="dxa"/>
            <w:vAlign w:val="bottom"/>
            <w:tcBorders>
              <w:top w:val="single" w:sz="8" w:color="auto"/>
            </w:tcBorders>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7,718</w:t>
            </w:r>
          </w:p>
        </w:tc>
      </w:tr>
      <w:tr>
        <w:trPr>
          <w:trHeight w:val="432"/>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Based on the voting results, this proposal was approved.</w:t>
            </w:r>
          </w:p>
        </w:tc>
        <w:tc>
          <w:tcPr>
            <w:tcW w:w="2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574"/>
        </w:trPr>
        <w:tc>
          <w:tcPr>
            <w:tcW w:w="3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Proposal 4A — Approval of the Nasdaq Service Proposal (Financing Source A)</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Stockholders voted to approve, for purposes of complying with Nasdaq Listing Rules 5635(b) and 5635(d), the issuance of shares of Common Stock and warrants to purchase shares of Common Stock in connection with financing documents between the Company and one or more potential financing sources ("Financing Source A"), including a common stock purchase agreement establishing an equity line of credit, a note purchase agreement and related senior secured convertible promissory note, and a common stock purchase warrant, in order to, among other things, make scheduled monthly payments under that certain Loan Agreement, dated December 4, 2025, between the Company and J.J. Astor &amp; Co. (the "J.J. Astor Loan") and terminate that certain Share Purchase Agreement (the "Original ELOC") with New Circle Principal Investments LLC, a Delaware limited liability company ("New Circle"), in an amount that may exceed 20% of the Company's Common Stock currently outstanding. The affirmative vote of the holders of a majority of shares of the voting power present or represented by proxy was required for approval. The voting results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27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282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11,819,521</w:t>
            </w:r>
          </w:p>
        </w:tc>
        <w:tc>
          <w:tcPr>
            <w:tcW w:w="24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379,922</w:t>
            </w:r>
          </w:p>
        </w:tc>
        <w:tc>
          <w:tcPr>
            <w:tcW w:w="200" w:type="dxa"/>
            <w:vAlign w:val="bottom"/>
            <w:tcBorders>
              <w:top w:val="single" w:sz="8" w:color="CCEEFF"/>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37,067</w:t>
            </w:r>
          </w:p>
        </w:tc>
        <w:tc>
          <w:tcPr>
            <w:tcW w:w="272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5,397,843</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voting results, this proposal was approved.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4B — Approval of the Nasdaq Service Proposal (Financing Source B)</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Stockholders voted to approve, for purposes of complying with Nasdaq Listing Rules 5635(b) and 5635(d), the issuance of shares of Common Stock and warrants to purchase shares of Common Stock in connection with financing documents between the Company and one or more potential financing sources ("Financing Source B"), including a common stock purchase agreement establishing an equity line of credit, a preferred stock purchase agreement, and a common stock purchase warrant, in order to, among other things, entirely pay off the J.J. Astor Loan and terminate the Original ELOC, in an amount that may exceed 20% of the Company's Common Stock currently outstanding. The affirmative vote of the holders of a majority of shares of the voting power present or represented by proxy was required for approval. The voting results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27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282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11,473,448</w:t>
            </w:r>
          </w:p>
        </w:tc>
        <w:tc>
          <w:tcPr>
            <w:tcW w:w="24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726,020</w:t>
            </w:r>
          </w:p>
        </w:tc>
        <w:tc>
          <w:tcPr>
            <w:tcW w:w="200" w:type="dxa"/>
            <w:vAlign w:val="bottom"/>
            <w:tcBorders>
              <w:top w:val="single" w:sz="8" w:color="CCEEFF"/>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37,042</w:t>
            </w:r>
          </w:p>
        </w:tc>
        <w:tc>
          <w:tcPr>
            <w:tcW w:w="272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5,397,843</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voting results, this proposal was approved.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5 — Approval of the Nasdaq Conversion Proposal</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Stockholders voted to approve, for purposes of complying with Nasdaq Listing Rules 5635(b) and 5635(d), solely if the Company defaults on the J.J. Astor Loan, the issuance of shares of Common Stock upon conversion of the remaining balance of the senior convertible note issued by the Company pursuant to the terms of the J.J. Astor Loan, without giving effect to the exchange cap in such convertible note. The affirmative vote of the holders of a majority of shares of the voting power present or represented by proxy was required for approval. The voting results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27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282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11,884,280</w:t>
            </w:r>
          </w:p>
        </w:tc>
        <w:tc>
          <w:tcPr>
            <w:tcW w:w="24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307,391</w:t>
            </w:r>
          </w:p>
        </w:tc>
        <w:tc>
          <w:tcPr>
            <w:tcW w:w="200" w:type="dxa"/>
            <w:vAlign w:val="bottom"/>
            <w:tcBorders>
              <w:top w:val="single" w:sz="8" w:color="CCEEFF"/>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44,839</w:t>
            </w:r>
          </w:p>
        </w:tc>
        <w:tc>
          <w:tcPr>
            <w:tcW w:w="272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5,397,843</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voting results, this proposal was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Proposal 6 — Approval of the Nasdaq 20% Proposal</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Stockholders voted to approve, for purposes of complying with Nasdaq Listing Rules 5635(b) and 5635(d), the potential issuance of up to 100,000,000 shares of Common Stock (or securities convertible into or exercisable for Common Stock) in one or more non-public financing transactions, in an amount that may exceed 20% or more of the Company's Common Stock outstanding before the execution of such transactions. The affirmative vote of the holders of a majority of shares of the voting power present or represented by proxy was required for approval. The voting results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27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282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11,415,164</w:t>
            </w:r>
          </w:p>
        </w:tc>
        <w:tc>
          <w:tcPr>
            <w:tcW w:w="24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768,271</w:t>
            </w:r>
          </w:p>
        </w:tc>
        <w:tc>
          <w:tcPr>
            <w:tcW w:w="200" w:type="dxa"/>
            <w:vAlign w:val="bottom"/>
            <w:tcBorders>
              <w:top w:val="single" w:sz="8" w:color="CCEEFF"/>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53,075</w:t>
            </w:r>
          </w:p>
        </w:tc>
        <w:tc>
          <w:tcPr>
            <w:tcW w:w="272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5,397,843</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voting results, this proposal was approved.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7 — Approval of the Incentive Plan Amendment Proposal</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Stockholders voted to approve an amendment to the Company's 2024 Equity Incentive Plan to increase the number of shares of Common Stock available for issuance thereunder to 19,959,853 shares. The affirmative vote of the holders of a majority of shares of the voting power present or represented by proxy was required for approval. The voting results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27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282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11,087,758</w:t>
            </w:r>
          </w:p>
        </w:tc>
        <w:tc>
          <w:tcPr>
            <w:tcW w:w="24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1,095,507</w:t>
            </w:r>
          </w:p>
        </w:tc>
        <w:tc>
          <w:tcPr>
            <w:tcW w:w="200" w:type="dxa"/>
            <w:vAlign w:val="bottom"/>
            <w:tcBorders>
              <w:top w:val="single" w:sz="8" w:color="CCEEFF"/>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53,245</w:t>
            </w:r>
          </w:p>
        </w:tc>
        <w:tc>
          <w:tcPr>
            <w:tcW w:w="272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5,397,843</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voting results, this proposal was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CID HoldCo, Inc.</w:t>
      </w:r>
    </w:p>
    <w:p>
      <w:pPr>
        <w:spacing w:after="0" w:line="225" w:lineRule="exact"/>
        <w:rPr>
          <w:sz w:val="20"/>
          <w:szCs w:val="20"/>
          <w:color w:val="auto"/>
        </w:rPr>
      </w:pPr>
    </w:p>
    <w:p>
      <w:pPr>
        <w:spacing w:after="0"/>
        <w:tabs>
          <w:tab w:leader="none" w:pos="6740" w:val="left"/>
          <w:tab w:leader="none" w:pos="730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Edmund Nabrotzky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Edmund Nabrotzky</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2026-05-12T16:30:50Z</dcterms:created>
  <dcterms:modified xsi:type="dcterms:W3CDTF">2026-05-12T16:30:50Z</dcterms:modified>
</cp:coreProperties>
</file>