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320040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8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0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ectPr>
          <w:pgSz w:w="11900" w:h="16838" w:orient="portrait"/>
          <w:cols w:equalWidth="0" w:num="1">
            <w:col w:w="9019"/>
          </w:cols>
          <w:pgMar w:left="1440" w:top="644" w:right="1440" w:bottom="1440" w:gutter="0" w:footer="0" w:header="0"/>
        </w:sectPr>
      </w:pPr>
    </w:p>
    <w:p>
      <w:pPr>
        <w:spacing w:after="0" w:line="18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644"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644"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44" w:right="1440" w:bottom="1440" w:gutter="0" w:footer="0" w:header="0"/>
          <w:type w:val="continuous"/>
        </w:sectPr>
      </w:pPr>
    </w:p>
    <w:p>
      <w:pPr>
        <w:spacing w:after="0" w:line="196" w:lineRule="exact"/>
        <w:rPr>
          <w:sz w:val="24"/>
          <w:szCs w:val="24"/>
          <w:color w:val="auto"/>
        </w:rPr>
      </w:pPr>
    </w:p>
    <w:p>
      <w:pPr>
        <w:ind w:left="760" w:hanging="306"/>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3" w:lineRule="exact"/>
        <w:rPr>
          <w:sz w:val="24"/>
          <w:szCs w:val="24"/>
          <w:color w:val="auto"/>
        </w:rPr>
      </w:pPr>
    </w:p>
    <w:p>
      <w:pPr>
        <w:ind w:left="760" w:hanging="306"/>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760" w:hanging="306"/>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760" w:hanging="306"/>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760" w:hanging="306"/>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CID HoldCo, Inc.</w:t>
      </w:r>
    </w:p>
    <w:p>
      <w:pPr>
        <w:spacing w:after="0" w:line="3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w:t>
      </w: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w:t>
      </w:r>
    </w:p>
    <w:p>
      <w:pPr>
        <w:spacing w:after="0" w:line="1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33" w:lineRule="exact"/>
        <w:rPr>
          <w:sz w:val="24"/>
          <w:szCs w:val="24"/>
          <w:color w:val="auto"/>
        </w:rPr>
      </w:pPr>
    </w:p>
    <w:p>
      <w:pPr>
        <w:ind w:left="760" w:hanging="306"/>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sz w:val="24"/>
          <w:szCs w:val="24"/>
          <w:color w:val="auto"/>
        </w:rPr>
      </w:pPr>
    </w:p>
    <w:p>
      <w:pPr>
        <w:ind w:left="760" w:hanging="306"/>
        <w:spacing w:after="0"/>
        <w:tabs>
          <w:tab w:leader="none" w:pos="7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760" w:hanging="306"/>
        <w:spacing w:after="0"/>
        <w:tabs>
          <w:tab w:leader="none" w:pos="7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tabs>
          <w:tab w:leader="none" w:pos="660" w:val="left"/>
        </w:tabs>
        <w:rPr>
          <w:sz w:val="20"/>
          <w:szCs w:val="20"/>
          <w:color w:val="auto"/>
        </w:rPr>
      </w:pPr>
      <w:r>
        <w:rPr>
          <w:rFonts w:ascii="Times New Roman" w:cs="Times New Roman" w:eastAsia="Times New Roman" w:hAnsi="Times New Roman"/>
          <w:sz w:val="18"/>
          <w:szCs w:val="18"/>
          <w:color w:val="auto"/>
        </w:rPr>
        <w:t>[</w:t>
        <w:tab/>
        <w:t>],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Stockholders of CID Holdco, Inc.:</w:t>
      </w:r>
    </w:p>
    <w:p>
      <w:pPr>
        <w:spacing w:after="0" w:line="10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CID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be held on April 30, 2026, at 11:00 a.m. Pacific Time. The Annual Meeting will be a virtual meeting of stockholders, which will be conducted via a live video webcast. You will be able to attend the Annual Meeting, submit your questions and vote online during the Annual Meeting by visiting [ ].</w:t>
      </w:r>
    </w:p>
    <w:p>
      <w:pPr>
        <w:spacing w:after="0" w:line="4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Attached to this letter are a Notice of Annual Meeting of Stockholders and Proxy Statement, which describe the business to be conducted at the Annual Meeting.</w:t>
      </w:r>
    </w:p>
    <w:p>
      <w:pPr>
        <w:spacing w:after="0" w:line="36"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urges you to read the accompanying Proxy Statement and you will be asked to consider the following proposals:</w:t>
      </w:r>
    </w:p>
    <w:p>
      <w:pPr>
        <w:spacing w:after="0" w:line="37" w:lineRule="exact"/>
        <w:rPr>
          <w:sz w:val="20"/>
          <w:szCs w:val="20"/>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nominee, Phyllis Newhouse, to serve until her term expires or until her successor is duly elected and qualified, as described herein;</w:t>
      </w:r>
    </w:p>
    <w:p>
      <w:pPr>
        <w:spacing w:after="0" w:line="2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Carr, Riggs &amp; Ingram, LLC as our independent registered public accounting firm for the fiscal year ending December 31, 2026;</w:t>
      </w:r>
    </w:p>
    <w:p>
      <w:pPr>
        <w:spacing w:after="0" w:line="4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authorize the Board to effect one or more reverse stock splits of our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by a ratio of not less than one-for-ten (1:10) and not more than one-for-twenty-five (1:25) of the Common Stock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with the exact ratio to be set within this range by the Board in its sole discretion, and with the number of Reverse Stock Splits, if any, to be determined by the Board in its sole discretion;</w:t>
      </w:r>
    </w:p>
    <w:p>
      <w:pPr>
        <w:spacing w:after="0" w:line="6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Rules 5635(b) and 5635(d), the issuance of shares of Common Stock and warrants to purchase shares of Common Stock in connection with the following potential financing transactions:</w:t>
      </w:r>
    </w:p>
    <w:p>
      <w:pPr>
        <w:spacing w:after="0" w:line="40"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A:Financing documents between the Company and one or more potential financing sources (“</w:t>
      </w:r>
      <w:r>
        <w:rPr>
          <w:rFonts w:ascii="Times New Roman" w:cs="Times New Roman" w:eastAsia="Times New Roman" w:hAnsi="Times New Roman"/>
          <w:sz w:val="18"/>
          <w:szCs w:val="18"/>
          <w:b w:val="1"/>
          <w:bCs w:val="1"/>
          <w:i w:val="1"/>
          <w:iCs w:val="1"/>
          <w:color w:val="auto"/>
        </w:rPr>
        <w:t>Financing Source A</w:t>
      </w:r>
      <w:r>
        <w:rPr>
          <w:rFonts w:ascii="Times New Roman" w:cs="Times New Roman" w:eastAsia="Times New Roman" w:hAnsi="Times New Roman"/>
          <w:sz w:val="18"/>
          <w:szCs w:val="18"/>
          <w:color w:val="auto"/>
        </w:rPr>
        <w:t>”),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2025, between the Company and J.J. Astor &amp; Co. (the “</w:t>
      </w:r>
      <w:r>
        <w:rPr>
          <w:rFonts w:ascii="Times New Roman" w:cs="Times New Roman" w:eastAsia="Times New Roman" w:hAnsi="Times New Roman"/>
          <w:sz w:val="18"/>
          <w:szCs w:val="18"/>
          <w:b w:val="1"/>
          <w:bCs w:val="1"/>
          <w:i w:val="1"/>
          <w:iCs w:val="1"/>
          <w:color w:val="auto"/>
        </w:rPr>
        <w:t>J.J. Astor Loan</w:t>
      </w:r>
      <w:r>
        <w:rPr>
          <w:rFonts w:ascii="Times New Roman" w:cs="Times New Roman" w:eastAsia="Times New Roman" w:hAnsi="Times New Roman"/>
          <w:sz w:val="18"/>
          <w:szCs w:val="18"/>
          <w:color w:val="auto"/>
        </w:rPr>
        <w:t>”) and terminate that certain Share Purchase Agreement (the “</w:t>
      </w:r>
      <w:r>
        <w:rPr>
          <w:rFonts w:ascii="Times New Roman" w:cs="Times New Roman" w:eastAsia="Times New Roman" w:hAnsi="Times New Roman"/>
          <w:sz w:val="18"/>
          <w:szCs w:val="18"/>
          <w:b w:val="1"/>
          <w:bCs w:val="1"/>
          <w:i w:val="1"/>
          <w:iCs w:val="1"/>
          <w:color w:val="auto"/>
        </w:rPr>
        <w:t>Original ELOC</w:t>
      </w:r>
      <w:r>
        <w:rPr>
          <w:rFonts w:ascii="Times New Roman" w:cs="Times New Roman" w:eastAsia="Times New Roman" w:hAnsi="Times New Roman"/>
          <w:sz w:val="18"/>
          <w:szCs w:val="18"/>
          <w:color w:val="auto"/>
        </w:rPr>
        <w:t>”) with New Circle Principal Investments LLC, a Delaware limited liability company (“</w:t>
      </w:r>
      <w:r>
        <w:rPr>
          <w:rFonts w:ascii="Times New Roman" w:cs="Times New Roman" w:eastAsia="Times New Roman" w:hAnsi="Times New Roman"/>
          <w:sz w:val="18"/>
          <w:szCs w:val="18"/>
          <w:b w:val="1"/>
          <w:bCs w:val="1"/>
          <w:i w:val="1"/>
          <w:iCs w:val="1"/>
          <w:color w:val="auto"/>
        </w:rPr>
        <w:t>New Circle</w:t>
      </w:r>
      <w:r>
        <w:rPr>
          <w:rFonts w:ascii="Times New Roman" w:cs="Times New Roman" w:eastAsia="Times New Roman" w:hAnsi="Times New Roman"/>
          <w:sz w:val="18"/>
          <w:szCs w:val="18"/>
          <w:color w:val="auto"/>
        </w:rPr>
        <w:t>”), in an amount that may exceed 20% of the Company’s Common Stock currently outstanding;</w:t>
      </w:r>
    </w:p>
    <w:p>
      <w:pPr>
        <w:spacing w:after="0" w:line="66"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B: Financing documents between the Company and one or more financing sources (“</w:t>
      </w:r>
      <w:r>
        <w:rPr>
          <w:rFonts w:ascii="Times New Roman" w:cs="Times New Roman" w:eastAsia="Times New Roman" w:hAnsi="Times New Roman"/>
          <w:sz w:val="18"/>
          <w:szCs w:val="18"/>
          <w:b w:val="1"/>
          <w:bCs w:val="1"/>
          <w:i w:val="1"/>
          <w:iCs w:val="1"/>
          <w:color w:val="auto"/>
        </w:rPr>
        <w:t>Financing Source B</w:t>
      </w:r>
      <w:r>
        <w:rPr>
          <w:rFonts w:ascii="Times New Roman" w:cs="Times New Roman" w:eastAsia="Times New Roman" w:hAnsi="Times New Roman"/>
          <w:sz w:val="18"/>
          <w:szCs w:val="18"/>
          <w:color w:val="auto"/>
        </w:rPr>
        <w:t>”), including a common stock purchase agreement establishing an equity line of credit, a preferred stock purchase agreement, and a common stock purchase warrant, in order to, among other things, entirely pay off the J.J. Astor Loan and terminate the Original ELOC, in an amount that may exceed 20% of the Company’s Common Stock currently outstanding.</w:t>
      </w:r>
    </w:p>
    <w:p>
      <w:pPr>
        <w:spacing w:after="0" w:line="6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5635(b) and 5635(d), solely if the Company defaults on the J.J. Astor Loan, the issuance of shares of Common Stock upon conversion of the remaining balance of the senior convertible note issued by the Company pursuant to the terms of the J.J. Astor Loan, without giving effect to the exchange cap in such convertible note;</w:t>
      </w:r>
    </w:p>
    <w:p>
      <w:pPr>
        <w:spacing w:after="0" w:line="4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and</w:t>
      </w:r>
    </w:p>
    <w:p>
      <w:pPr>
        <w:spacing w:after="0" w:line="6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Equity Incentive Plan to increase the number of shares of Common Stock available for issuance thereunder to 19,959,853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9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Your vote is important to us. Whether or not you plan to virtually attend the Annual Meeting, we encourage you to vote your shares. Accordingly, we request that as soon as possible, you vote via the Internet or, if you have received printed proxy materials, you vote by telephone or by mailing your completed proxy card or voting instruction form.</w:t>
      </w:r>
    </w:p>
    <w:p>
      <w:pPr>
        <w:spacing w:after="0" w:line="5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or need any assistance in voting your shares, please contact a Company representative at (262) 357-2918 or by email at ir@daic.ai.</w:t>
      </w:r>
    </w:p>
    <w:p>
      <w:pPr>
        <w:spacing w:after="0" w:line="3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WE ARE GRATEFUL FOR YOUR CONTINUED SUPPORT AND WILL WORK EVERYDAY TO TAKE FULL ADVANTAGE OF ALL OPPORTUNITIES TO ENHANCE LONG-TERM VALUE.</w:t>
      </w:r>
    </w:p>
    <w:p>
      <w:pPr>
        <w:spacing w:after="0" w:line="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Thank you for your interest and investment in CID HoldCo, Inc.</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48" w:lineRule="exact"/>
        <w:rPr>
          <w:sz w:val="20"/>
          <w:szCs w:val="20"/>
          <w:color w:val="auto"/>
        </w:rPr>
      </w:pPr>
    </w:p>
    <w:p>
      <w:pPr>
        <w:ind w:left="7800"/>
        <w:spacing w:after="0"/>
        <w:tabs>
          <w:tab w:leader="none" w:pos="8020" w:val="left"/>
        </w:tabs>
        <w:rPr>
          <w:sz w:val="20"/>
          <w:szCs w:val="20"/>
          <w:color w:val="auto"/>
        </w:rPr>
      </w:pPr>
      <w:r>
        <w:rPr>
          <w:rFonts w:ascii="Times New Roman" w:cs="Times New Roman" w:eastAsia="Times New Roman" w:hAnsi="Times New Roman"/>
          <w:sz w:val="18"/>
          <w:szCs w:val="18"/>
          <w:color w:val="auto"/>
        </w:rPr>
        <w:t>[</w:t>
        <w:tab/>
        <w:t>], 2026</w:t>
      </w:r>
    </w:p>
    <w:p>
      <w:pPr>
        <w:spacing w:after="0" w:line="14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The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CID HoldCo, Inc. (“</w:t>
      </w:r>
      <w:r>
        <w:rPr>
          <w:rFonts w:ascii="Times New Roman" w:cs="Times New Roman" w:eastAsia="Times New Roman" w:hAnsi="Times New Roman"/>
          <w:sz w:val="18"/>
          <w:szCs w:val="18"/>
          <w:b w:val="1"/>
          <w:bCs w:val="1"/>
          <w:i w:val="1"/>
          <w:iCs w:val="1"/>
          <w:color w:val="auto"/>
        </w:rPr>
        <w:t>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held on April 30, 2026, at 11:00 a.m. Pacific Time. The Annual Meeting will be a virtual meeting of stockholders, which will be conducted via a live video webcast. You will be able to attend the Annual Meeting, submit your questions and vote online during the Annual Meeting by visiting [ ].</w:t>
      </w:r>
    </w:p>
    <w:p>
      <w:pPr>
        <w:spacing w:after="0" w:line="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Annual Meeting will take place for the following purposes:</w:t>
      </w:r>
    </w:p>
    <w:p>
      <w:pPr>
        <w:spacing w:after="0" w:line="131" w:lineRule="exact"/>
        <w:rPr>
          <w:sz w:val="20"/>
          <w:szCs w:val="20"/>
          <w:color w:val="auto"/>
        </w:rPr>
      </w:pPr>
    </w:p>
    <w:p>
      <w:pPr>
        <w:ind w:left="1320" w:right="459" w:hanging="434"/>
        <w:spacing w:after="0" w:line="282"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 director nominee, Phyllis Newhouse, to serve until her term expires or until her successor is duly elected and qualified, as described herein;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Carr, Riggs &amp; Ingram, LLC as our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authorize the Board to effect one or more reverse stock splits of our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by a ratio of not less than one-for-ten (1:10) and not more than one-for-twenty-five (1:25) of the Common Stock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with the exact ratio to be set within this range by the Board in its sole discretion, and with the number of Reverse Stock Splits, if any, to be determined by the Board in its sole discretion;</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Rules 5635(b) and 5635(d), the issuance of shares of Common Stock and warrants to purchase shares of Common Stock in connection with the following potential financing transactions: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A:Financing documents between the Company and one or more potential financing sources (“</w:t>
      </w:r>
      <w:r>
        <w:rPr>
          <w:rFonts w:ascii="Times New Roman" w:cs="Times New Roman" w:eastAsia="Times New Roman" w:hAnsi="Times New Roman"/>
          <w:sz w:val="18"/>
          <w:szCs w:val="18"/>
          <w:b w:val="1"/>
          <w:bCs w:val="1"/>
          <w:i w:val="1"/>
          <w:iCs w:val="1"/>
          <w:color w:val="auto"/>
        </w:rPr>
        <w:t>Financing Source A</w:t>
      </w:r>
      <w:r>
        <w:rPr>
          <w:rFonts w:ascii="Times New Roman" w:cs="Times New Roman" w:eastAsia="Times New Roman" w:hAnsi="Times New Roman"/>
          <w:sz w:val="18"/>
          <w:szCs w:val="18"/>
          <w:color w:val="auto"/>
        </w:rPr>
        <w:t>”),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2025, between the Company and J.J. Astor &amp; Co. (the “</w:t>
      </w:r>
      <w:r>
        <w:rPr>
          <w:rFonts w:ascii="Times New Roman" w:cs="Times New Roman" w:eastAsia="Times New Roman" w:hAnsi="Times New Roman"/>
          <w:sz w:val="18"/>
          <w:szCs w:val="18"/>
          <w:b w:val="1"/>
          <w:bCs w:val="1"/>
          <w:i w:val="1"/>
          <w:iCs w:val="1"/>
          <w:color w:val="auto"/>
        </w:rPr>
        <w:t>J.J. Astor Loan</w:t>
      </w:r>
      <w:r>
        <w:rPr>
          <w:rFonts w:ascii="Times New Roman" w:cs="Times New Roman" w:eastAsia="Times New Roman" w:hAnsi="Times New Roman"/>
          <w:sz w:val="18"/>
          <w:szCs w:val="18"/>
          <w:color w:val="auto"/>
        </w:rPr>
        <w:t>”) and terminate that certain Share Purchase Agreement (the “</w:t>
      </w:r>
      <w:r>
        <w:rPr>
          <w:rFonts w:ascii="Times New Roman" w:cs="Times New Roman" w:eastAsia="Times New Roman" w:hAnsi="Times New Roman"/>
          <w:sz w:val="18"/>
          <w:szCs w:val="18"/>
          <w:b w:val="1"/>
          <w:bCs w:val="1"/>
          <w:i w:val="1"/>
          <w:iCs w:val="1"/>
          <w:color w:val="auto"/>
        </w:rPr>
        <w:t>Original ELOC</w:t>
      </w:r>
      <w:r>
        <w:rPr>
          <w:rFonts w:ascii="Times New Roman" w:cs="Times New Roman" w:eastAsia="Times New Roman" w:hAnsi="Times New Roman"/>
          <w:sz w:val="18"/>
          <w:szCs w:val="18"/>
          <w:color w:val="auto"/>
        </w:rPr>
        <w:t>”) with New Circle Principal Investments LLC, a Delaware limited liability company (“</w:t>
      </w:r>
      <w:r>
        <w:rPr>
          <w:rFonts w:ascii="Times New Roman" w:cs="Times New Roman" w:eastAsia="Times New Roman" w:hAnsi="Times New Roman"/>
          <w:sz w:val="18"/>
          <w:szCs w:val="18"/>
          <w:b w:val="1"/>
          <w:bCs w:val="1"/>
          <w:i w:val="1"/>
          <w:iCs w:val="1"/>
          <w:color w:val="auto"/>
        </w:rPr>
        <w:t>New Circle</w:t>
      </w:r>
      <w:r>
        <w:rPr>
          <w:rFonts w:ascii="Times New Roman" w:cs="Times New Roman" w:eastAsia="Times New Roman" w:hAnsi="Times New Roman"/>
          <w:sz w:val="18"/>
          <w:szCs w:val="18"/>
          <w:color w:val="auto"/>
        </w:rPr>
        <w:t>”), in an amount that may exceed 20% of the Company’s Common Stock currently outstanding;</w:t>
      </w:r>
    </w:p>
    <w:p>
      <w:pPr>
        <w:spacing w:after="0" w:line="120"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B:Financing documents between the Company and one or more potential financing sources (“</w:t>
      </w:r>
      <w:r>
        <w:rPr>
          <w:rFonts w:ascii="Times New Roman" w:cs="Times New Roman" w:eastAsia="Times New Roman" w:hAnsi="Times New Roman"/>
          <w:sz w:val="18"/>
          <w:szCs w:val="18"/>
          <w:b w:val="1"/>
          <w:bCs w:val="1"/>
          <w:i w:val="1"/>
          <w:iCs w:val="1"/>
          <w:color w:val="auto"/>
        </w:rPr>
        <w:t>Financing Source B</w:t>
      </w:r>
      <w:r>
        <w:rPr>
          <w:rFonts w:ascii="Times New Roman" w:cs="Times New Roman" w:eastAsia="Times New Roman" w:hAnsi="Times New Roman"/>
          <w:sz w:val="18"/>
          <w:szCs w:val="18"/>
          <w:color w:val="auto"/>
        </w:rPr>
        <w:t>”), including a common stock purchase agreement establishing an equity line of credit, a preferred stock purchase agreement, and a common stock purchase warrant, in order to, among other things, entirely pay off the J.J. Astor Loan and terminate the Original ELOC, in an amount that may exceed 20% of the Company’s Common Stock currently outstanding.</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5635(b) and 5635(d), solely if the Company defaults on the J.J. Astor Loan, the issuance of shares of Common Stock upon conversion of the remaining balance of the senior convertible note issued by the Company pursuant to the terms of the J.J. Astor Loan, without giving effect to the exchange cap in such convertible note;</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Equity Incentive Plan to increase the number of shares of Common Stock available for issuance thereunder to 19,959,853 shares.</w:t>
      </w:r>
    </w:p>
    <w:p>
      <w:pPr>
        <w:spacing w:after="0" w:line="6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 Only stockholders of record at the close of business on March 24, 2026, the record date for the Annual Meeting, are entitled to notice of and to vote at the Annual Meeting or any adjournments or postponements.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are using the “Full Set Delivery” method of providing proxy materials to our stockholders. As such, on or about [ ], 2026, we will mail to our stockholders of record our Proxy Statement and proxy card, as well as provide access to the proxy materials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Annual Meeting. Whether or not you plan to virtually attend the Annual Meeting, we encourage you to submit your proxy as soon as possible. For specific instructions, please refer to your Notice or to the question on page 6 of the accompanying Proxy Statement entitled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308610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PROXY STATEMENT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BOARD OF DIRECTORS AND CORPORATE GOVERNANCE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DIRECTOR COMPENSATION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42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AUDIT COMMITTEE REPORT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3 APPROVAL OF THE REVERSE SPLIT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PROPOSAL 4 APPROVAL OF THE NASDAQ SERVICE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5 APPROVAL OF THE NASDAQ CONVERSION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PROPOSAL 6 APPROVAL OF THE NASDAQ 20%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PROPOSAL 7 APPROVAL OF THE INCENTIVE PLAN AMENDMENT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CERTAIN BENEFICIAL OWNERSHIP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TRANSACTIONS WITH RELATED PERSONS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80" w:type="dxa"/>
            <w:vAlign w:val="bottom"/>
            <w:tcBorders>
              <w:bottom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5400" w:type="dxa"/>
            <w:vAlign w:val="bottom"/>
            <w:gridSpan w:val="16"/>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11:00 A.M. PACIFIC TIME ON APRIL 30, 2026</w:t>
      </w:r>
    </w:p>
    <w:p>
      <w:pPr>
        <w:spacing w:after="0" w:line="12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CID’s 2026 Annual Meeting of Stockholders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will be held via a live audio webcast on April 30, 2026, at 11:00 a.m. Pacific Time. You are invited to attend the Annual Meeting to vote on the proposals described in this proxy statement (this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if you are a stockholder as of the close of business on March 24, 2026, the record date for the Annual Meeting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or hold a valid proxy for the Annual Meeting. However, you do not need to attend the Annual Meeting to vote your shares. Instead, you may simply follow the instructions below to submit your proxy.</w:t>
      </w:r>
    </w:p>
    <w:p>
      <w:pPr>
        <w:spacing w:after="0" w:line="11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proxy materials, including this Proxy Statement and our Annual Report on Form 10-K for the year ended December 31, 2025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 together with this Proxy Statement, the “</w:t>
      </w:r>
      <w:r>
        <w:rPr>
          <w:rFonts w:ascii="Times New Roman" w:cs="Times New Roman" w:eastAsia="Times New Roman" w:hAnsi="Times New Roman"/>
          <w:sz w:val="18"/>
          <w:szCs w:val="18"/>
          <w:b w:val="1"/>
          <w:bCs w:val="1"/>
          <w:i w:val="1"/>
          <w:i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Materials</w:t>
      </w:r>
      <w:r>
        <w:rPr>
          <w:rFonts w:ascii="Times New Roman" w:cs="Times New Roman" w:eastAsia="Times New Roman" w:hAnsi="Times New Roman"/>
          <w:sz w:val="18"/>
          <w:szCs w:val="18"/>
          <w:color w:val="auto"/>
        </w:rPr>
        <w:t>”), are being mailed and distributed to the stockholders on or about [ ], 2026.</w:t>
      </w:r>
    </w:p>
    <w:p>
      <w:pPr>
        <w:spacing w:after="0" w:line="10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CID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CID Holdco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CID</w:t>
      </w:r>
      <w:r>
        <w:rPr>
          <w:rFonts w:ascii="Times New Roman" w:cs="Times New Roman" w:eastAsia="Times New Roman" w:hAnsi="Times New Roman"/>
          <w:sz w:val="18"/>
          <w:szCs w:val="18"/>
          <w:color w:val="auto"/>
        </w:rPr>
        <w:t>”), formerly known as SEE ID Inc., dba Dot AI (the “</w:t>
      </w:r>
      <w:r>
        <w:rPr>
          <w:rFonts w:ascii="Times New Roman" w:cs="Times New Roman" w:eastAsia="Times New Roman" w:hAnsi="Times New Roman"/>
          <w:sz w:val="18"/>
          <w:szCs w:val="18"/>
          <w:b w:val="1"/>
          <w:bCs w:val="1"/>
          <w:i w:val="1"/>
          <w:iCs w:val="1"/>
          <w:color w:val="auto"/>
        </w:rPr>
        <w:t>Legacy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SEE ID</w:t>
      </w:r>
      <w:r>
        <w:rPr>
          <w:rFonts w:ascii="Times New Roman" w:cs="Times New Roman" w:eastAsia="Times New Roman" w:hAnsi="Times New Roman"/>
          <w:sz w:val="18"/>
          <w:szCs w:val="18"/>
          <w:color w:val="auto"/>
        </w:rPr>
        <w:t>”),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w:t>
      </w:r>
      <w:r>
        <w:rPr>
          <w:rFonts w:ascii="Times New Roman" w:cs="Times New Roman" w:eastAsia="Times New Roman" w:hAnsi="Times New Roman"/>
          <w:sz w:val="18"/>
          <w:szCs w:val="18"/>
          <w:b w:val="1"/>
          <w:bCs w:val="1"/>
          <w:i w:val="1"/>
          <w:iCs w:val="1"/>
          <w:color w:val="auto"/>
        </w:rPr>
        <w:t>DFM</w:t>
      </w:r>
      <w:r>
        <w:rPr>
          <w:rFonts w:ascii="Times New Roman" w:cs="Times New Roman" w:eastAsia="Times New Roman" w:hAnsi="Times New Roman"/>
          <w:sz w:val="18"/>
          <w:szCs w:val="18"/>
          <w:color w:val="auto"/>
        </w:rPr>
        <w:t>”) capability is built around our CTO in Worcester, MA and our core software team is in Bangalore, India.</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Throughout this Proxy Statement,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information provided below is for your convenience only and is merely a summary of the information contained in this Proxy Statement. You should read this entire Proxy Statement carefully before casting your vote. Information contained on, or that can be accessed through our website is not intended to be incorporated by reference into this Proxy Statement, and references to our website addressed in this Proxy Statement are inactive textual references only.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58"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color w:val="auto"/>
        </w:rPr>
        <w:t>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soliciting your proxy to vote at the Annual Meeting, including any adjournments or postponements thereof. Only stockholders of record at the close of business on the Record</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Date will be entitled to vote at the Annual Meeting. On the Record Date, there were [ ] shares of common stock of CID,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outstanding and entitled to vote. As a stockholder of record of our Common Stock at the close of business on the Record Date, you are invited to attend the Annual Meeting and are entitled to and requested to vote on the items of business described in this Proxy Statement.</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Statement, along with the accompanying notice, summarizes the purposes of the Annual Meeting and the information you need to know to vote on the proposals described in this Proxy Statement.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electronically access the Proxy Materials?</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Beginning [ ], 2026, you can access the Proxy Materials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The Proxy Materials are also available on our own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 xml:space="preserve"> (information at or connected to our website is not and should not be considered part of this Proxy Statement).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information is contained in this Proxy Statement?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Proxy Statement includes information about the nominees for directors and other matters to be voted on at our Annual Meeting. It also explains the voting process and requirements; describes the compensation of our principal executive officer and the next two most highly compensated executive officers; describes the compensation of our directors; and provides certain other information that the SEC rules require.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Annual Meeting online?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be hosting the meeting via live webcast only. Any stockholder can attend the meeting live online</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at [ ]. The webcast will start at 11:00 a.m. Pacific Time. Stockholders may vote and submit questions while attending the meeting online. We encourage you to access the meeting prior to the start time. The webcast will open 15 minutes before the start of the meeting. In order to enter the meeting, you will need the control number. The control number will be included in the Notice, on your proxy card if you are a stockholder of record of shares of Common Stock, or with your voting instructions received from your broker, bank, or other agent if you hold your shares of Common Stock in a “street name.” Instructions on how to attend and participate online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The webcast will be recorded and available for replay for at least 30 days following the Annual Meeting on our investor relations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How many shares are eligible to be voted and how many shares are required to hold the Annual Meeting?</w:t>
      </w:r>
    </w:p>
    <w:p>
      <w:pPr>
        <w:spacing w:after="0" w:line="16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 quorum is required to hold the Annual Meeting and conduct business. The presence at the Annual Meeting, virtually or by proxy, of stockholders representing a majority of the voting power of all the outstanding shares of stock entitled to vote at the Annual Meeting as of the close of business on the Record Date, will constitute a quorum for purposes of holding and conducting business at the Annual Meeting. As of</w:t>
      </w:r>
    </w:p>
    <w:p>
      <w:pPr>
        <w:spacing w:after="0" w:line="3" w:lineRule="exact"/>
        <w:rPr>
          <w:sz w:val="20"/>
          <w:szCs w:val="20"/>
          <w:color w:val="auto"/>
        </w:rPr>
      </w:pPr>
    </w:p>
    <w:p>
      <w:pPr>
        <w:ind w:left="460"/>
        <w:spacing w:after="0"/>
        <w:tabs>
          <w:tab w:leader="none" w:pos="2820" w:val="left"/>
        </w:tabs>
        <w:rPr>
          <w:sz w:val="20"/>
          <w:szCs w:val="20"/>
          <w:color w:val="auto"/>
        </w:rPr>
      </w:pPr>
      <w:r>
        <w:rPr>
          <w:rFonts w:ascii="Times New Roman" w:cs="Times New Roman" w:eastAsia="Times New Roman" w:hAnsi="Times New Roman"/>
          <w:sz w:val="18"/>
          <w:szCs w:val="18"/>
          <w:color w:val="auto"/>
        </w:rPr>
        <w:t>the Record Date, we had [</w:t>
      </w:r>
      <w:r>
        <w:rPr>
          <w:sz w:val="20"/>
          <w:szCs w:val="20"/>
          <w:color w:val="auto"/>
        </w:rPr>
        <w:tab/>
      </w:r>
      <w:r>
        <w:rPr>
          <w:rFonts w:ascii="Times New Roman" w:cs="Times New Roman" w:eastAsia="Times New Roman" w:hAnsi="Times New Roman"/>
          <w:sz w:val="18"/>
          <w:szCs w:val="18"/>
          <w:color w:val="auto"/>
        </w:rPr>
        <w:t>] shares of our Common Stock outstanding, each entitled to one vote at the</w:t>
      </w:r>
    </w:p>
    <w:p>
      <w:pPr>
        <w:spacing w:after="0" w:line="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Annual Meeting, meaning that [ ] shares of Common Stock must be represented virtually or by proxy to have a quorum. Our Common Stock is our only outstanding class of voting securities. For purposes of determining whether a quorum exists, broker non-votes and proxies received but marked “ABSTAIN” will be counted.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matters am I voting 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are five matters scheduled for a vote. The following table sets forth a description of each of the proposals you are being asked to vote on, how you may vote on each proposal, and how our Board recommends that you vote on each proposal.</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How Does our Board Recommend</w:t>
            </w:r>
          </w:p>
        </w:tc>
        <w:tc>
          <w:tcPr>
            <w:tcW w:w="0" w:type="dxa"/>
            <w:vAlign w:val="bottom"/>
          </w:tcPr>
          <w:p>
            <w:pPr>
              <w:spacing w:after="0"/>
              <w:rPr>
                <w:sz w:val="1"/>
                <w:szCs w:val="1"/>
                <w:color w:val="auto"/>
              </w:rPr>
            </w:pPr>
          </w:p>
        </w:tc>
      </w:tr>
      <w:tr>
        <w:trPr>
          <w:trHeight w:val="212"/>
        </w:trPr>
        <w:tc>
          <w:tcPr>
            <w:tcW w:w="3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4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How May I Vote?</w:t>
            </w:r>
          </w:p>
        </w:tc>
        <w:tc>
          <w:tcPr>
            <w:tcW w:w="38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That I Vote?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0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40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1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Proposal No. 1:</w:t>
            </w:r>
          </w:p>
        </w:tc>
        <w:tc>
          <w:tcPr>
            <w:tcW w:w="100" w:type="dxa"/>
            <w:vAlign w:val="bottom"/>
            <w:vMerge w:val="continue"/>
          </w:tcPr>
          <w:p>
            <w:pPr>
              <w:spacing w:after="0"/>
              <w:rPr>
                <w:sz w:val="14"/>
                <w:szCs w:val="14"/>
                <w:color w:val="auto"/>
              </w:rPr>
            </w:pPr>
          </w:p>
        </w:tc>
        <w:tc>
          <w:tcPr>
            <w:tcW w:w="2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You may either vote FOR or</w:t>
            </w:r>
          </w:p>
        </w:tc>
        <w:tc>
          <w:tcPr>
            <w:tcW w:w="100" w:type="dxa"/>
            <w:vAlign w:val="bottom"/>
            <w:vMerge w:val="continue"/>
          </w:tcPr>
          <w:p>
            <w:pPr>
              <w:spacing w:after="0"/>
              <w:rPr>
                <w:sz w:val="14"/>
                <w:szCs w:val="14"/>
                <w:color w:val="auto"/>
              </w:rPr>
            </w:pPr>
          </w:p>
        </w:tc>
        <w:tc>
          <w:tcPr>
            <w:tcW w:w="24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Our Board recommends a vote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elect one Class I director nominee,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with respect to the</w:t>
            </w: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each of the Class I director</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Phyllis Newhouse, to serve until her term</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each nominee.</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expires or until her successor is duly elected</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qualified, as described herein.</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2:</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   may   vote   FOR   or</w:t>
            </w: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Board recommends a vote</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ratify the appointment of Carr, Riggs &amp;</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or   you   may</w:t>
            </w: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ratification  of  the</w:t>
            </w:r>
          </w:p>
        </w:tc>
        <w:tc>
          <w:tcPr>
            <w:tcW w:w="0" w:type="dxa"/>
            <w:vAlign w:val="bottom"/>
          </w:tcPr>
          <w:p>
            <w:pPr>
              <w:spacing w:after="0"/>
              <w:rPr>
                <w:sz w:val="1"/>
                <w:szCs w:val="1"/>
                <w:color w:val="auto"/>
              </w:rPr>
            </w:pPr>
          </w:p>
        </w:tc>
      </w:tr>
      <w:tr>
        <w:trPr>
          <w:trHeight w:val="22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Ingram, LLC (“</w:t>
            </w:r>
            <w:r>
              <w:rPr>
                <w:rFonts w:ascii="Times New Roman" w:cs="Times New Roman" w:eastAsia="Times New Roman" w:hAnsi="Times New Roman"/>
                <w:sz w:val="18"/>
                <w:szCs w:val="18"/>
                <w:b w:val="1"/>
                <w:bCs w:val="1"/>
                <w:i w:val="1"/>
                <w:iCs w:val="1"/>
                <w:color w:val="auto"/>
              </w:rPr>
              <w:t>CRI</w:t>
            </w:r>
            <w:r>
              <w:rPr>
                <w:rFonts w:ascii="Times New Roman" w:cs="Times New Roman" w:eastAsia="Times New Roman" w:hAnsi="Times New Roman"/>
                <w:sz w:val="18"/>
                <w:szCs w:val="18"/>
                <w:color w:val="auto"/>
              </w:rPr>
              <w:t>”) as our independent</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 from voting.</w:t>
            </w: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appointment of Carr, Riggs &amp;</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public accounting firm for the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Ingram, LLC as our independent</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accounting</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firm  for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ending</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approve an amendment to our Amended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Restated Certificate of Incorporation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 the Board to effect one or more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reverse stock splits of our Common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a ratio of not less than one-for-ten (1:10)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not more than one-for-twenty-five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(1:25) of the Common Stock (the “</w:t>
      </w:r>
      <w:r>
        <w:rPr>
          <w:rFonts w:ascii="Times New Roman" w:cs="Times New Roman" w:eastAsia="Times New Roman" w:hAnsi="Times New Roman"/>
          <w:sz w:val="18"/>
          <w:szCs w:val="18"/>
          <w:b w:val="1"/>
          <w:bCs w:val="1"/>
          <w:i w:val="1"/>
          <w:iCs w:val="1"/>
          <w:color w:val="auto"/>
        </w:rPr>
        <w:t>Reverse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r>
        <w:rPr>
          <w:rFonts w:ascii="Times New Roman" w:cs="Times New Roman" w:eastAsia="Times New Roman" w:hAnsi="Times New Roman"/>
          <w:sz w:val="18"/>
          <w:szCs w:val="18"/>
          <w:color w:val="auto"/>
        </w:rPr>
        <w:t>”), with the exact ratio to be set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within this range by our Board in its sole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discretion, with the number of Reverse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Splits, if any, and the exact ratio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Reverse Stock Split to be determined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discretion of the Board in its sole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discretion (the “</w:t>
      </w:r>
      <w:r>
        <w:rPr>
          <w:rFonts w:ascii="Times New Roman" w:cs="Times New Roman" w:eastAsia="Times New Roman" w:hAnsi="Times New Roman"/>
          <w:sz w:val="18"/>
          <w:szCs w:val="18"/>
          <w:b w:val="1"/>
          <w:bCs w:val="1"/>
          <w:i w:val="1"/>
          <w:iCs w:val="1"/>
          <w:color w:val="auto"/>
        </w:rPr>
        <w:t>Reverse Split Proposal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4</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8"/>
          <w:szCs w:val="18"/>
          <w:color w:val="auto"/>
        </w:rPr>
        <w:t>To approve, for purposes of complying with Nasdaq Listing Rules 5635(b) and 5635(d), the issuance of shares of Common Stock and warrants to purchase shares of Common Stock in connection with certain financing transactions between one of two or more potential financing sources, in order to, among other things, either make scheduled monthly payments under or entirely pay off that certain Loan Agreement, dated December 4, 2025, between the Company and J.J. Astor &amp; Co. (the “</w:t>
      </w:r>
      <w:r>
        <w:rPr>
          <w:rFonts w:ascii="Times New Roman" w:cs="Times New Roman" w:eastAsia="Times New Roman" w:hAnsi="Times New Roman"/>
          <w:sz w:val="18"/>
          <w:szCs w:val="18"/>
          <w:b w:val="1"/>
          <w:bCs w:val="1"/>
          <w:i w:val="1"/>
          <w:iCs w:val="1"/>
          <w:color w:val="auto"/>
        </w:rPr>
        <w:t>J.J. Astor Loan</w:t>
      </w:r>
      <w:r>
        <w:rPr>
          <w:rFonts w:ascii="Times New Roman" w:cs="Times New Roman" w:eastAsia="Times New Roman" w:hAnsi="Times New Roman"/>
          <w:sz w:val="18"/>
          <w:szCs w:val="18"/>
          <w:color w:val="auto"/>
        </w:rPr>
        <w:t>”) and terminate that certain Share Purchase Agreement (the “</w:t>
      </w:r>
      <w:r>
        <w:rPr>
          <w:rFonts w:ascii="Times New Roman" w:cs="Times New Roman" w:eastAsia="Times New Roman" w:hAnsi="Times New Roman"/>
          <w:sz w:val="18"/>
          <w:szCs w:val="18"/>
          <w:b w:val="1"/>
          <w:bCs w:val="1"/>
          <w:i w:val="1"/>
          <w:iCs w:val="1"/>
          <w:color w:val="auto"/>
        </w:rPr>
        <w:t>Original ELOC</w:t>
      </w:r>
      <w:r>
        <w:rPr>
          <w:rFonts w:ascii="Times New Roman" w:cs="Times New Roman" w:eastAsia="Times New Roman" w:hAnsi="Times New Roman"/>
          <w:sz w:val="18"/>
          <w:szCs w:val="18"/>
          <w:color w:val="auto"/>
        </w:rPr>
        <w:t>”) with New Circle Principal Investments LLC, a Delaware limited liability company (“</w:t>
      </w:r>
      <w:r>
        <w:rPr>
          <w:rFonts w:ascii="Times New Roman" w:cs="Times New Roman" w:eastAsia="Times New Roman" w:hAnsi="Times New Roman"/>
          <w:sz w:val="18"/>
          <w:szCs w:val="18"/>
          <w:b w:val="1"/>
          <w:bCs w:val="1"/>
          <w:i w:val="1"/>
          <w:iCs w:val="1"/>
          <w:color w:val="auto"/>
        </w:rPr>
        <w:t>New Circle</w:t>
      </w:r>
      <w:r>
        <w:rPr>
          <w:rFonts w:ascii="Times New Roman" w:cs="Times New Roman" w:eastAsia="Times New Roman" w:hAnsi="Times New Roman"/>
          <w:sz w:val="18"/>
          <w:szCs w:val="18"/>
          <w:color w:val="auto"/>
        </w:rPr>
        <w:t>”), in an amount that may exceed 20% of the Company’s Common Stock currently outstanding (the “</w:t>
      </w:r>
      <w:r>
        <w:rPr>
          <w:rFonts w:ascii="Times New Roman" w:cs="Times New Roman" w:eastAsia="Times New Roman" w:hAnsi="Times New Roman"/>
          <w:sz w:val="18"/>
          <w:szCs w:val="18"/>
          <w:b w:val="1"/>
          <w:bCs w:val="1"/>
          <w:i w:val="1"/>
          <w:iCs w:val="1"/>
          <w:color w:val="auto"/>
        </w:rPr>
        <w:t>Nasdaq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You may vote FOR AGAINST or you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may vote FOR AGAINST or you ABSTAIN from voting.</w:t>
      </w:r>
    </w:p>
    <w:p>
      <w:pPr>
        <w:spacing w:after="0" w:line="20" w:lineRule="exact"/>
        <w:rPr>
          <w:sz w:val="20"/>
          <w:szCs w:val="20"/>
          <w:color w:val="auto"/>
        </w:rPr>
      </w:pPr>
      <w:r>
        <w:rPr>
          <w:sz w:val="20"/>
          <w:szCs w:val="20"/>
          <w:color w:val="auto"/>
        </w:rPr>
        <w:br w:type="column"/>
      </w:r>
    </w:p>
    <w:p>
      <w:pPr>
        <w:jc w:val="both"/>
        <w:ind w:right="479" w:firstLine="164"/>
        <w:spacing w:after="0" w:line="282" w:lineRule="auto"/>
        <w:rPr>
          <w:sz w:val="20"/>
          <w:szCs w:val="20"/>
          <w:color w:val="auto"/>
        </w:rPr>
      </w:pPr>
      <w:r>
        <w:rPr>
          <w:rFonts w:ascii="Times New Roman" w:cs="Times New Roman" w:eastAsia="Times New Roman" w:hAnsi="Times New Roman"/>
          <w:sz w:val="18"/>
          <w:szCs w:val="18"/>
          <w:color w:val="auto"/>
        </w:rPr>
        <w:t>or Our Board recommends a vote may FOR the Reverse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79" w:firstLine="164"/>
        <w:spacing w:after="0" w:line="261" w:lineRule="auto"/>
        <w:rPr>
          <w:sz w:val="20"/>
          <w:szCs w:val="20"/>
          <w:color w:val="auto"/>
        </w:rPr>
      </w:pPr>
      <w:r>
        <w:rPr>
          <w:rFonts w:ascii="Times New Roman" w:cs="Times New Roman" w:eastAsia="Times New Roman" w:hAnsi="Times New Roman"/>
          <w:sz w:val="18"/>
          <w:szCs w:val="18"/>
          <w:color w:val="auto"/>
        </w:rPr>
        <w:t>or Our Board recommends a vote may FOR the Nasdaq Service</w:t>
      </w:r>
    </w:p>
    <w:p>
      <w:pPr>
        <w:ind w:left="420"/>
        <w:spacing w:after="0"/>
        <w:rPr>
          <w:sz w:val="20"/>
          <w:szCs w:val="20"/>
          <w:color w:val="auto"/>
        </w:rPr>
      </w:pPr>
      <w:r>
        <w:rPr>
          <w:rFonts w:ascii="Times New Roman" w:cs="Times New Roman" w:eastAsia="Times New Roman" w:hAnsi="Times New Roman"/>
          <w:sz w:val="18"/>
          <w:szCs w:val="18"/>
          <w:color w:val="auto"/>
        </w:rPr>
        <w:t>Proposal.</w:t>
      </w:r>
    </w:p>
    <w:p>
      <w:pPr>
        <w:spacing w:after="0" w:line="4304" w:lineRule="exact"/>
        <w:rPr>
          <w:sz w:val="20"/>
          <w:szCs w:val="20"/>
          <w:color w:val="auto"/>
        </w:rPr>
      </w:pPr>
    </w:p>
    <w:p>
      <w:pPr>
        <w:sectPr>
          <w:pgSz w:w="11900" w:h="16838" w:orient="portrait"/>
          <w:cols w:equalWidth="0" w:num="3">
            <w:col w:w="3620" w:space="120"/>
            <w:col w:w="1940" w:space="60"/>
            <w:col w:w="3279"/>
          </w:cols>
          <w:pgMar w:left="1440" w:top="270" w:right="1440"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0231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 w:lineRule="exact"/>
        <w:rPr>
          <w:sz w:val="20"/>
          <w:szCs w:val="20"/>
          <w:color w:val="auto"/>
        </w:rPr>
      </w:pPr>
    </w:p>
    <w:p>
      <w:pPr>
        <w:ind w:left="460"/>
        <w:spacing w:after="0" w:line="265" w:lineRule="auto"/>
        <w:rPr>
          <w:sz w:val="20"/>
          <w:szCs w:val="20"/>
          <w:color w:val="auto"/>
        </w:rPr>
      </w:pPr>
      <w:r>
        <w:rPr>
          <w:rFonts w:ascii="Times New Roman" w:cs="Times New Roman" w:eastAsia="Times New Roman" w:hAnsi="Times New Roman"/>
          <w:sz w:val="17"/>
          <w:szCs w:val="17"/>
          <w:color w:val="auto"/>
        </w:rPr>
        <w:t>To approve, for purposes of complying with Nasdaq Listing Rule 5635(b) and 5635(d), solely if the Company defaults on the</w:t>
      </w:r>
    </w:p>
    <w:p>
      <w:pPr>
        <w:ind w:left="460" w:right="80" w:hanging="6"/>
        <w:spacing w:after="0" w:line="250" w:lineRule="auto"/>
        <w:tabs>
          <w:tab w:leader="none" w:pos="7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Astor Loan, the issuance of shares of the Company’s common stock upon conversion of the remaining balance of the senior convertible note issued by the Company pursuant to the terms of the</w:t>
      </w:r>
    </w:p>
    <w:p>
      <w:pPr>
        <w:spacing w:after="0" w:line="1" w:lineRule="exact"/>
        <w:rPr>
          <w:rFonts w:ascii="Times New Roman" w:cs="Times New Roman" w:eastAsia="Times New Roman" w:hAnsi="Times New Roman"/>
          <w:sz w:val="18"/>
          <w:szCs w:val="18"/>
          <w:color w:val="auto"/>
        </w:rPr>
      </w:pPr>
    </w:p>
    <w:p>
      <w:pPr>
        <w:jc w:val="both"/>
        <w:ind w:left="4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J.J. Astor Loan, without giving effect to the exchange cap in such convertible note (the “</w:t>
      </w:r>
      <w:r>
        <w:rPr>
          <w:rFonts w:ascii="Times New Roman" w:cs="Times New Roman" w:eastAsia="Times New Roman" w:hAnsi="Times New Roman"/>
          <w:sz w:val="18"/>
          <w:szCs w:val="18"/>
          <w:b w:val="1"/>
          <w:bCs w:val="1"/>
          <w:i w:val="1"/>
          <w:iCs w:val="1"/>
          <w:color w:val="auto"/>
        </w:rPr>
        <w:t>Nasdaq Conversion Proposal</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6</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8"/>
          <w:szCs w:val="18"/>
          <w:color w:val="auto"/>
        </w:rPr>
        <w:t>To approve, for purposes of complying with Nasdaq Listing Rule 5635(b) and 5635(d), the potential issuance of up to 100,000,000 shares of Common Stock (or securities convertible into or exercisable for Common Stock) in one or more non-public financing transactions, in an amount that may exceed 20% or more of the Company’s Common Stock outstanding before the execution of such transactions (the “</w:t>
      </w:r>
      <w:r>
        <w:rPr>
          <w:rFonts w:ascii="Times New Roman" w:cs="Times New Roman" w:eastAsia="Times New Roman" w:hAnsi="Times New Roman"/>
          <w:sz w:val="18"/>
          <w:szCs w:val="18"/>
          <w:b w:val="1"/>
          <w:bCs w:val="1"/>
          <w:i w:val="1"/>
          <w:iCs w:val="1"/>
          <w:color w:val="auto"/>
        </w:rPr>
        <w:t>Nasdaq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 together with 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Proposal and the Nasdaq Conversion Proposal, the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Proposals</w:t>
      </w: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7:</w:t>
      </w:r>
    </w:p>
    <w:p>
      <w:pPr>
        <w:spacing w:after="0" w:line="27" w:lineRule="exact"/>
        <w:rPr>
          <w:sz w:val="20"/>
          <w:szCs w:val="20"/>
          <w:color w:val="auto"/>
        </w:rPr>
      </w:pPr>
    </w:p>
    <w:p>
      <w:pPr>
        <w:ind w:left="460" w:right="120"/>
        <w:spacing w:after="0" w:line="252" w:lineRule="auto"/>
        <w:rPr>
          <w:sz w:val="20"/>
          <w:szCs w:val="20"/>
          <w:color w:val="auto"/>
        </w:rPr>
      </w:pPr>
      <w:r>
        <w:rPr>
          <w:rFonts w:ascii="Times New Roman" w:cs="Times New Roman" w:eastAsia="Times New Roman" w:hAnsi="Times New Roman"/>
          <w:sz w:val="18"/>
          <w:szCs w:val="18"/>
          <w:color w:val="auto"/>
        </w:rPr>
        <w:t>To approve an amendment to the Company’s Equity Incentive Plan to increase the number of shares of Common Stock available for issuance thereunder to 19,959,853 shares (the “</w:t>
      </w:r>
      <w:r>
        <w:rPr>
          <w:rFonts w:ascii="Times New Roman" w:cs="Times New Roman" w:eastAsia="Times New Roman" w:hAnsi="Times New Roman"/>
          <w:sz w:val="18"/>
          <w:szCs w:val="18"/>
          <w:b w:val="1"/>
          <w:bCs w:val="1"/>
          <w:i w:val="1"/>
          <w:iCs w:val="1"/>
          <w:color w:val="auto"/>
        </w:rPr>
        <w:t>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How Does our Board Recommend</w:t>
            </w:r>
          </w:p>
        </w:tc>
        <w:tc>
          <w:tcPr>
            <w:tcW w:w="0" w:type="dxa"/>
            <w:vAlign w:val="bottom"/>
          </w:tcPr>
          <w:p>
            <w:pPr>
              <w:spacing w:after="0"/>
              <w:rPr>
                <w:sz w:val="1"/>
                <w:szCs w:val="1"/>
                <w:color w:val="auto"/>
              </w:rPr>
            </w:pPr>
          </w:p>
        </w:tc>
      </w:tr>
      <w:tr>
        <w:trPr>
          <w:trHeight w:val="212"/>
        </w:trPr>
        <w:tc>
          <w:tcPr>
            <w:tcW w:w="19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How May I Vote?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That I Vote?</w:t>
            </w:r>
          </w:p>
        </w:tc>
        <w:tc>
          <w:tcPr>
            <w:tcW w:w="0" w:type="dxa"/>
            <w:vAlign w:val="bottom"/>
          </w:tcPr>
          <w:p>
            <w:pPr>
              <w:spacing w:after="0"/>
              <w:rPr>
                <w:sz w:val="1"/>
                <w:szCs w:val="1"/>
                <w:color w:val="auto"/>
              </w:rPr>
            </w:pPr>
          </w:p>
        </w:tc>
      </w:tr>
      <w:tr>
        <w:trPr>
          <w:trHeight w:val="46"/>
        </w:trPr>
        <w:tc>
          <w:tcPr>
            <w:tcW w:w="9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You   may</w:t>
            </w:r>
          </w:p>
        </w:tc>
        <w:tc>
          <w:tcPr>
            <w:tcW w:w="4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vote</w:t>
            </w:r>
          </w:p>
        </w:tc>
        <w:tc>
          <w:tcPr>
            <w:tcW w:w="5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FOR</w:t>
            </w:r>
          </w:p>
        </w:tc>
        <w:tc>
          <w:tcPr>
            <w:tcW w:w="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or</w:t>
            </w:r>
          </w:p>
        </w:tc>
        <w:tc>
          <w:tcPr>
            <w:tcW w:w="100" w:type="dxa"/>
            <w:vAlign w:val="bottom"/>
            <w:vMerge w:val="continue"/>
          </w:tcPr>
          <w:p>
            <w:pPr>
              <w:spacing w:after="0"/>
              <w:rPr>
                <w:sz w:val="16"/>
                <w:szCs w:val="16"/>
                <w:color w:val="auto"/>
              </w:rPr>
            </w:pPr>
          </w:p>
        </w:tc>
        <w:tc>
          <w:tcPr>
            <w:tcW w:w="2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Our Board recommends a vote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FOR  the  Nasdaq  Conversion</w:t>
            </w:r>
          </w:p>
        </w:tc>
        <w:tc>
          <w:tcPr>
            <w:tcW w:w="0" w:type="dxa"/>
            <w:vAlign w:val="bottom"/>
          </w:tcPr>
          <w:p>
            <w:pPr>
              <w:spacing w:after="0"/>
              <w:rPr>
                <w:sz w:val="1"/>
                <w:szCs w:val="1"/>
                <w:color w:val="auto"/>
              </w:rPr>
            </w:pPr>
          </w:p>
        </w:tc>
      </w:t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ABSTAIN from voting.</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79"/>
        <w:spacing w:after="0" w:line="266" w:lineRule="auto"/>
        <w:rPr>
          <w:sz w:val="20"/>
          <w:szCs w:val="20"/>
          <w:color w:val="auto"/>
        </w:rPr>
      </w:pPr>
      <w:r>
        <w:rPr>
          <w:rFonts w:ascii="Times New Roman" w:cs="Times New Roman" w:eastAsia="Times New Roman" w:hAnsi="Times New Roman"/>
          <w:sz w:val="18"/>
          <w:szCs w:val="18"/>
          <w:color w:val="auto"/>
        </w:rPr>
        <w:t>You may vote FOR or Our Board recommends a vote AGAINST or you may FOR the Nasdaq 20% Proposal.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You   may</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vote</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Board recommends a vote</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Incentive   Plan</w:t>
            </w:r>
          </w:p>
        </w:tc>
      </w:t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ABSTAIN from voting.</w:t>
            </w:r>
          </w:p>
        </w:tc>
        <w:tc>
          <w:tcPr>
            <w:tcW w:w="380" w:type="dxa"/>
            <w:vAlign w:val="bottom"/>
          </w:tcPr>
          <w:p>
            <w:pPr>
              <w:spacing w:after="0"/>
              <w:rPr>
                <w:sz w:val="20"/>
                <w:szCs w:val="20"/>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Proposal.</w:t>
            </w:r>
          </w:p>
        </w:tc>
      </w:tr>
    </w:tbl>
    <w:p>
      <w:pPr>
        <w:spacing w:after="0" w:line="923" w:lineRule="exact"/>
        <w:rPr>
          <w:sz w:val="20"/>
          <w:szCs w:val="20"/>
          <w:color w:val="auto"/>
        </w:rPr>
      </w:pPr>
    </w:p>
    <w:p>
      <w:pPr>
        <w:sectPr>
          <w:pgSz w:w="11900" w:h="16838" w:orient="portrait"/>
          <w:cols w:equalWidth="0" w:num="2">
            <w:col w:w="3620" w:space="120"/>
            <w:col w:w="5279"/>
          </w:cols>
          <w:pgMar w:left="1440" w:top="270" w:right="1440" w:bottom="1440" w:gutter="0" w:footer="0" w:header="0"/>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being asked to vote on each proposal?</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Election of our Class I Director</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with each class serving a staggered three-year term. At each annual meeting, the term of one class of directors expires and stockholders are asked to elect directors to that class for a new three-year term. At this Annual Meeting, the term of our Class I directors is expiring, and one Class I director nominee, Phyllis Newhouse, is seeking re-election to serve until the annual meeting of stockholders to be held in 2029 and until her successor is duly elected and qualified. The election of directors is a routine, recurring matter that comes before stockholders at each annual meeting as part of the Company’s normal governance process.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Ratify the Appointment of CRI</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is submitting this appointment to stockholders for ratification as a matter of good corporate governance and because the Company values its stockholders’ views on the selection of its independent auditors. Although neither our bylaws nor other governing documents require stockholder ratification of this appointment, the ratification of the auditor is a routine governance matter.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Approval of Reverse Split Proposal</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February 5, 2026, the Company received written notification from Nasdaq that the bid price of its Common Stock had failed to meet the $1.00 per share minimum bid price requirement for the required period. Under Nasdaq Rules, the Company has 180 calendar days — until August 4, 2026 — to regain compliance. The Board believes that effecting a reverse stock split may be the best available means of increasing the per-share price of the Common Stock above $1.00 per share in order to maintain the Company’s continued listing on The Nasdaq Global Select Market.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Board also believes that the low per-share market price of the Common Stock impairs its marketability to institutional investors and other members of the investing public, and that continued listing on Nasdaq provides overall credibility to an investment in the Company’s stock. Approval of this proposal would not automatically cause a reverse stock split to occur; rather, it would grant the Board the authority to effect a reverse stock split if and when the Board determines that doing so is in the best interests of the Company and its stockholders.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Approval of Nasdaq Service Proposal</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Board is seeking this approval because the Company intends to enter into definitive financing arrangements with one of two or more potential financing sources, the proceeds from which will be used to either (i) make scheduled monthly payments under the Original Loan Agreement with J.J. Astor, or (ii) entirely pay off the Original Loan Agreement with J.J. Astor and terminate the Original ELOC with New Circle, many of the terms of which the Board has determined are unfavorable to the Company. Under Nasdaq Listing Rule 5635(d), stockholder approval is required before a company may issue, in a private offering, more than 20% of its outstanding Common Stock at a price below the applicable “Minimum Price.” Nasdaq Listing Rule 5635(b) separately requires stockholder approval for any issuance of securities that could result in a change of control.</w:t>
      </w:r>
    </w:p>
    <w:p>
      <w:pPr>
        <w:spacing w:after="0" w:line="3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has determined that the potential financing transactions as outlined in the Nasdaq Service Proposal are in the best interests of the Company and its stockholders, and that their terms are fair, reasonable, and preferable to those of the existing financing arrangements. Without stockholder approval, the Company would be unable to issue shares to either potential financing source in an amount exceeding 19.99% of outstanding Common Stock, making it unlikely that it could raise sufficient capital to make scheduled monthly payments under or pay off the Original Loan Agreement with J.J. Astor and terminate the Original ELOC with New Circle.</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Approval of Nasdaq Conversion Proposal</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entered into the Original Loan Agreement with J.J. Astor on December 4, 2025, pursuant to which the Company issued a Senior Secured Convertible Note in the original principal amount of $2,600,000. The securities issuance provisions of that note, in the event of a default, could result in the issuance of shares of Common Stock in excess of the 20% threshold under Nasdaq Listing Rules 5635(b) and 5635(d). Without stockholder approval, the Company may not issue shares of Common Stock pursuant to a conversion of the note in an amount exceeding 19.99% of the shares outstanding immediately prior to the execution of the Original Loan Agreement, and failure to satisfy the Company’s issuance obligations upon a default could adversely affect the Company’s ability to comply with its binding contractual commitments, potentially triggering additional adverse consequences under the loan documents and related registration rights agreement.</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Approval of Nasdaq 20% Proposal</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Board is seeking this approval in order to preserve the Company’s ability to obtain additional financing through non-public transactions without the delays and expense associated with a public offering. The Company plans to use any proceeds from transactions entered into under this authorization to pay off the Financing Source A convertible note and for working capital, repayment or refinancing of indebtedness, and funding of software development initiatives. If this proposal is not approved, the Company may be unable to obtain sufficient financing to fund its operations and implement its business strategy, and may be required to seek alternative sources of financing that may not be available or may not be available on commercially reasonable terms.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Approval of Incentive Plan Amendment Proposal</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is seeking stockholder approval of this amendment because it believes the Company’s success depends, in large part, on its ability to attract, retain, and motivate key employees with experience and ability, and that an equity-based compensation program is central to achieving those objectives. The Board believes that equity compensation directly aligns the interests of employees and non-employee directors with those of stockholders, is inherently performance-based, and is consistent with the Company’s pay-for-performance compensation philosophy. The Board has determined that the proposed increase is judicious, sustainable, and critical to meeting the Company’s business goals.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of Common Stock are registered directly in your name with our transfer agent, Continental Stock Transfer &amp; Trust Company (“</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then you are a stockholder of record. As a stockholder of record, you may vote virtually during the Annual Meeting or vote by proxy through the Internet, over the telephone or using a proxy card that you may request. Whether or not you plan to attend the Annual Meeting, we urge you to vote by proxy to ensure your vote is counted. Even if you have submitted a proxy before the Annual Meeting, you may still attend and vote during the Annual Meeting. In such case, your previously submitted proxy will be disregarded.</w:t>
      </w:r>
    </w:p>
    <w:p>
      <w:pPr>
        <w:spacing w:after="0" w:line="108"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Annual Meeting, follow the provided instructions to join the meeting at</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both"/>
        <w:ind w:left="1320" w:right="479" w:hanging="434"/>
        <w:spacing w:after="0" w:line="26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before the Annual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asked to provide the company number and control number from the enclosed proxy cards. Your internet vote must be</w:t>
      </w:r>
    </w:p>
    <w:p>
      <w:pPr>
        <w:ind w:left="1320"/>
        <w:spacing w:after="0"/>
        <w:tabs>
          <w:tab w:leader="none" w:pos="4580" w:val="left"/>
        </w:tabs>
        <w:rPr>
          <w:sz w:val="20"/>
          <w:szCs w:val="20"/>
          <w:color w:val="auto"/>
        </w:rPr>
      </w:pPr>
      <w:r>
        <w:rPr>
          <w:rFonts w:ascii="Times New Roman" w:cs="Times New Roman" w:eastAsia="Times New Roman" w:hAnsi="Times New Roman"/>
          <w:sz w:val="18"/>
          <w:szCs w:val="18"/>
          <w:color w:val="auto"/>
        </w:rPr>
        <w:t>received by 11:59 PM Pacific Time, on [</w:t>
      </w:r>
      <w:r>
        <w:rPr>
          <w:sz w:val="20"/>
          <w:szCs w:val="20"/>
          <w:color w:val="auto"/>
        </w:rPr>
        <w:tab/>
      </w:r>
      <w:r>
        <w:rPr>
          <w:rFonts w:ascii="Times New Roman" w:cs="Times New Roman" w:eastAsia="Times New Roman" w:hAnsi="Times New Roman"/>
          <w:sz w:val="18"/>
          <w:szCs w:val="18"/>
          <w:color w:val="auto"/>
        </w:rPr>
        <w:t>], 2026 to be counted.</w:t>
      </w:r>
    </w:p>
    <w:p>
      <w:pPr>
        <w:spacing w:after="0" w:line="139" w:lineRule="exact"/>
        <w:rPr>
          <w:sz w:val="20"/>
          <w:szCs w:val="20"/>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enclosed proxy card, simply complete, sign and date the enclosed proxy card that may be delivered and return it promptly in the envelope provided. If you return your signed proxy card to us before the Annual Meeting, we will vote your shares as you direct.</w:t>
      </w:r>
    </w:p>
    <w:p>
      <w:pPr>
        <w:spacing w:after="0" w:line="9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of Common Stock are held not in your name but rather in the name of your broker, bank or other agent, then you are the beneficial owner of shares held in “street name.” The organization holding your account is considered to be the stockholder of record for purposes of voting at the Annual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a beneficial owner, you have the right to direct your broker or other agent regarding how to vote the shares in your account. You are also invited to attend the Annual Meeting.</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you are a beneficial owner, you should have received a Notice containing voting instructions from your brokerage firm, bank, dealer, or other similar organization rather than from us. Simply follow the voting instructions in the Notice to ensure that your vote is counted. To vote online during the Annual Meeting, you must follow the instructions from your broker, bank, or other agent.</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return a proxy card or otherwise vote without giving specific voting instructions, what happens?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your voting selections, your shares will be voted as recommended by the Board. Specifically, your shares will be voted, as applicable,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Class I director,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Split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Plan Amendment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selection by the Audit Committee of the Board of CRI as independent registered public accounting firm of the Company for its fiscal year ending December 31,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during the Annual Meeting, or through the Internet, by telephone or by completing your proxy card before the Annual Meeting, your shares will not be voted.</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Broker non-votes occur when shares held by a broker for a beneficial owner are not voted either because</w:t>
      </w:r>
    </w:p>
    <w:p>
      <w:pPr>
        <w:spacing w:after="0" w:line="27" w:lineRule="exact"/>
        <w:rPr>
          <w:sz w:val="20"/>
          <w:szCs w:val="20"/>
          <w:color w:val="auto"/>
        </w:rPr>
      </w:pPr>
    </w:p>
    <w:p>
      <w:pPr>
        <w:jc w:val="both"/>
        <w:ind w:left="460" w:right="459" w:hanging="6"/>
        <w:spacing w:after="0" w:line="253"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did not receive voting instructions from the beneficial owner or (ii) the broker lacked discretionary authority to vote the shares. Abstentions represent a stockholder’s affirmative choice to decline to vote on a proposal and occur when shares present at the meeting are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Broker non-votes and abstentions are counted for purposes of determining whether a quorum is present.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broker has discretionary authority to vote shares held for a beneficial owner on “routine” matters without instructions from the beneficial owner of those shares. Absent instructions from the beneficial owner of such shares, a broker is not entitled to vote shares held for a beneficial owner on “non-routine” matters.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Proposal 1, the election of our Class I directors, is a non-routine matter, so your broker or nominee may not vote your shares on Proposal 1 without your instructions. Proposal 2, the ratification of the appointment of CRI as our independent registered public accounting firm for the fiscal year ending December 31, 2026, is a routine matter, so your broker or nominee may vote your shares on Proposal 2 even in the absence of your instruction. Proposals 3 – 7, the (i) Reverse Split Proposal, the (ii) Nasdaq Proposals, and (iii) the Incentive Plan Amendment Proposal, are all non-routine matters, so your broker or nominee may not vote your shares on Proposals 3 – 7 without your instructions. </w:t>
      </w:r>
      <w:r>
        <w:rPr>
          <w:rFonts w:ascii="Times New Roman" w:cs="Times New Roman" w:eastAsia="Times New Roman" w:hAnsi="Times New Roman"/>
          <w:sz w:val="18"/>
          <w:szCs w:val="18"/>
          <w:i w:val="1"/>
          <w:iCs w:val="1"/>
          <w:color w:val="auto"/>
        </w:rPr>
        <w:t>Please instruct your bank, broker, or other agent to ensure that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 will be counted.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participate and ask questions at the Annual Meeting?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committed to ensuring that our stockholders have the same opportunities to participate in the Annual Meeting as they would at an in-person meeting. To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ask questions during the Annual Meeting. We encourage you to ask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the proposals that will be voted on, the vote required to approve each item and how votes are counted.</w:t>
      </w:r>
    </w:p>
    <w:p>
      <w:pPr>
        <w:spacing w:after="0" w:line="13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auto"/>
        </w:rPr>
        <w:t>Impact of</w:t>
      </w:r>
    </w:p>
    <w:p>
      <w:pPr>
        <w:spacing w:after="0" w:line="28" w:lineRule="exact"/>
        <w:rPr>
          <w:sz w:val="20"/>
          <w:szCs w:val="20"/>
          <w:color w:val="auto"/>
        </w:rPr>
      </w:pPr>
    </w:p>
    <w:p>
      <w:pPr>
        <w:ind w:left="6160"/>
        <w:spacing w:after="0"/>
        <w:tabs>
          <w:tab w:leader="none" w:pos="7660" w:val="left"/>
        </w:tabs>
        <w:rPr>
          <w:sz w:val="20"/>
          <w:szCs w:val="20"/>
          <w:color w:val="auto"/>
        </w:rPr>
      </w:pPr>
      <w:r>
        <w:rPr>
          <w:rFonts w:ascii="Times New Roman" w:cs="Times New Roman" w:eastAsia="Times New Roman" w:hAnsi="Times New Roman"/>
          <w:sz w:val="16"/>
          <w:szCs w:val="16"/>
          <w:b w:val="1"/>
          <w:bCs w:val="1"/>
          <w:color w:val="auto"/>
        </w:rPr>
        <w:t>“Withhold” or</w:t>
      </w:r>
      <w:r>
        <w:rPr>
          <w:sz w:val="20"/>
          <w:szCs w:val="20"/>
          <w:color w:val="auto"/>
        </w:rPr>
        <w:tab/>
      </w:r>
      <w:r>
        <w:rPr>
          <w:rFonts w:ascii="Times New Roman" w:cs="Times New Roman" w:eastAsia="Times New Roman" w:hAnsi="Times New Roman"/>
          <w:sz w:val="15"/>
          <w:szCs w:val="15"/>
          <w:b w:val="1"/>
          <w:bCs w:val="1"/>
          <w:color w:val="auto"/>
        </w:rPr>
        <w:t>Broker</w:t>
      </w:r>
    </w:p>
    <w:p>
      <w:pPr>
        <w:spacing w:after="0" w:line="19" w:lineRule="exact"/>
        <w:rPr>
          <w:sz w:val="20"/>
          <w:szCs w:val="20"/>
          <w:color w:val="auto"/>
        </w:rPr>
      </w:pPr>
    </w:p>
    <w:p>
      <w:pPr>
        <w:ind w:left="6320"/>
        <w:spacing w:after="0"/>
        <w:tabs>
          <w:tab w:leader="none" w:pos="7420" w:val="left"/>
        </w:tabs>
        <w:rPr>
          <w:sz w:val="20"/>
          <w:szCs w:val="20"/>
          <w:color w:val="auto"/>
        </w:rPr>
      </w:pPr>
      <w:r>
        <w:rPr>
          <w:rFonts w:ascii="Times New Roman" w:cs="Times New Roman" w:eastAsia="Times New Roman" w:hAnsi="Times New Roman"/>
          <w:sz w:val="16"/>
          <w:szCs w:val="16"/>
          <w:b w:val="1"/>
          <w:bCs w:val="1"/>
          <w:color w:val="auto"/>
        </w:rPr>
        <w:t>“Abstain”</w:t>
      </w:r>
      <w:r>
        <w:rPr>
          <w:sz w:val="20"/>
          <w:szCs w:val="20"/>
          <w:color w:val="auto"/>
        </w:rPr>
        <w:tab/>
      </w:r>
      <w:r>
        <w:rPr>
          <w:rFonts w:ascii="Times New Roman" w:cs="Times New Roman" w:eastAsia="Times New Roman" w:hAnsi="Times New Roman"/>
          <w:sz w:val="16"/>
          <w:szCs w:val="16"/>
          <w:b w:val="1"/>
          <w:bCs w:val="1"/>
          <w:color w:val="auto"/>
        </w:rPr>
        <w:t>Discretionary</w:t>
      </w:r>
    </w:p>
    <w:p>
      <w:pPr>
        <w:spacing w:after="0" w:line="19" w:lineRule="exact"/>
        <w:rPr>
          <w:sz w:val="20"/>
          <w:szCs w:val="20"/>
          <w:color w:val="auto"/>
        </w:rPr>
      </w:pPr>
    </w:p>
    <w:p>
      <w:pPr>
        <w:ind w:left="460"/>
        <w:spacing w:after="0"/>
        <w:tabs>
          <w:tab w:leader="none" w:pos="4120" w:val="left"/>
          <w:tab w:leader="none" w:pos="6480" w:val="left"/>
          <w:tab w:leader="none" w:pos="7380" w:val="left"/>
        </w:tabs>
        <w:rPr>
          <w:sz w:val="20"/>
          <w:szCs w:val="20"/>
          <w:color w:val="auto"/>
        </w:rPr>
      </w:pPr>
      <w:r>
        <w:rPr>
          <w:rFonts w:ascii="Times New Roman" w:cs="Times New Roman" w:eastAsia="Times New Roman" w:hAnsi="Times New Roman"/>
          <w:sz w:val="16"/>
          <w:szCs w:val="16"/>
          <w:b w:val="1"/>
          <w:bCs w:val="1"/>
          <w:color w:val="auto"/>
        </w:rPr>
        <w:t>Proposal</w:t>
      </w:r>
      <w:r>
        <w:rPr>
          <w:sz w:val="20"/>
          <w:szCs w:val="20"/>
          <w:color w:val="auto"/>
        </w:rPr>
        <w:tab/>
      </w:r>
      <w:r>
        <w:rPr>
          <w:rFonts w:ascii="Times New Roman" w:cs="Times New Roman" w:eastAsia="Times New Roman" w:hAnsi="Times New Roman"/>
          <w:sz w:val="16"/>
          <w:szCs w:val="16"/>
          <w:b w:val="1"/>
          <w:bCs w:val="1"/>
          <w:color w:val="auto"/>
        </w:rPr>
        <w:t>Votes Required</w:t>
      </w:r>
      <w:r>
        <w:rPr>
          <w:sz w:val="20"/>
          <w:szCs w:val="20"/>
          <w:color w:val="auto"/>
        </w:rPr>
        <w:tab/>
      </w:r>
      <w:r>
        <w:rPr>
          <w:rFonts w:ascii="Times New Roman" w:cs="Times New Roman" w:eastAsia="Times New Roman" w:hAnsi="Times New Roman"/>
          <w:sz w:val="16"/>
          <w:szCs w:val="16"/>
          <w:b w:val="1"/>
          <w:bCs w:val="1"/>
          <w:color w:val="auto"/>
        </w:rPr>
        <w:t>Votes</w:t>
      </w:r>
      <w:r>
        <w:rPr>
          <w:sz w:val="20"/>
          <w:szCs w:val="20"/>
          <w:color w:val="auto"/>
        </w:rPr>
        <w:tab/>
      </w:r>
      <w:r>
        <w:rPr>
          <w:rFonts w:ascii="Times New Roman" w:cs="Times New Roman" w:eastAsia="Times New Roman" w:hAnsi="Times New Roman"/>
          <w:sz w:val="16"/>
          <w:szCs w:val="16"/>
          <w:b w:val="1"/>
          <w:bCs w:val="1"/>
          <w:color w:val="auto"/>
        </w:rPr>
        <w:t>Voting Allowed</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739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Elect the Class I director to hold office until the 2029 annual meeting of stockholders.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91"/>
        </w:trPr>
        <w:tc>
          <w:tcPr>
            <w:tcW w:w="404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plurality of the votes of shares of None</w:t>
            </w:r>
            <w:r>
              <w:rPr>
                <w:rFonts w:ascii="Times New Roman" w:cs="Times New Roman" w:eastAsia="Times New Roman" w:hAnsi="Times New Roman"/>
                <w:sz w:val="20"/>
                <w:szCs w:val="20"/>
                <w:color w:val="auto"/>
                <w:vertAlign w:val="superscript"/>
              </w:rPr>
              <w:t>(1)</w:t>
            </w:r>
          </w:p>
        </w:tc>
        <w:tc>
          <w:tcPr>
            <w:tcW w:w="1240" w:type="dxa"/>
            <w:vAlign w:val="bottom"/>
          </w:tcPr>
          <w:p>
            <w:pPr>
              <w:spacing w:after="0" w:line="191" w:lineRule="exact"/>
              <w:rPr>
                <w:sz w:val="20"/>
                <w:szCs w:val="20"/>
                <w:color w:val="auto"/>
              </w:rPr>
            </w:pPr>
            <w:r>
              <w:rPr>
                <w:rFonts w:ascii="Times New Roman" w:cs="Times New Roman" w:eastAsia="Times New Roman" w:hAnsi="Times New Roman"/>
                <w:sz w:val="22"/>
                <w:szCs w:val="22"/>
                <w:color w:val="auto"/>
                <w:vertAlign w:val="subscript"/>
              </w:rPr>
              <w:t>No</w:t>
            </w:r>
            <w:r>
              <w:rPr>
                <w:rFonts w:ascii="Times New Roman" w:cs="Times New Roman" w:eastAsia="Times New Roman" w:hAnsi="Times New Roman"/>
                <w:sz w:val="9"/>
                <w:szCs w:val="9"/>
                <w:color w:val="auto"/>
              </w:rPr>
              <w:t>(5)</w:t>
            </w:r>
          </w:p>
        </w:tc>
      </w:tr>
      <w:tr>
        <w:trPr>
          <w:trHeight w:val="216"/>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voting   power   present   or</w:t>
            </w:r>
          </w:p>
        </w:tc>
        <w:tc>
          <w:tcPr>
            <w:tcW w:w="1240" w:type="dxa"/>
            <w:vAlign w:val="bottom"/>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represented by proxy. This means that</w:t>
            </w:r>
          </w:p>
        </w:tc>
        <w:tc>
          <w:tcPr>
            <w:tcW w:w="1240" w:type="dxa"/>
            <w:vAlign w:val="bottom"/>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nominees receiving the highest</w:t>
            </w:r>
          </w:p>
        </w:tc>
        <w:tc>
          <w:tcPr>
            <w:tcW w:w="1240" w:type="dxa"/>
            <w:vAlign w:val="bottom"/>
          </w:tcPr>
          <w:p>
            <w:pPr>
              <w:spacing w:after="0"/>
              <w:rPr>
                <w:sz w:val="18"/>
                <w:szCs w:val="18"/>
                <w:color w:val="auto"/>
              </w:rPr>
            </w:pPr>
          </w:p>
        </w:tc>
      </w:tr>
      <w:tr>
        <w:trPr>
          <w:trHeight w:val="216"/>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affirmative “FOR” votes</w:t>
            </w:r>
          </w:p>
        </w:tc>
        <w:tc>
          <w:tcPr>
            <w:tcW w:w="1240" w:type="dxa"/>
            <w:vAlign w:val="bottom"/>
          </w:tcPr>
          <w:p>
            <w:pPr>
              <w:spacing w:after="0"/>
              <w:rPr>
                <w:sz w:val="18"/>
                <w:szCs w:val="18"/>
                <w:color w:val="auto"/>
              </w:rPr>
            </w:pPr>
          </w:p>
        </w:tc>
      </w:tr>
      <w:tr>
        <w:trPr>
          <w:trHeight w:val="234"/>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will be elected.</w:t>
            </w:r>
          </w:p>
        </w:tc>
        <w:tc>
          <w:tcPr>
            <w:tcW w:w="1240" w:type="dxa"/>
            <w:vAlign w:val="bottom"/>
          </w:tcPr>
          <w:p>
            <w:pPr>
              <w:spacing w:after="0"/>
              <w:rPr>
                <w:sz w:val="20"/>
                <w:szCs w:val="20"/>
                <w:color w:val="auto"/>
              </w:rPr>
            </w:pPr>
          </w:p>
        </w:tc>
      </w:tr>
    </w:tbl>
    <w:p>
      <w:pPr>
        <w:spacing w:after="0" w:line="157" w:lineRule="exact"/>
        <w:rPr>
          <w:sz w:val="20"/>
          <w:szCs w:val="20"/>
          <w:color w:val="auto"/>
        </w:rPr>
      </w:pPr>
    </w:p>
    <w:p>
      <w:pPr>
        <w:sectPr>
          <w:pgSz w:w="11900" w:h="16838" w:orient="portrait"/>
          <w:cols w:equalWidth="0" w:num="2">
            <w:col w:w="3060" w:space="220"/>
            <w:col w:w="57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line="265" w:lineRule="auto"/>
        <w:rPr>
          <w:sz w:val="20"/>
          <w:szCs w:val="20"/>
          <w:color w:val="auto"/>
        </w:rPr>
      </w:pPr>
      <w:r>
        <w:rPr>
          <w:rFonts w:ascii="Times New Roman" w:cs="Times New Roman" w:eastAsia="Times New Roman" w:hAnsi="Times New Roman"/>
          <w:sz w:val="17"/>
          <w:szCs w:val="17"/>
          <w:color w:val="auto"/>
        </w:rPr>
        <w:t>Ratification of Carr, Riggs &amp; Ingram, LLC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affirmative vote of the holders of Will count as a Yes</w:t>
      </w:r>
      <w:r>
        <w:rPr>
          <w:rFonts w:ascii="Times New Roman" w:cs="Times New Roman" w:eastAsia="Times New Roman" w:hAnsi="Times New Roman"/>
          <w:sz w:val="20"/>
          <w:szCs w:val="20"/>
          <w:color w:val="auto"/>
          <w:vertAlign w:val="superscript"/>
        </w:rPr>
        <w:t>(4)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shares of the voting vote</w:t>
      </w:r>
    </w:p>
    <w:p>
      <w:pPr>
        <w:spacing w:after="0" w:line="234" w:lineRule="auto"/>
        <w:tabs>
          <w:tab w:leader="none" w:pos="600" w:val="left"/>
          <w:tab w:leader="none" w:pos="1260" w:val="left"/>
          <w:tab w:leader="none" w:pos="1560" w:val="left"/>
          <w:tab w:leader="none" w:pos="2540" w:val="left"/>
        </w:tabs>
        <w:rPr>
          <w:sz w:val="20"/>
          <w:szCs w:val="20"/>
          <w:color w:val="auto"/>
        </w:rPr>
      </w:pPr>
      <w:r>
        <w:rPr>
          <w:rFonts w:ascii="Times New Roman" w:cs="Times New Roman" w:eastAsia="Times New Roman" w:hAnsi="Times New Roman"/>
          <w:sz w:val="18"/>
          <w:szCs w:val="18"/>
          <w:color w:val="auto"/>
        </w:rPr>
        <w:t>power</w:t>
        <w:tab/>
        <w:t>present</w:t>
        <w:tab/>
        <w:t>or</w:t>
        <w:tab/>
        <w:t>represented</w:t>
        <w:tab/>
        <w:t>by “against”</w:t>
      </w:r>
      <w:r>
        <w:rPr>
          <w:rFonts w:ascii="Times New Roman" w:cs="Times New Roman" w:eastAsia="Times New Roman" w:hAnsi="Times New Roman"/>
          <w:sz w:val="20"/>
          <w:szCs w:val="20"/>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w:t>
      </w:r>
    </w:p>
    <w:p>
      <w:pPr>
        <w:spacing w:after="0" w:line="223" w:lineRule="exact"/>
        <w:rPr>
          <w:sz w:val="20"/>
          <w:szCs w:val="20"/>
          <w:color w:val="auto"/>
        </w:rPr>
      </w:pPr>
    </w:p>
    <w:p>
      <w:pPr>
        <w:sectPr>
          <w:pgSz w:w="11900" w:h="16838" w:orient="portrait"/>
          <w:cols w:equalWidth="0" w:num="2">
            <w:col w:w="3160" w:space="120"/>
            <w:col w:w="57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36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3:</w:t>
            </w: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affirmative vote of a majority of None</w:t>
            </w:r>
            <w:r>
              <w:rPr>
                <w:rFonts w:ascii="Times New Roman" w:cs="Times New Roman" w:eastAsia="Times New Roman" w:hAnsi="Times New Roman"/>
                <w:sz w:val="20"/>
                <w:szCs w:val="20"/>
                <w:color w:val="auto"/>
                <w:vertAlign w:val="superscript"/>
              </w:rPr>
              <w:t>(5)</w:t>
            </w:r>
          </w:p>
        </w:tc>
        <w:tc>
          <w:tcPr>
            <w:tcW w:w="680" w:type="dxa"/>
            <w:vAlign w:val="bottom"/>
          </w:tcPr>
          <w:p>
            <w:pPr>
              <w:ind w:left="340"/>
              <w:spacing w:after="0" w:line="364" w:lineRule="exact"/>
              <w:rPr>
                <w:sz w:val="20"/>
                <w:szCs w:val="20"/>
                <w:color w:val="auto"/>
              </w:rPr>
            </w:pPr>
            <w:r>
              <w:rPr>
                <w:rFonts w:ascii="Times New Roman" w:cs="Times New Roman" w:eastAsia="Times New Roman" w:hAnsi="Times New Roman"/>
                <w:sz w:val="35"/>
                <w:szCs w:val="35"/>
                <w:color w:val="auto"/>
                <w:w w:val="79"/>
                <w:vertAlign w:val="subscript"/>
              </w:rPr>
              <w:t>No</w:t>
            </w:r>
            <w:r>
              <w:rPr>
                <w:rFonts w:ascii="Times New Roman" w:cs="Times New Roman" w:eastAsia="Times New Roman" w:hAnsi="Times New Roman"/>
                <w:sz w:val="10"/>
                <w:szCs w:val="10"/>
                <w:color w:val="auto"/>
                <w:w w:val="79"/>
              </w:rPr>
              <w:t>(2)</w:t>
            </w:r>
          </w:p>
        </w:tc>
      </w:tr>
      <w:tr>
        <w:trPr>
          <w:trHeight w:val="20"/>
        </w:trPr>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8"/>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Reverse Split Proposal.</w:t>
            </w: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votes cast by the holders entitled</w:t>
            </w:r>
          </w:p>
        </w:tc>
        <w:tc>
          <w:tcPr>
            <w:tcW w:w="68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 vote thereon. This means that the</w:t>
            </w:r>
          </w:p>
        </w:tc>
        <w:tc>
          <w:tcPr>
            <w:tcW w:w="68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Reverse  Split  Proposal  will  be</w:t>
            </w:r>
          </w:p>
        </w:tc>
        <w:tc>
          <w:tcPr>
            <w:tcW w:w="68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approved if the votes cast “FOR” the</w:t>
            </w:r>
          </w:p>
        </w:tc>
        <w:tc>
          <w:tcPr>
            <w:tcW w:w="68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proposal  exceed  the  votes  cast</w:t>
            </w:r>
          </w:p>
        </w:tc>
        <w:tc>
          <w:tcPr>
            <w:tcW w:w="6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“AGAINST” the proposal.</w:t>
            </w:r>
          </w:p>
        </w:tc>
        <w:tc>
          <w:tcPr>
            <w:tcW w:w="68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4</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Nasdaq Service Proposal.</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Nasdaq Conversion Proposal.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6</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Nasdaq 20% Proposal.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Proposal No. 7</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60" w:right="180"/>
        <w:spacing w:after="0" w:line="260" w:lineRule="auto"/>
        <w:rPr>
          <w:sz w:val="20"/>
          <w:szCs w:val="20"/>
          <w:color w:val="auto"/>
        </w:rPr>
      </w:pPr>
      <w:r>
        <w:rPr>
          <w:rFonts w:ascii="Times New Roman" w:cs="Times New Roman" w:eastAsia="Times New Roman" w:hAnsi="Times New Roman"/>
          <w:sz w:val="18"/>
          <w:szCs w:val="18"/>
          <w:color w:val="auto"/>
        </w:rPr>
        <w:t>The Incentive Plan Amendment Proposal.</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 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740" w:type="dxa"/>
            <w:vAlign w:val="bottom"/>
          </w:tcPr>
          <w:p>
            <w:pPr>
              <w:ind w:left="400"/>
              <w:spacing w:after="0" w:line="386" w:lineRule="exact"/>
              <w:rPr>
                <w:sz w:val="20"/>
                <w:szCs w:val="20"/>
                <w:color w:val="auto"/>
              </w:rPr>
            </w:pPr>
            <w:r>
              <w:rPr>
                <w:rFonts w:ascii="Times New Roman" w:cs="Times New Roman" w:eastAsia="Times New Roman" w:hAnsi="Times New Roman"/>
                <w:sz w:val="35"/>
                <w:szCs w:val="35"/>
                <w:color w:val="auto"/>
                <w:w w:val="79"/>
                <w:vertAlign w:val="subscript"/>
              </w:rPr>
              <w:t>No</w:t>
            </w:r>
            <w:r>
              <w:rPr>
                <w:rFonts w:ascii="Times New Roman" w:cs="Times New Roman" w:eastAsia="Times New Roman" w:hAnsi="Times New Roman"/>
                <w:sz w:val="10"/>
                <w:szCs w:val="10"/>
                <w:color w:val="auto"/>
                <w:w w:val="79"/>
              </w:rPr>
              <w:t>(2)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shares of the voting</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power  present  or  represented  by</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 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740" w:type="dxa"/>
            <w:vAlign w:val="bottom"/>
          </w:tcPr>
          <w:p>
            <w:pPr>
              <w:ind w:left="400"/>
              <w:spacing w:after="0" w:line="386" w:lineRule="exact"/>
              <w:rPr>
                <w:sz w:val="20"/>
                <w:szCs w:val="20"/>
                <w:color w:val="auto"/>
              </w:rPr>
            </w:pPr>
            <w:r>
              <w:rPr>
                <w:rFonts w:ascii="Times New Roman" w:cs="Times New Roman" w:eastAsia="Times New Roman" w:hAnsi="Times New Roman"/>
                <w:sz w:val="35"/>
                <w:szCs w:val="35"/>
                <w:color w:val="auto"/>
                <w:w w:val="79"/>
                <w:vertAlign w:val="subscript"/>
              </w:rPr>
              <w:t>No</w:t>
            </w:r>
            <w:r>
              <w:rPr>
                <w:rFonts w:ascii="Times New Roman" w:cs="Times New Roman" w:eastAsia="Times New Roman" w:hAnsi="Times New Roman"/>
                <w:sz w:val="10"/>
                <w:szCs w:val="10"/>
                <w:color w:val="auto"/>
                <w:w w:val="79"/>
              </w:rPr>
              <w:t>(2)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shares of the voting</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power  present  or  represented  by</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 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740" w:type="dxa"/>
            <w:vAlign w:val="bottom"/>
          </w:tcPr>
          <w:p>
            <w:pPr>
              <w:ind w:left="400"/>
              <w:spacing w:after="0" w:line="386" w:lineRule="exact"/>
              <w:rPr>
                <w:sz w:val="20"/>
                <w:szCs w:val="20"/>
                <w:color w:val="auto"/>
              </w:rPr>
            </w:pPr>
            <w:r>
              <w:rPr>
                <w:rFonts w:ascii="Times New Roman" w:cs="Times New Roman" w:eastAsia="Times New Roman" w:hAnsi="Times New Roman"/>
                <w:sz w:val="35"/>
                <w:szCs w:val="35"/>
                <w:color w:val="auto"/>
                <w:w w:val="79"/>
                <w:vertAlign w:val="subscript"/>
              </w:rPr>
              <w:t>No</w:t>
            </w:r>
            <w:r>
              <w:rPr>
                <w:rFonts w:ascii="Times New Roman" w:cs="Times New Roman" w:eastAsia="Times New Roman" w:hAnsi="Times New Roman"/>
                <w:sz w:val="10"/>
                <w:szCs w:val="10"/>
                <w:color w:val="auto"/>
                <w:w w:val="79"/>
              </w:rPr>
              <w:t>(2)</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shares of the voting</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power  present  or  represented  by</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8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the holders 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shares of the voting</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power  present  or  represented  by</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378" w:lineRule="exact"/>
        <w:rPr>
          <w:sz w:val="20"/>
          <w:szCs w:val="20"/>
          <w:color w:val="auto"/>
        </w:rPr>
      </w:pPr>
    </w:p>
    <w:p>
      <w:pPr>
        <w:sectPr>
          <w:pgSz w:w="11900" w:h="16838" w:orient="portrait"/>
          <w:cols w:equalWidth="0" w:num="2">
            <w:col w:w="2920" w:space="360"/>
            <w:col w:w="5739"/>
          </w:cols>
          <w:pgMar w:left="1440" w:top="270" w:right="1440" w:bottom="1440" w:gutter="0" w:footer="0" w:header="0"/>
          <w:type w:val="continuous"/>
        </w:sectPr>
      </w:pPr>
    </w:p>
    <w:p>
      <w:pPr>
        <w:ind w:left="880" w:right="479" w:hanging="426"/>
        <w:spacing w:after="0" w:line="269"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Votes that are “withheld” will have the same effect as an abstention and will not count as a vote “FOR” or “AGAINST” a director, because directors are elected by plurality voting.</w:t>
      </w:r>
    </w:p>
    <w:p>
      <w:pPr>
        <w:jc w:val="both"/>
        <w:ind w:left="880" w:right="459" w:hanging="426"/>
        <w:spacing w:after="0" w:line="26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w:t>
      </w:r>
    </w:p>
    <w:p>
      <w:pPr>
        <w:jc w:val="both"/>
        <w:ind w:left="880" w:right="479" w:hanging="426"/>
        <w:spacing w:after="0" w:line="26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Abstentions will not be included in the numerator (since they are not affirmative votes) but will be included in the denominator (since they are shares “entitled to vote”). Therefore, abstentions will have the same effect as a vote “against” the proposal.</w:t>
      </w:r>
    </w:p>
    <w:p>
      <w:pPr>
        <w:ind w:left="880" w:right="479" w:hanging="426"/>
        <w:spacing w:after="0" w:line="26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considered a discretionary matter, brokers are permitted to exercise their discretion to vote uninstructed shares on this proposal.</w:t>
      </w:r>
    </w:p>
    <w:p>
      <w:pPr>
        <w:ind w:left="880" w:right="479" w:hanging="426"/>
        <w:spacing w:after="0" w:line="288"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Abstentions, and in the case of the Election of Directors proposal, “broker non-votes” are not counted as votes cast and will have no effect on the vote on this proposal.</w:t>
      </w:r>
    </w:p>
    <w:p>
      <w:pPr>
        <w:sectPr>
          <w:pgSz w:w="11900" w:h="16838" w:orient="portrait"/>
          <w:cols w:equalWidth="0" w:num="1">
            <w:col w:w="9019"/>
          </w:cols>
          <w:pgMar w:left="1440" w:top="270" w:right="1440" w:bottom="1440" w:gutter="0" w:footer="0" w:header="0"/>
          <w:type w:val="continuous"/>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I have already voted or given my proxy?</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Yes. If you are a stockholder of record, you may change your vote or revoke your proxy at any time before the proxy is voted at the Annual Meeting. To change your vote, you may:</w:t>
      </w:r>
    </w:p>
    <w:p>
      <w:pPr>
        <w:spacing w:after="0" w:line="94" w:lineRule="exact"/>
        <w:rPr>
          <w:sz w:val="20"/>
          <w:szCs w:val="20"/>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a written notice “revoking” your earlier vote to our Corporate Secretary at 2 Shaker Road Suite E213, Shirley, MA 01464;</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and signed proxy card with a later date;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virtually during the Annual Meeting. Simply attending the Annual Meeting will not, by itself, revoke your proxy.</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Your last dated proxy, properly completed and timely received prior to, or vote cast at, the Annual Meeting will be counted.</w:t>
      </w:r>
    </w:p>
    <w:p>
      <w:pPr>
        <w:spacing w:after="0" w:line="79"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 xml:space="preserve">If you own your shares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please contact your broker or other intermediary for instructions on changing your vote or revoking your proxy.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holder of Common Stock will have the right to one vote per share of Common Stock.</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Continental has been engaged as our independent agent to tabulate stockholder votes and act as Inspector of Election for the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w:t>
      </w:r>
    </w:p>
    <w:p>
      <w:pPr>
        <w:spacing w:after="0" w:line="108" w:lineRule="exact"/>
        <w:rPr>
          <w:sz w:val="20"/>
          <w:szCs w:val="20"/>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successful proxy solicitation.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Occasionally, stockholders provide written comments on their proxy cards, which may be forwarded to the Company’s management and the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 or postponed?</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Your proxy will still be effective and will be voted at the adjourned or postponed Annual Meeting. You will still be able to change or revoke your proxy until it is voted, provided such new proxy or revocation is properly completed and timely received.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find the results of the Annual Meeting?</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expect that preliminary voting results will be announced during the Annual Meeting. In addition, final voting results will be published in a current report on Form 8-K that we expect to file within four business days after the Annual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pay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the 2027 annual meeting.</w:t>
      </w:r>
    </w:p>
    <w:p>
      <w:pPr>
        <w:spacing w:after="0" w:line="146"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Our bylaws provide that, for stockholder proposals submitted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(other than director nominations) to be considered at an annual meeting, the stockholder must give timely notice thereof in writing to our Corporate Secretary. This notice may be delivered to us via email at ir@daic.ai or via mail at 2 Shaker Road Suite E213, Shirley, MA 01464. To be timely for the 2027 annual meeting of stockholders, a stockholder’s notice must be delivered to or mailed and received by our Corporate Secretary at our principal executive offices between December 31, 2026 and January 30, 2027; provided that if the date of that annual meeting of stockholders is not within 30 days before or after such anniversary date, you must give the required notice not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date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date or, if later,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that meeting date is first made. A stockholder’s notice to the Corporate Secretary must also set forth the information required by our bylaws.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Stockholder Solicitation of Proxies in Support of Director Nominees Other Than Company Nominees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In addition, to comply with Rule 14a-19 under the Exchange Act, the SEC’s universal proxy rule, if a stockholder intends to solicit proxies in support of director nominees submitted under the advance notice provisions of our bylaws for next year’s annual meeting of stockholders, then such stockholder must provide proper written notice that sets forth all the information required by Rule 14a-19 under the Exchange Act to our Corporate Secretary via email at ir@daic.ai or via mail at 2 Shaker Road Suite E213, Shirley, MA 01464 between December 31, 2026 and January 30, 2027; provided that if the date of that annual meeting of stockholders is not within 30 days before or after such anniversary date, you must give the required notice not earlier than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date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meeting date or, if later,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that meeting date is first made. The notice requirements under Rule 14a-19 are in addition to the applicable advance notice requirements under our bylaws as therein.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instructions on each Notice to ensure that all your shares are voted.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or you would like to revoke your consent to future “householding” mailings, please contact your broker, bank, or other agent or contact us at the following address: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5661 S Cameron 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100 Las Vegas,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Nevada 89118</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are the implications of being an “emerging growth company”?</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including</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the completion of ShoulderUp Technology Acquisition Corp, a Delaware corporation’s (“</w:t>
      </w:r>
      <w:r>
        <w:rPr>
          <w:rFonts w:ascii="Times New Roman" w:cs="Times New Roman" w:eastAsia="Times New Roman" w:hAnsi="Times New Roman"/>
          <w:sz w:val="18"/>
          <w:szCs w:val="18"/>
          <w:b w:val="1"/>
          <w:bCs w:val="1"/>
          <w:i w:val="1"/>
          <w:iCs w:val="1"/>
          <w:color w:val="auto"/>
        </w:rPr>
        <w:t>SUAC</w:t>
      </w:r>
      <w:r>
        <w:rPr>
          <w:rFonts w:ascii="Times New Roman" w:cs="Times New Roman" w:eastAsia="Times New Roman" w:hAnsi="Times New Roman"/>
          <w:sz w:val="18"/>
          <w:szCs w:val="18"/>
          <w:color w:val="auto"/>
        </w:rPr>
        <w:t>”) initial public offering, (ii) the last day of the first fiscal year in which our annual gross revenue is $1.235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CID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CID Holdco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CID</w:t>
      </w:r>
      <w:r>
        <w:rPr>
          <w:rFonts w:ascii="Times New Roman" w:cs="Times New Roman" w:eastAsia="Times New Roman" w:hAnsi="Times New Roman"/>
          <w:sz w:val="18"/>
          <w:szCs w:val="18"/>
          <w:color w:val="auto"/>
        </w:rPr>
        <w:t>”), formerly known as SEE ID Inc., dba Dot AI (the “</w:t>
      </w:r>
      <w:r>
        <w:rPr>
          <w:rFonts w:ascii="Times New Roman" w:cs="Times New Roman" w:eastAsia="Times New Roman" w:hAnsi="Times New Roman"/>
          <w:sz w:val="18"/>
          <w:szCs w:val="18"/>
          <w:b w:val="1"/>
          <w:bCs w:val="1"/>
          <w:i w:val="1"/>
          <w:iCs w:val="1"/>
          <w:color w:val="auto"/>
        </w:rPr>
        <w:t>Legacy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SEE ID</w:t>
      </w:r>
      <w:r>
        <w:rPr>
          <w:rFonts w:ascii="Times New Roman" w:cs="Times New Roman" w:eastAsia="Times New Roman" w:hAnsi="Times New Roman"/>
          <w:sz w:val="18"/>
          <w:szCs w:val="18"/>
          <w:color w:val="auto"/>
        </w:rPr>
        <w:t>”),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1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DFM capability is built around our CTO in Worcester, MA and our core software team is in Bangalore, India.</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June 18, 2025, we consummated the Business Combination contemplated by a Business Combination Agreement dated March 18, 2024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among ShoulderUp Technology Acquisition Corp., a Delaware corporation (“</w:t>
      </w:r>
      <w:r>
        <w:rPr>
          <w:rFonts w:ascii="Times New Roman" w:cs="Times New Roman" w:eastAsia="Times New Roman" w:hAnsi="Times New Roman"/>
          <w:sz w:val="18"/>
          <w:szCs w:val="18"/>
          <w:b w:val="1"/>
          <w:bCs w:val="1"/>
          <w:i w:val="1"/>
          <w:iCs w:val="1"/>
          <w:color w:val="auto"/>
        </w:rPr>
        <w:t>SUAC</w:t>
      </w:r>
      <w:r>
        <w:rPr>
          <w:rFonts w:ascii="Times New Roman" w:cs="Times New Roman" w:eastAsia="Times New Roman" w:hAnsi="Times New Roman"/>
          <w:sz w:val="18"/>
          <w:szCs w:val="18"/>
          <w:color w:val="auto"/>
        </w:rPr>
        <w:t>”), SEE ID, Inc., a Nevada corporation (“</w:t>
      </w:r>
      <w:r>
        <w:rPr>
          <w:rFonts w:ascii="Times New Roman" w:cs="Times New Roman" w:eastAsia="Times New Roman" w:hAnsi="Times New Roman"/>
          <w:sz w:val="18"/>
          <w:szCs w:val="18"/>
          <w:b w:val="1"/>
          <w:bCs w:val="1"/>
          <w:i w:val="1"/>
          <w:iCs w:val="1"/>
          <w:color w:val="auto"/>
        </w:rPr>
        <w:t>SEE ID</w:t>
      </w:r>
      <w:r>
        <w:rPr>
          <w:rFonts w:ascii="Times New Roman" w:cs="Times New Roman" w:eastAsia="Times New Roman" w:hAnsi="Times New Roman"/>
          <w:sz w:val="18"/>
          <w:szCs w:val="18"/>
          <w:color w:val="auto"/>
        </w:rPr>
        <w:t>”), ShoulderUp Merger Sub, Inc., a Delaware corporation (“</w:t>
      </w:r>
      <w:r>
        <w:rPr>
          <w:rFonts w:ascii="Times New Roman" w:cs="Times New Roman" w:eastAsia="Times New Roman" w:hAnsi="Times New Roman"/>
          <w:sz w:val="18"/>
          <w:szCs w:val="18"/>
          <w:b w:val="1"/>
          <w:bCs w:val="1"/>
          <w:i w:val="1"/>
          <w:iCs w:val="1"/>
          <w:color w:val="auto"/>
        </w:rPr>
        <w:t>ShoulderUp Merger Sub</w:t>
      </w:r>
      <w:r>
        <w:rPr>
          <w:rFonts w:ascii="Times New Roman" w:cs="Times New Roman" w:eastAsia="Times New Roman" w:hAnsi="Times New Roman"/>
          <w:sz w:val="18"/>
          <w:szCs w:val="18"/>
          <w:color w:val="auto"/>
        </w:rPr>
        <w:t>”), SEI Merger Sub, Inc., a Delaware corporation (“</w:t>
      </w:r>
      <w:r>
        <w:rPr>
          <w:rFonts w:ascii="Times New Roman" w:cs="Times New Roman" w:eastAsia="Times New Roman" w:hAnsi="Times New Roman"/>
          <w:sz w:val="18"/>
          <w:szCs w:val="18"/>
          <w:b w:val="1"/>
          <w:bCs w:val="1"/>
          <w:i w:val="1"/>
          <w:iCs w:val="1"/>
          <w:color w:val="auto"/>
        </w:rPr>
        <w:t>SEI Merger Sub</w:t>
      </w:r>
      <w:r>
        <w:rPr>
          <w:rFonts w:ascii="Times New Roman" w:cs="Times New Roman" w:eastAsia="Times New Roman" w:hAnsi="Times New Roman"/>
          <w:sz w:val="18"/>
          <w:szCs w:val="18"/>
          <w:color w:val="auto"/>
        </w:rPr>
        <w:t>”), and SEE ID, Inc., a Nevada corporation (“</w:t>
      </w:r>
      <w:r>
        <w:rPr>
          <w:rFonts w:ascii="Times New Roman" w:cs="Times New Roman" w:eastAsia="Times New Roman" w:hAnsi="Times New Roman"/>
          <w:sz w:val="18"/>
          <w:szCs w:val="18"/>
          <w:b w:val="1"/>
          <w:bCs w:val="1"/>
          <w:i w:val="1"/>
          <w:iCs w:val="1"/>
          <w:color w:val="auto"/>
        </w:rPr>
        <w:t>SEE ID</w:t>
      </w:r>
      <w:r>
        <w:rPr>
          <w:rFonts w:ascii="Times New Roman" w:cs="Times New Roman" w:eastAsia="Times New Roman" w:hAnsi="Times New Roman"/>
          <w:sz w:val="18"/>
          <w:szCs w:val="18"/>
          <w:color w:val="auto"/>
        </w:rPr>
        <w:t>”). On the closing of the Business Combination, (i) ShoulderUp Merger Sub merged with and into SUAC (the “</w:t>
      </w:r>
      <w:r>
        <w:rPr>
          <w:rFonts w:ascii="Times New Roman" w:cs="Times New Roman" w:eastAsia="Times New Roman" w:hAnsi="Times New Roman"/>
          <w:sz w:val="18"/>
          <w:szCs w:val="18"/>
          <w:b w:val="1"/>
          <w:bCs w:val="1"/>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and (ii) simultaneously with the ShoulderUp Merger, SEI Merger Sub merged with and into SEE ID (the “</w:t>
      </w:r>
      <w:r>
        <w:rPr>
          <w:rFonts w:ascii="Times New Roman" w:cs="Times New Roman" w:eastAsia="Times New Roman" w:hAnsi="Times New Roman"/>
          <w:sz w:val="18"/>
          <w:szCs w:val="18"/>
          <w:b w:val="1"/>
          <w:bCs w:val="1"/>
          <w:i w:val="1"/>
          <w:iCs w:val="1"/>
          <w:color w:val="auto"/>
        </w:rPr>
        <w:t>SEE ID Merger</w:t>
      </w:r>
      <w:r>
        <w:rPr>
          <w:rFonts w:ascii="Times New Roman" w:cs="Times New Roman" w:eastAsia="Times New Roman" w:hAnsi="Times New Roman"/>
          <w:sz w:val="18"/>
          <w:szCs w:val="18"/>
          <w:color w:val="auto"/>
        </w:rPr>
        <w:t>”), with SEE ID surviving the SEE ID Merger as a wholly-owned subsidiary of the Company (the ShoulderUp Merger and the SEE ID Merger, together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and Other Statements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Board believes that good corporate governance is fundamental to the overall success of our business. To that end, our Board evaluates our corporate governance practices in light of applicable changes in Delaware law, the rules and listing standards of Nasdaq (the “</w:t>
      </w:r>
      <w:r>
        <w:rPr>
          <w:rFonts w:ascii="Times New Roman" w:cs="Times New Roman" w:eastAsia="Times New Roman" w:hAnsi="Times New Roman"/>
          <w:sz w:val="18"/>
          <w:szCs w:val="18"/>
          <w:b w:val="1"/>
          <w:bCs w:val="1"/>
          <w:i w:val="1"/>
          <w:iCs w:val="1"/>
          <w:color w:val="auto"/>
        </w:rPr>
        <w:t>Nasdaq Rules</w:t>
      </w:r>
      <w:r>
        <w:rPr>
          <w:rFonts w:ascii="Times New Roman" w:cs="Times New Roman" w:eastAsia="Times New Roman" w:hAnsi="Times New Roman"/>
          <w:sz w:val="18"/>
          <w:szCs w:val="18"/>
          <w:color w:val="auto"/>
        </w:rPr>
        <w:t>”), the rules and regulations of the SEC, and the rules and regulations under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as well as best practices suggested by recognized governance authorities, and makes modifications to our corporate governance practices that it determines are warranted. The committee charters and the code of conduct, and any waivers or amendments to the code of conduct and business ethics, are all available on our investor relations website at </w:t>
      </w:r>
      <w:r>
        <w:rPr>
          <w:rFonts w:ascii="Times New Roman" w:cs="Times New Roman" w:eastAsia="Times New Roman" w:hAnsi="Times New Roman"/>
          <w:sz w:val="18"/>
          <w:szCs w:val="18"/>
          <w:i w:val="1"/>
          <w:iCs w:val="1"/>
          <w:color w:val="auto"/>
        </w:rPr>
        <w:t xml:space="preserve">https://ir.daic.ai/ </w:t>
      </w:r>
      <w:r>
        <w:rPr>
          <w:rFonts w:ascii="Times New Roman" w:cs="Times New Roman" w:eastAsia="Times New Roman" w:hAnsi="Times New Roman"/>
          <w:sz w:val="18"/>
          <w:szCs w:val="18"/>
          <w:color w:val="auto"/>
        </w:rPr>
        <w:t>in the “Documents &amp; Charters” section.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Overview</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as of the Record Date, and certain other information for each of the nominees for election as a Class I director at the Annual Meeting, and each of the continuing members of the Board.</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Position/Office</w:t>
            </w:r>
          </w:p>
        </w:tc>
      </w:tr>
      <w:tr>
        <w:trPr>
          <w:trHeight w:val="212"/>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4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Held with CID</w:t>
            </w:r>
          </w:p>
        </w:tc>
      </w:tr>
      <w:tr>
        <w:trPr>
          <w:trHeight w:val="46"/>
        </w:trPr>
        <w:tc>
          <w:tcPr>
            <w:tcW w:w="6660" w:type="dxa"/>
            <w:vAlign w:val="bottom"/>
            <w:tcBorders>
              <w:bottom w:val="single" w:sz="8" w:color="auto"/>
            </w:tcBorders>
            <w:gridSpan w:val="2"/>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50"/>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nominees for election until the annual meeting of stockholders in 2029</w:t>
            </w:r>
          </w:p>
        </w:tc>
        <w:tc>
          <w:tcPr>
            <w:tcW w:w="1440" w:type="dxa"/>
            <w:vAlign w:val="bottom"/>
            <w:shd w:val="clear" w:color="auto" w:fill="CCEEFF"/>
          </w:tcPr>
          <w:p>
            <w:pPr>
              <w:spacing w:after="0"/>
              <w:rPr>
                <w:sz w:val="21"/>
                <w:szCs w:val="2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62</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6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5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whose terms expire at the annual meeting of stockholders in 2027</w:t>
            </w: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72</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6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64"/>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77</w:t>
            </w:r>
          </w:p>
        </w:tc>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Class III directors whose terms expire at the annual meeting of stockholders in 2028</w:t>
            </w: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3"/>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59</w:t>
            </w:r>
          </w:p>
        </w:tc>
        <w:tc>
          <w:tcPr>
            <w:tcW w:w="1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CEO &amp; Director</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66</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6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68</w:t>
            </w:r>
          </w:p>
        </w:tc>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62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Board is committed to fostering a board of directors with diverse perspectives, backgrounds, and experiences, with 29% of our current slate directors being female. The Nominating and Corporate Governance Committee is committed to enhancing the Board’s diversity profile at such time as it evaluates any newly nominated directors. For additional information regarding the evaluation of our director candidates and their specific experience and qualifications, see the ‘Nominating and Corporate Governance Committee’ discussion on page 17 of this Proxy Statement.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required under the Nasdaq Rules, a majority of the members of a listed company’s board of directors must qualify as “independent”, as affirmatively determined by the board of directors. Our Board consults with the Company’s counsel annually to ensure that the Board’s determinations are consistent with relevant securities and other laws and regulations regarding the definition of “independent”, including those set forth in the applicable Nasdaq Rules (including as independent is currently defined in Rule 4505(d)(2) of those listing standards).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identified relevant transactions and relationships between each director, and any of his or her family members, and the Company, its senior managements and its independent registered public accounting firm, our Board has determined that each director other than Mr. Edmund Nabrotzky is independent under the Nasdaq Rules. Mr. Nabrotzky is not independent because of his employment relationship with the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Board believes establishing the right leadership structure is one of its primary responsibilities and key to ensuring appropriate oversight of management and creating a strategic-asset Board. The right leadership structure may vary from time to time depending upon the needs of the Company and the Board’s assessment of the CEO. In evaluating its leadership structure, the Board considers a number of factors, including the CEO’s tenure, experience and leadership, the Board and Committee processes and procedures, investor feedback and best practices. The Board is committed to regularly evaluating its leadership structure. Accordingly, the Board does not have a policy on whether the roles of Chair of the Board and CEO should be separate or combined, and, if separate, whether the Chair should be selected from among the independent directors.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Jeff Saling currently serves as the independent Chair of the Board, a position to which he was elected in 2025. At this time, the Board believes that separating the roles of Chair and CEO remains appropriate in order to allow our CEO to focus on day-to-day leadership of management and execution of the Company’s operating and strategic goals, while continuing to build his public company governance experience. Mr. Saling leads the Board, presiding over meetings and prioritizing areas of focus including governance matters; providing advice and counsel to our CEO on the Company’s strategy and long-term plans, and facilitating independent Board oversight of management. Mr. Saling has an extensive understanding of the Board and the Company’s strategic goals.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may elect to combine the roles of Chair and CEO as the Board deems appropriate and in the best interests of the Company and its shareholders. Whenever the Chair is also the CEO or a director who does not otherwise qualify as an independent director, the independent directors will elect from among themselves a lead independent director of the Board.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Meetings and Director Attendance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is responsible for the oversight of company management and the strategy of the Company and for establishing corporate policies. The Board and its committees meet throughout the year on a regular schedule, and also hold special meetings and act by written consent from time to time. In 2025, the Board met nineteen (19) times. All directors attended 100% of the meetings of the Board and committees on which they served.</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Directors are expected to prepare for and use reasonable efforts to participate in all Board meetings and meetings of the committees on which they serve. The Board and each committee will meet as frequently as necessary to properly discharge their responsibilities. In addition, directors are expected to use reasonable efforts to attend the annual meeting of stockholders.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non-employee directors frequently meet in executive sessions without management in conjunction with each regularly scheduled Board meeting. The Company’s Chair has the primary responsibility to preside over these sessions of the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Board has delegated some of its authority to four committees: the Audit Committee; the Compensation Committee; the Nominating and Corporate Governance Committees; and the Cybersecurity and Technology Committee. All of the members of these committees meet the applicable independence requirements of the Nasdaq Rules and the SEC. Our Board has the ability to establish special committees, if necessary.</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Each of our standing committees is governed by a written charter, which is subject to annual review by each respective committee and approval by the Board. Committee charters are available on our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Committee Membership</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2025, our committee membership was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Nominating</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Cybersecurity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Governance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Technology</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Sheldon Paul</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83"/>
        </w:trPr>
        <w:tc>
          <w:tcPr>
            <w:tcW w:w="31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Jeff Saling</w:t>
            </w:r>
            <w:r>
              <w:rPr>
                <w:rFonts w:ascii="MS PGothic" w:cs="MS PGothic" w:eastAsia="MS PGothic" w:hAnsi="MS PGothic"/>
                <w:sz w:val="20"/>
                <w:szCs w:val="20"/>
                <w:color w:val="auto"/>
                <w:vertAlign w:val="superscript"/>
              </w:rPr>
              <w: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51"/>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73" w:lineRule="exact"/>
        <w:rPr>
          <w:sz w:val="20"/>
          <w:szCs w:val="20"/>
          <w:color w:val="auto"/>
        </w:rPr>
      </w:pPr>
    </w:p>
    <w:p>
      <w:pPr>
        <w:ind w:left="460" w:right="6859" w:hanging="6"/>
        <w:spacing w:after="0" w:line="269" w:lineRule="auto"/>
        <w:tabs>
          <w:tab w:leader="none" w:pos="86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Member + Committee Chair</w:t>
      </w:r>
    </w:p>
    <w:p>
      <w:pPr>
        <w:ind w:left="460"/>
        <w:spacing w:after="0" w:line="196" w:lineRule="exact"/>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Chairman of the Board</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2025, our Audit Committee met two (2) times. Our Audit Committee currently consists of Walter Skowronski, Phyllis Newhouse and Dr. David Carlson, with Walter Skowronski serving as the chair. Our Board has determined each member of our Audit Committee to be independent under the listing standards and Rule 10A-3(b)(1) of the Exchange Act. Our Board has determined that each of Walter Skowronski, Phyllis Newhouse and Dr. David Carlson is an “Audit Committee financial expert” within the meaning of SEC regulations and has the requisite financial expertise required under the applicable requirements of the Nasdaq Rules. In arriving at this determination, the Board has examined each Audit Committee member’s scope of experience and the nature of their current and prior employment. The Board has adopted a written Audit Committee charter that is available to stockholders on the Company’s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w:t>
      </w:r>
    </w:p>
    <w:p>
      <w:pPr>
        <w:spacing w:after="0" w:line="95" w:lineRule="exact"/>
        <w:rPr>
          <w:sz w:val="20"/>
          <w:szCs w:val="20"/>
          <w:color w:val="auto"/>
        </w:rPr>
      </w:pPr>
    </w:p>
    <w:p>
      <w:pPr>
        <w:jc w:val="both"/>
        <w:ind w:left="1320" w:right="47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the Company’s independent auditors to perform audit services and any permissible non-audit services;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Report can be found on page 28 of this Proxy Statement.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Compensation Committee currently consists of Jeff Saling, Janice Bryant Howroyd and Dr. David Carlson, with Jeff Saling serving as the chair. We have affirmatively determined that each member of the Compensation Committee qualifies as a non-employee director under the Rule 16b-3 promulgated under the Exchange Act, and satisfies the independence requirements under the Nasdaq Rules. The Board has adopted a written Compensation Committee charter that is available to stockholders on the Company’s website at </w:t>
      </w:r>
      <w:r>
        <w:rPr>
          <w:rFonts w:ascii="Times New Roman" w:cs="Times New Roman" w:eastAsia="Times New Roman" w:hAnsi="Times New Roman"/>
          <w:sz w:val="18"/>
          <w:szCs w:val="18"/>
          <w:i w:val="1"/>
          <w:iCs w:val="1"/>
          <w:color w:val="auto"/>
        </w:rPr>
        <w:t>https://daic.ai</w:t>
      </w:r>
      <w:r>
        <w:rPr>
          <w:rFonts w:ascii="Times New Roman" w:cs="Times New Roman" w:eastAsia="Times New Roman" w:hAnsi="Times New Roman"/>
          <w:sz w:val="18"/>
          <w:szCs w:val="18"/>
          <w:color w:val="auto"/>
        </w:rPr>
        <w:t>. The Compensation Committee did not meet during 2025.</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w:t>
      </w:r>
    </w:p>
    <w:p>
      <w:pPr>
        <w:spacing w:after="0" w:line="99" w:lineRule="exact"/>
        <w:rPr>
          <w:sz w:val="20"/>
          <w:szCs w:val="20"/>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Process and Procedures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Compensation Committee plans to meet as necessary in 2026. The agenda for each meeting will be developed by the Chair of the Compensation Committee, in consultation with management.</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may not participate virtually,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None of our executive officers currently serve, or during the fiscal year ended December 31, 2025, have served, as a member of the compensation committee or director (or other board committee performing equivalent functions or, in the absence of any such committee, the entire Board) of any entity that has one or more executive officers serving on our Compensation Committee or our Board.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is comprised of Dr. David Carlson, Janice Bryant Howroyd, and Walter Skowronski, with Dr. David Carlson serving as chair. We have affirmatively determined that each member of the Nominating and Corporate Governance Committee qualifies as independent under the Nasdaq Rules. The Board has adopted a written Nominating and Corporate Governance Committee charter that is available to stockholders on the Company’s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 The Nominating and Governance Committee did not meet during 2025.</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44"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Cybersecurity and Technology Committee</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Our Cybersecurity and Technology Committee is comprised of Phyllis Newhouse and Edmund Nabrotzky, with Phyllis Newhouse serving as chair. We have affirmatively determined that Phyllis Newhouse qualifies as independent under the Nasdaq Rules. The Board has adopted a written Cybersecurity and Technology Committee charter that is available to stockholders on the Company’s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 The Cybersecurity and Technology Committee did not meet during 2025.</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Specific responsibilities of our Cybersecurity and Technology Committee include:</w:t>
      </w:r>
    </w:p>
    <w:p>
      <w:pPr>
        <w:spacing w:after="0" w:line="131" w:lineRule="exact"/>
        <w:rPr>
          <w:sz w:val="20"/>
          <w:szCs w:val="20"/>
          <w:color w:val="auto"/>
        </w:rPr>
      </w:pPr>
    </w:p>
    <w:p>
      <w:pPr>
        <w:jc w:val="both"/>
        <w:ind w:left="1320" w:right="47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metrics on cybersecurity incidents, breaches (actual or attempted), and the Company’s response thereto;</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compliance with cybersecurity and data privacy laws, including SEC, state, and international regulations, and industry standards;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technology architecture, platforms and operational resilience;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major technology-related projects, digital initiatives, and infrastructure investments;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disaster recovery, business infrastructure, and data backup processes;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the Company’s cyber insurance coverage and reviewing its adequacy;</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Audit Committee with respect to any matters that may impact internal controls, financial reporting, or cybersecurity disclosures;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cybersecurity workforce, training programs (including executive and board-level cybersecurity education), budget, and third-party vendor and supply chain risk management processes;</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for oversight of risks arising from use of AI, machine learning, and other emerging technologies;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appropriate disclosures are made in public filings relating to cybersecurity oversight and risk management;</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Board approval updates to the Cybersecurity &amp; Technology Committee’s charter on an annual basis;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compliance with cybersecurity disclosure obligations under SEC Regulation S-K Item 106 and Form 8-K Item 1.05, including timely disclosure of material cybersecurity incidents and governance structures;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third-party risk management practices, including risk assessment and monitoring of key technology vendors and supply chain cybersecurity vulnerabilities;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training programs and culture-building efforts relating to cybersecurity awareness, including for executives and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Nomination Process and Director Qualifications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Nomination to our Board of Directors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is continually evaluating the skills and talent of the current Board members and strives to add value to the Board by attracting and recruiting qualified Board candidates for our pipeline. Our Board actively recruits members with a pipeline of talented and engaged candidates. Candidates for nomination to our Board are selected by our Board based on the recommendation of our Nominating and Corporate Governance Committee in accordance with the committee’s charter, our policies, our certificate of incorporation and bylaws, our code of business conduct and ethics, and the criteria adopted by our Board regarding director candidate qualifications. In recommending candidates for nomination, our Nominating and Corporate Governance Committee considers candidates recommended by directors, officers, and employees, as well as candidates that are properly submitted by stockholders in accordance with our policies and bylaws, using the same criteria to evaluate all such candidates. We also engage consultants or third-party search firms to assist in identifying and evaluating potential nominees. Evaluations of candidates generally involve a review of background materials, internal discussions, and interviews with selected candidates as appropriate.</w:t>
      </w:r>
    </w:p>
    <w:p>
      <w:pPr>
        <w:spacing w:after="0" w:line="109"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Additional information regarding the process for properly submitting stockholder nominations for candidates for membership on our Board is set forth above under “</w:t>
      </w:r>
      <w:r>
        <w:rPr>
          <w:rFonts w:ascii="Times New Roman" w:cs="Times New Roman" w:eastAsia="Times New Roman" w:hAnsi="Times New Roman"/>
          <w:sz w:val="17"/>
          <w:szCs w:val="17"/>
          <w:i w:val="1"/>
          <w:iCs w:val="1"/>
          <w:color w:val="auto"/>
        </w:rPr>
        <w:t>Questions and Answers About these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Materials and Voting — Requirements for stockholder proposals to be brought before the 2027 annual meeting</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6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With the goal of developing an experienced and highly qualified board of directors, our Nominating and Corporate Governance Committee is responsible for developing and recommending to our Board the desired qualifications, expertise and characteristics of members of our Board, including qualifications that the committee believes must be met by a committee-recommended nominee for membership on our Board and specific qualities or skills that the committee believes are necessary for one or more of the members of our Board to possess.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the qualifications, qualities, and skills that are necessary to meet U.S. legal, regulatory, and Nasdaq listing requirements and the provisions of our certificate of incorporation, bylaws, corporate governance guidelines and charters of the board committees, our Nominating and Corporate Governance Committee considers the following qualifications for any nominee for a position on our Board: (i) experience in corporate governance, such as an officer or former officer of a publicly held company; (ii) experience in, and familiarity with, our business and industry; (iii) personal and professional character, integrity, ethics and values;</w:t>
      </w:r>
    </w:p>
    <w:p>
      <w:pPr>
        <w:spacing w:after="0" w:line="5"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expertise in an area of our operations; (v) background in financial and accounting matters; and</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factors it considers appropriate, which may include age, diversity of background, existing commitments to other businesses, potential conflicts of interest, legal considerations, corporate governance background, and the size, composition, and combined expertise of the existing Board. Our Board and nominating and corporate governance committee believe that an experienced and highly qualified board of directors fosters a robust, comprehensive, and balanced decision-making process for the continued effective functioning of our Board and our success. Accordingly, through the nomination process, our Nominating and Corporate Governance Committee seeks to promote board membership that reflects diversity, factoring in gender, race, ethnicity, differences in professional background, education, skill and experience, and other individual qualities and attributes that contribute to the total mix of viewpoints and experience, without assigning any particular weighting or priority to any one factor.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cybersecurity risk oversight, our Board and our Audit Committee receive periodic reports from the appropriate managers and the Cybersecurity and Technology Committee on the primary cybersecurity risks facing the Company and the measures the Company is taking to mitigate such risks. In addition to these periodic reports, our Board and our Audit Committee receive updates from management and the Cybersecurity and Technology Committee as to changes to the Company’s cybersecurity risk profile or significant newly identified risks.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Stockholders and other interested parties who wish to communicate directly with our Board or an individual director may do so by mail to our Board or the individual director, care of our Corporate Secretary at 2 Shaker Road Suite E213, Shirley, MA 01464. The communication should indicate that it contains a stockholder or interested party communication. In accordance with our code of business conduct, our Corporate Secretary will review all correspondence and forward appropriate messages to the applicable member(s) of the Board, except for those that are unrelated to the Board’s duties or that are otherwise inappropriate.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Board has adopted an insider trading and trading window policy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Clawback Policy for Executive Compensation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has been approved by our Board. The code of business conduct and ethics is applicable to all of our directors, officers (including our principal executive officer, principal financial officer, and principal accounting officer) and employees. Our code of business conduct and ethics is available on our investor relations website at </w:t>
      </w:r>
      <w:r>
        <w:rPr>
          <w:rFonts w:ascii="Times New Roman" w:cs="Times New Roman" w:eastAsia="Times New Roman" w:hAnsi="Times New Roman"/>
          <w:sz w:val="18"/>
          <w:szCs w:val="18"/>
          <w:i w:val="1"/>
          <w:iCs w:val="1"/>
          <w:color w:val="auto"/>
        </w:rPr>
        <w:t>https://ir.daic.ai/</w:t>
      </w:r>
      <w:r>
        <w:rPr>
          <w:rFonts w:ascii="Times New Roman" w:cs="Times New Roman" w:eastAsia="Times New Roman" w:hAnsi="Times New Roman"/>
          <w:sz w:val="18"/>
          <w:szCs w:val="18"/>
          <w:color w:val="auto"/>
        </w:rPr>
        <w:t>. In the event that we amend or waive certain provisions of our Code of Conduct, we will disclose the same on our website.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currently consists of six members, divided into three staggered classes of directors. Each class has a three-year term. Each director’s term continues until the election and qualification of their successor, or such director’s earlier death, resignation, or removal. At the Annual Meeting, one Class I director, Phyllis Newhouse, is seeking re-election to renew her seat on the Board for a three-year term. Dr. Paul, our other Class I director whose term was scheduled to expire at the Annual Meeting, notified the Board of his intention to resign from the Board and the Cybersecurity and Technology Committee in March 2026, effective immediately. Dr. Paul’s nomination for re-election had been under consideration in the normal course of the Board’s governance processes at the time of his resignation. Following the Annual Meeting, the Nominating and Corporate Governance Committee intends to commence a search for a new independent director to fill the vacancy caused by Dr. Paul’s resignation.</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the Board has approved, Phyllis Newhouse as a nominee for election as a Class I director at the Annual Meeting. If elected, Ms. Newhouse will serve as a Class I director for a three-year term expiring at the annual meeting of stockholders to be held in 2029 and until her successor is duly elected and qualified or until her earlier death, resignation, or removal. Ms. Newhouse has agreed to stand for election as a Class I director, and we have no reason to believe that Ms. Newhouse will be unable to serve if elected. Should any director nominee become unavailable for election as a result of an unexpected occurrence, your proxy authorizes the persons named as proxies to vote for a substitute nominee if our Board so chooses, or our Board may reduce its size. The terms of office of the directors in Class II and Class III will not expire until the annual meeting of stockholders to be held in 2027 and 2028, respectively.</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division of our Board into three classes with staggered three-year terms may delay or prevent a change of our management or a change in control.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cast by the stockholders present virtually or represented by proxy and entitled to vote on the election of directors. Accordingly, the nominee receiving the highest number of affirmative votes will be elected. Any shares not voted “FOR” the nominee (whether as a result of a withhold vote or a broker non-vote) will not be counted in the nominee’s favor and will have no effect on the outcome of the election. Shares represented by executed proxies will be voted, if authority to do so is not withheld, for the election of the nominee named above. If the nominee becomes unavailable for election as a result of an unexpected occurrence, shares that would have been voted for the nominee will instead be voted for the election of a substitute nominee proposed by our Board.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 for election as Class I director, and each of the Class II and III directors whose terms have not yet expired. This includes information regarding each director’s experience, qualifications, attributes, or skills that led our Board to recommend them for board service.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Nominees for Election Until the Annual Meeting of Stockholders to be Held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3402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3402965"/>
                    </a:xfrm>
                    <a:prstGeom prst="rect">
                      <a:avLst/>
                    </a:prstGeom>
                    <a:noFill/>
                  </pic:spPr>
                </pic:pic>
              </a:graphicData>
            </a:graphic>
          </wp:anchor>
        </w:drawing>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Phyllis Newhouse</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 xml:space="preserve">Director </w:t>
            </w:r>
            <w:r>
              <w:rPr>
                <w:rFonts w:ascii="Times New Roman" w:cs="Times New Roman" w:eastAsia="Times New Roman" w:hAnsi="Times New Roman"/>
                <w:sz w:val="18"/>
                <w:szCs w:val="18"/>
                <w:color w:val="FFFFFF"/>
              </w:rPr>
              <w:t>(Class I)</w:t>
            </w:r>
          </w:p>
        </w:tc>
        <w:tc>
          <w:tcPr>
            <w:tcW w:w="20" w:type="dxa"/>
            <w:vAlign w:val="bottom"/>
            <w:tcBorders>
              <w:top w:val="single" w:sz="8" w:color="auto"/>
              <w:bottom w:val="single" w:sz="8" w:color="auto"/>
            </w:tcBorders>
          </w:tcPr>
          <w:p>
            <w:pPr>
              <w:spacing w:after="0"/>
              <w:rPr>
                <w:sz w:val="22"/>
                <w:szCs w:val="22"/>
                <w:color w:val="auto"/>
              </w:rPr>
            </w:pPr>
          </w:p>
        </w:tc>
      </w:tr>
    </w:tbl>
    <w:p>
      <w:pPr>
        <w:ind w:left="52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June 2025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Audit; Cybersecurity &amp; Technology (Chair)</w:t>
      </w:r>
    </w:p>
    <w:p>
      <w:pPr>
        <w:spacing w:after="0" w:line="45" w:lineRule="exact"/>
        <w:rPr>
          <w:sz w:val="20"/>
          <w:szCs w:val="20"/>
          <w:color w:val="auto"/>
        </w:rPr>
      </w:pPr>
    </w:p>
    <w:p>
      <w:pPr>
        <w:jc w:val="both"/>
        <w:ind w:left="520" w:right="539"/>
        <w:spacing w:after="0" w:line="252" w:lineRule="auto"/>
        <w:rPr>
          <w:sz w:val="20"/>
          <w:szCs w:val="20"/>
          <w:color w:val="auto"/>
        </w:rPr>
      </w:pPr>
      <w:r>
        <w:rPr>
          <w:rFonts w:ascii="Times New Roman" w:cs="Times New Roman" w:eastAsia="Times New Roman" w:hAnsi="Times New Roman"/>
          <w:sz w:val="18"/>
          <w:szCs w:val="18"/>
          <w:color w:val="auto"/>
        </w:rPr>
        <w:t>Phyllis Newhouse has served as a member of the Board since June 2025. Ms. Newhouse previously served as Chief Executive Officer of ShoulderUp Technology Acquisition Corp since December 2020. Ms. Newhouse is known as a pioneer in cybersecurity. Ms. Newhouse is an entrepreneur, retired military senior non-commissioned officer, mentor, founder and Chief Executive Officer of XtremeSolutions, Inc., an Atlanta-based cybersecurity firm (“XSI”), since 2001,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99" w:lineRule="exact"/>
        <w:rPr>
          <w:sz w:val="20"/>
          <w:szCs w:val="20"/>
          <w:color w:val="auto"/>
        </w:rPr>
      </w:pPr>
    </w:p>
    <w:p>
      <w:pPr>
        <w:ind w:left="1940" w:right="1819" w:hanging="170"/>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YOU VOTE “FOR” THE CLASS I DIRECTOR NOMINEE TO THE BOARD.</w:t>
      </w:r>
    </w:p>
    <w:p>
      <w:pPr>
        <w:spacing w:after="0" w:line="6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Ms. Newhouse’s professional experience in business, technology, cybersecurity, policy and governmental affairs makes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58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2580005"/>
                    </a:xfrm>
                    <a:prstGeom prst="rect">
                      <a:avLst/>
                    </a:prstGeom>
                    <a:noFill/>
                  </pic:spPr>
                </pic:pic>
              </a:graphicData>
            </a:graphic>
          </wp:anchor>
        </w:drawing>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Janice Bryant Howroyd</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Director (Class II)</w:t>
            </w:r>
          </w:p>
        </w:tc>
        <w:tc>
          <w:tcPr>
            <w:tcW w:w="20" w:type="dxa"/>
            <w:vAlign w:val="bottom"/>
            <w:tcBorders>
              <w:top w:val="single" w:sz="8" w:color="auto"/>
              <w:bottom w:val="single" w:sz="8" w:color="auto"/>
            </w:tcBorders>
          </w:tcPr>
          <w:p>
            <w:pPr>
              <w:spacing w:after="0"/>
              <w:rPr>
                <w:sz w:val="22"/>
                <w:szCs w:val="22"/>
                <w:color w:val="auto"/>
              </w:rPr>
            </w:pPr>
          </w:p>
        </w:tc>
      </w:tr>
    </w:tbl>
    <w:p>
      <w:pPr>
        <w:ind w:left="52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August 2025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72</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Nominating &amp; Corporate Governance; Compensation</w:t>
      </w:r>
    </w:p>
    <w:p>
      <w:pPr>
        <w:spacing w:after="0" w:line="45" w:lineRule="exact"/>
        <w:rPr>
          <w:sz w:val="20"/>
          <w:szCs w:val="20"/>
          <w:color w:val="auto"/>
        </w:rPr>
      </w:pPr>
    </w:p>
    <w:p>
      <w:pPr>
        <w:jc w:val="both"/>
        <w:ind w:left="520" w:right="539"/>
        <w:spacing w:after="0" w:line="252" w:lineRule="auto"/>
        <w:rPr>
          <w:sz w:val="20"/>
          <w:szCs w:val="20"/>
          <w:color w:val="auto"/>
        </w:rPr>
      </w:pPr>
      <w:r>
        <w:rPr>
          <w:rFonts w:ascii="Times New Roman" w:cs="Times New Roman" w:eastAsia="Times New Roman" w:hAnsi="Times New Roman"/>
          <w:sz w:val="18"/>
          <w:szCs w:val="18"/>
          <w:color w:val="auto"/>
        </w:rPr>
        <w:t>Janice Bryant Howroyd has served as a member of the Board since August 2025. Ms. Howroyd has 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Ms. Howroyd’s prior board and government advisor experience, as well as her employment and talent management experience, makes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3265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3265805"/>
                    </a:xfrm>
                    <a:prstGeom prst="rect">
                      <a:avLst/>
                    </a:prstGeom>
                    <a:noFill/>
                  </pic:spPr>
                </pic:pic>
              </a:graphicData>
            </a:graphic>
          </wp:anchor>
        </w:drawing>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Walter Skowronski</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Director (Class II)</w:t>
            </w:r>
          </w:p>
        </w:tc>
        <w:tc>
          <w:tcPr>
            <w:tcW w:w="20" w:type="dxa"/>
            <w:vAlign w:val="bottom"/>
            <w:tcBorders>
              <w:top w:val="single" w:sz="8" w:color="auto"/>
              <w:bottom w:val="single" w:sz="8" w:color="auto"/>
            </w:tcBorders>
          </w:tcPr>
          <w:p>
            <w:pPr>
              <w:spacing w:after="0"/>
              <w:rPr>
                <w:sz w:val="22"/>
                <w:szCs w:val="22"/>
                <w:color w:val="auto"/>
              </w:rPr>
            </w:pPr>
          </w:p>
        </w:tc>
      </w:tr>
    </w:tbl>
    <w:p>
      <w:pPr>
        <w:ind w:left="52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August 2025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77</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Audit (Chair); Nominating &amp; Corporate Governance</w:t>
      </w:r>
    </w:p>
    <w:p>
      <w:pPr>
        <w:spacing w:after="0" w:line="45" w:lineRule="exact"/>
        <w:rPr>
          <w:sz w:val="20"/>
          <w:szCs w:val="20"/>
          <w:color w:val="auto"/>
        </w:rPr>
      </w:pPr>
    </w:p>
    <w:p>
      <w:pPr>
        <w:jc w:val="both"/>
        <w:ind w:left="520" w:right="539"/>
        <w:spacing w:after="0" w:line="252" w:lineRule="auto"/>
        <w:rPr>
          <w:sz w:val="20"/>
          <w:szCs w:val="20"/>
          <w:color w:val="auto"/>
        </w:rPr>
      </w:pPr>
      <w:r>
        <w:rPr>
          <w:rFonts w:ascii="Times New Roman" w:cs="Times New Roman" w:eastAsia="Times New Roman" w:hAnsi="Times New Roman"/>
          <w:sz w:val="18"/>
          <w:szCs w:val="18"/>
          <w:color w:val="auto"/>
        </w:rPr>
        <w:t>Walter Skowronski has served as a member of the Board since August 2025. Mr. Skowronski has more 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20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Mr. Skowronski’s financial expertise, as well as his previous board of directors experience,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717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2717165"/>
                    </a:xfrm>
                    <a:prstGeom prst="rect">
                      <a:avLst/>
                    </a:prstGeom>
                    <a:noFill/>
                  </pic:spPr>
                </pic:pic>
              </a:graphicData>
            </a:graphic>
          </wp:anchor>
        </w:drawing>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Edmund Nabrotzky</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Chief Executive Officer, 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94"/>
        </w:trPr>
        <w:tc>
          <w:tcPr>
            <w:tcW w:w="40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June 2025</w:t>
            </w: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59</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Cybersecurity &amp; Technology</w:t>
            </w: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36" w:lineRule="exact"/>
        <w:rPr>
          <w:sz w:val="20"/>
          <w:szCs w:val="20"/>
          <w:color w:val="auto"/>
        </w:rPr>
      </w:pPr>
    </w:p>
    <w:p>
      <w:pPr>
        <w:jc w:val="both"/>
        <w:ind w:left="520" w:right="539"/>
        <w:spacing w:after="0" w:line="252" w:lineRule="auto"/>
        <w:rPr>
          <w:sz w:val="20"/>
          <w:szCs w:val="20"/>
          <w:color w:val="auto"/>
        </w:rPr>
      </w:pPr>
      <w:r>
        <w:rPr>
          <w:rFonts w:ascii="Times New Roman" w:cs="Times New Roman" w:eastAsia="Times New Roman" w:hAnsi="Times New Roman"/>
          <w:sz w:val="18"/>
          <w:szCs w:val="18"/>
          <w:color w:val="auto"/>
        </w:rPr>
        <w:t>Mr. Nabrotzky has served as a director of CID Holdco since June 2025, concurrent with his appointment as is the co-founder and Chief Executive Officer of CID Holdco at such time. Mr. Nabrotzky is a co-founder of the Company. Prior to founding the Company, Mr. Nabrotzky previously served as the President of Litum 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Mr. Nabrotzky’s extensive business and management expertise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58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2580005"/>
                    </a:xfrm>
                    <a:prstGeom prst="rect">
                      <a:avLst/>
                    </a:prstGeom>
                    <a:noFill/>
                  </pic:spPr>
                </pic:pic>
              </a:graphicData>
            </a:graphic>
          </wp:anchor>
        </w:drawing>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Dr. David Carlson</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94"/>
        </w:trPr>
        <w:tc>
          <w:tcPr>
            <w:tcW w:w="40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June 2025</w:t>
            </w: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66</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Audit; Compensation</w:t>
            </w: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36" w:lineRule="exact"/>
        <w:rPr>
          <w:sz w:val="20"/>
          <w:szCs w:val="20"/>
          <w:color w:val="auto"/>
        </w:rPr>
      </w:pPr>
    </w:p>
    <w:p>
      <w:pPr>
        <w:jc w:val="both"/>
        <w:ind w:left="520" w:right="539"/>
        <w:spacing w:after="0" w:line="252" w:lineRule="auto"/>
        <w:rPr>
          <w:sz w:val="20"/>
          <w:szCs w:val="20"/>
          <w:color w:val="auto"/>
        </w:rPr>
      </w:pPr>
      <w:r>
        <w:rPr>
          <w:rFonts w:ascii="Times New Roman" w:cs="Times New Roman" w:eastAsia="Times New Roman" w:hAnsi="Times New Roman"/>
          <w:sz w:val="18"/>
          <w:szCs w:val="18"/>
          <w:color w:val="auto"/>
        </w:rPr>
        <w:t>Dr. David Carlson has served as a member of the Board since June 2025. Dr. Carlson has been the Chief Medical Officer in South 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1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Dr. Carlson’s professional medical experience and previous board experience makes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168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2168525"/>
                    </a:xfrm>
                    <a:prstGeom prst="rect">
                      <a:avLst/>
                    </a:prstGeom>
                    <a:noFill/>
                  </pic:spPr>
                </pic:pic>
              </a:graphicData>
            </a:graphic>
          </wp:anchor>
        </w:drawing>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060" w:type="dxa"/>
            <w:vAlign w:val="bottom"/>
            <w:tcBorders>
              <w:top w:val="single" w:sz="8" w:color="auto"/>
              <w:bottom w:val="single" w:sz="8" w:color="auto"/>
              <w:right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Jeff Saling</w:t>
            </w:r>
          </w:p>
        </w:tc>
        <w:tc>
          <w:tcPr>
            <w:tcW w:w="4020" w:type="dxa"/>
            <w:vAlign w:val="bottom"/>
            <w:tcBorders>
              <w:top w:val="single" w:sz="8" w:color="auto"/>
              <w:bottom w:val="single" w:sz="8" w:color="auto"/>
            </w:tcBorders>
            <w:shd w:val="clear" w:color="auto" w:fill="00489A"/>
          </w:tcPr>
          <w:p>
            <w:pPr>
              <w:ind w:left="60"/>
              <w:spacing w:after="0"/>
              <w:rPr>
                <w:sz w:val="20"/>
                <w:szCs w:val="20"/>
                <w:color w:val="auto"/>
              </w:rPr>
            </w:pPr>
            <w:r>
              <w:rPr>
                <w:rFonts w:ascii="Times New Roman" w:cs="Times New Roman" w:eastAsia="Times New Roman" w:hAnsi="Times New Roman"/>
                <w:sz w:val="18"/>
                <w:szCs w:val="18"/>
                <w:b w:val="1"/>
                <w:bCs w:val="1"/>
                <w:color w:val="FFFFFF"/>
              </w:rPr>
              <w:t>Director (Class III)</w:t>
            </w:r>
          </w:p>
        </w:tc>
        <w:tc>
          <w:tcPr>
            <w:tcW w:w="20" w:type="dxa"/>
            <w:vAlign w:val="bottom"/>
            <w:tcBorders>
              <w:top w:val="single" w:sz="8" w:color="auto"/>
              <w:bottom w:val="single" w:sz="8" w:color="auto"/>
            </w:tcBorders>
          </w:tcPr>
          <w:p>
            <w:pPr>
              <w:spacing w:after="0"/>
              <w:rPr>
                <w:sz w:val="22"/>
                <w:szCs w:val="22"/>
                <w:color w:val="auto"/>
              </w:rPr>
            </w:pPr>
          </w:p>
        </w:tc>
      </w:tr>
      <w:tr>
        <w:trPr>
          <w:trHeight w:val="194"/>
        </w:trPr>
        <w:tc>
          <w:tcPr>
            <w:tcW w:w="40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June 2025</w:t>
            </w: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68</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Compensation (Chair)</w:t>
            </w: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36" w:lineRule="exact"/>
        <w:rPr>
          <w:sz w:val="20"/>
          <w:szCs w:val="20"/>
          <w:color w:val="auto"/>
        </w:rPr>
      </w:pPr>
    </w:p>
    <w:p>
      <w:pPr>
        <w:jc w:val="both"/>
        <w:ind w:left="520" w:right="539"/>
        <w:spacing w:after="0" w:line="253" w:lineRule="auto"/>
        <w:rPr>
          <w:sz w:val="20"/>
          <w:szCs w:val="20"/>
          <w:color w:val="auto"/>
        </w:rPr>
      </w:pPr>
      <w:r>
        <w:rPr>
          <w:rFonts w:ascii="Times New Roman" w:cs="Times New Roman" w:eastAsia="Times New Roman" w:hAnsi="Times New Roman"/>
          <w:sz w:val="18"/>
          <w:szCs w:val="18"/>
          <w:color w:val="auto"/>
        </w:rPr>
        <w:t>Jeff Saling has served as a member of the Board since June 2025. Mr. Saling is a serial entrepreneur, seasoned executive, and prolific investor with over 30 years of experience in launching, scaling, and exiting startups in the SaaS and cloud domains. He currently serves as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21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believes that Mr. Saling’s professional business and entrepreneur experience makes him well qualified to serve as a member of our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compensate our non-employee directors with a combination of cash and equity awards in the form of quarterly stock options, each as described below. Edmund Nabrotzky our CEO, also serves as a director and we compensate Mr. Nabrotzky solely for serving as our CEO and do not provide additional compensation for his service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below for details on the compensation provide to Mr. Nabrotzky.</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Compensation. </w:t>
      </w:r>
      <w:r>
        <w:rPr>
          <w:rFonts w:ascii="Times New Roman" w:cs="Times New Roman" w:eastAsia="Times New Roman" w:hAnsi="Times New Roman"/>
          <w:sz w:val="18"/>
          <w:szCs w:val="18"/>
          <w:color w:val="auto"/>
        </w:rPr>
        <w:t>Each non-employee director receives an annual cash fee of $50,000,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in arrears.</w:t>
      </w:r>
    </w:p>
    <w:p>
      <w:pPr>
        <w:spacing w:after="0" w:line="8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Equity Compensation. </w:t>
      </w:r>
      <w:r>
        <w:rPr>
          <w:rFonts w:ascii="Times New Roman" w:cs="Times New Roman" w:eastAsia="Times New Roman" w:hAnsi="Times New Roman"/>
          <w:sz w:val="18"/>
          <w:szCs w:val="18"/>
          <w:color w:val="auto"/>
        </w:rPr>
        <w:t>Each non-employee director is eligible to receive quarterly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0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 Chair Equity Award. </w:t>
      </w:r>
      <w:r>
        <w:rPr>
          <w:rFonts w:ascii="Times New Roman" w:cs="Times New Roman" w:eastAsia="Times New Roman" w:hAnsi="Times New Roman"/>
          <w:sz w:val="18"/>
          <w:szCs w:val="18"/>
          <w:color w:val="auto"/>
        </w:rPr>
        <w:t>In addition to the quarterly stock option awards, any director serving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chair of a committee of the Board is eligible to receive an additional annual grant of stock options with a number of shares subject to the options determined by dividing $25,000 by the closing price of our Common Stock on the date of grant. We did not grant any option awards to the committee chairs during 2025.</w:t>
      </w:r>
    </w:p>
    <w:p>
      <w:pPr>
        <w:spacing w:after="0" w:line="109"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Expense Reimbursement. </w:t>
      </w:r>
      <w:r>
        <w:rPr>
          <w:rFonts w:ascii="Times New Roman" w:cs="Times New Roman" w:eastAsia="Times New Roman" w:hAnsi="Times New Roman"/>
          <w:sz w:val="18"/>
          <w:szCs w:val="18"/>
          <w:color w:val="auto"/>
        </w:rPr>
        <w:t>We will reimburse all of our non-employee directors for all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expenses incurred in the performance of their services in accordance with our expense reimbursement guidelines.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for all compensation awarded to, earned by, or paid to each person who served as a non-employee director in the fiscal year ending December 31, 2025. Mr. Nabrotzky is not included in the table below because he did not receive additional compensation for his service as a director. The compensation received by Mr. Nabrotzky as an employee for the fiscal year ending December 31, 2025, is shown below in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80" w:type="dxa"/>
            <w:vAlign w:val="bottom"/>
          </w:tcPr>
          <w:p>
            <w:pPr>
              <w:spacing w:after="0"/>
              <w:rPr>
                <w:sz w:val="22"/>
                <w:szCs w:val="22"/>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8"/>
        </w:trPr>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Sheldon Paul</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value of the annual retainers payable to our non-employee directors.</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earned, we did not grant any option awards to our non-employee directors during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2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The Audit Committee of the Board has selected Carr, Riggs &amp; Ingram, LLC (“</w:t>
      </w:r>
      <w:r>
        <w:rPr>
          <w:rFonts w:ascii="Times New Roman" w:cs="Times New Roman" w:eastAsia="Times New Roman" w:hAnsi="Times New Roman"/>
          <w:sz w:val="18"/>
          <w:szCs w:val="18"/>
          <w:b w:val="1"/>
          <w:bCs w:val="1"/>
          <w:i w:val="1"/>
          <w:iCs w:val="1"/>
          <w:color w:val="auto"/>
        </w:rPr>
        <w:t>CRI</w:t>
      </w:r>
      <w:r>
        <w:rPr>
          <w:rFonts w:ascii="Times New Roman" w:cs="Times New Roman" w:eastAsia="Times New Roman" w:hAnsi="Times New Roman"/>
          <w:sz w:val="18"/>
          <w:szCs w:val="18"/>
          <w:color w:val="auto"/>
        </w:rPr>
        <w:t>”)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w:t>
      </w:r>
    </w:p>
    <w:p>
      <w:pPr>
        <w:spacing w:after="0" w:line="10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Wolf &amp; Company, P.C. (“</w:t>
      </w:r>
      <w:r>
        <w:rPr>
          <w:rFonts w:ascii="Times New Roman" w:cs="Times New Roman" w:eastAsia="Times New Roman" w:hAnsi="Times New Roman"/>
          <w:sz w:val="18"/>
          <w:szCs w:val="18"/>
          <w:b w:val="1"/>
          <w:bCs w:val="1"/>
          <w:i w:val="1"/>
          <w:iCs w:val="1"/>
          <w:color w:val="auto"/>
        </w:rPr>
        <w:t>Wolf</w:t>
      </w:r>
      <w:r>
        <w:rPr>
          <w:rFonts w:ascii="Times New Roman" w:cs="Times New Roman" w:eastAsia="Times New Roman" w:hAnsi="Times New Roman"/>
          <w:sz w:val="18"/>
          <w:szCs w:val="18"/>
          <w:color w:val="auto"/>
        </w:rPr>
        <w:t>”) served as the Company’s independent registered public accounting firm from January 2024 through June 30, 2024. Berkowitz Pollack Brant Advisors (“</w:t>
      </w:r>
      <w:r>
        <w:rPr>
          <w:rFonts w:ascii="Times New Roman" w:cs="Times New Roman" w:eastAsia="Times New Roman" w:hAnsi="Times New Roman"/>
          <w:sz w:val="18"/>
          <w:szCs w:val="18"/>
          <w:b w:val="1"/>
          <w:bCs w:val="1"/>
          <w:i w:val="1"/>
          <w:iCs w:val="1"/>
          <w:color w:val="auto"/>
        </w:rPr>
        <w:t>BPB</w:t>
      </w:r>
      <w:r>
        <w:rPr>
          <w:rFonts w:ascii="Times New Roman" w:cs="Times New Roman" w:eastAsia="Times New Roman" w:hAnsi="Times New Roman"/>
          <w:sz w:val="18"/>
          <w:szCs w:val="18"/>
          <w:color w:val="auto"/>
        </w:rPr>
        <w:t>”) served as the Company’s independent registered public accounting firm from July 1, 2024 through December 31, 2025. On December 31, 2025, the Audit Committee of the Board simultaneously dismissed BPB as the Company’s independent registered public accounting firm as a result of a transaction pursuant to which CRI acquired certain assets related to the capital markets practice of BPB and approved the appointment of CRI as the Company’s new independent registered public accounting firm.</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Representatives of CRI are expected to attend the Annual Meeting. They will have an opportunity to make a statement if they so desire and will be available to respond to appropriate questions. Our Board is submitting this appointment as a matter of good corporate governance and because we value our stockholders’ views on our independent registered public accounting firm. Neither our bylaws nor other governing documents or law requires stockholder ratification of the appointment of our independent registered public accounting firm. If the stockholders fail to ratify this appointment, our Board will reconsider whether or not to retain CRI. Even if the appointment is ratified, our Board may direct the appointment of a different independent registered public accounting firm at any time during the year if they determine that such a change would be in our best interests and in the best interests of our stockholders.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Accountant Fees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for professional services rendered by each of CRI, Wolf and BPB for the fiscal years ended December 31, 2025 and December 31, 2024.</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10"/>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6"/>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4"/>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7"/>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73"/>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 of Fees</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23"/>
                <w:szCs w:val="23"/>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CRI</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BPB</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Wolf</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BPB</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Wolf</w:t>
            </w:r>
          </w:p>
        </w:tc>
      </w:tr>
      <w:tr>
        <w:trPr>
          <w:trHeight w:val="268"/>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0"/>
                <w:szCs w:val="20"/>
                <w:color w:val="auto"/>
                <w:vertAlign w:val="superscript"/>
              </w:rPr>
              <w:t>(2)</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222,390</w:t>
            </w: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307,621</w:t>
            </w:r>
          </w:p>
        </w:tc>
        <w:tc>
          <w:tcPr>
            <w:tcW w:w="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394,105</w:t>
            </w: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8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0"/>
                <w:szCs w:val="20"/>
                <w:color w:val="auto"/>
                <w:vertAlign w:val="superscript"/>
              </w:rPr>
              <w:t>(3)</w:t>
            </w:r>
          </w:p>
        </w:tc>
        <w:tc>
          <w:tcPr>
            <w:tcW w:w="2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42,750</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0"/>
                <w:szCs w:val="20"/>
                <w:color w:val="auto"/>
                <w:vertAlign w:val="superscript"/>
              </w:rPr>
              <w:t>(4)</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215,000</w:t>
            </w: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265,140</w:t>
            </w:r>
          </w:p>
        </w:tc>
        <w:tc>
          <w:tcPr>
            <w:tcW w:w="2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307,621</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407,355</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are in USD.</w:t>
      </w:r>
    </w:p>
    <w:p>
      <w:pPr>
        <w:spacing w:after="0" w:line="26" w:lineRule="exact"/>
        <w:rPr>
          <w:rFonts w:ascii="Times New Roman" w:cs="Times New Roman" w:eastAsia="Times New Roman" w:hAnsi="Times New Roman"/>
          <w:sz w:val="16"/>
          <w:szCs w:val="16"/>
          <w:color w:val="auto"/>
        </w:rPr>
      </w:pPr>
    </w:p>
    <w:p>
      <w:pPr>
        <w:jc w:val="both"/>
        <w:ind w:left="880" w:right="459" w:hanging="426"/>
        <w:spacing w:after="0" w:line="288"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professional services rendered in connection with the audit of our financial statements, review of our interim financial statements, consents, and review of documents such as registration statements filed with the SEC.</w:t>
      </w:r>
    </w:p>
    <w:p>
      <w:pPr>
        <w:spacing w:after="0" w:line="165"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include fees related to assurance and related services that are reasonably related to the performance of the audit or review of our financial statements, including attestation services that are not required by statute or regulation.</w:t>
      </w: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fees billed for tax compliance, tax advice and tax planning services.</w:t>
      </w:r>
    </w:p>
    <w:p>
      <w:pPr>
        <w:spacing w:after="0" w:line="15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There were no other fees billed by CRI, Wolf or BPB for services rendered to us, other than the services described above, in 2025 and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Committee’s Approval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determined that the rendering of services other than audit services by CRI is compatible with maintaining the principal accountant’s independence.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and entitled to vote on the matter at the Annual Meeting will be required to ratify the selection of CRI.</w:t>
      </w:r>
    </w:p>
    <w:p>
      <w:pPr>
        <w:spacing w:after="0" w:line="77" w:lineRule="exact"/>
        <w:rPr>
          <w:sz w:val="20"/>
          <w:szCs w:val="20"/>
          <w:color w:val="auto"/>
        </w:rPr>
      </w:pPr>
    </w:p>
    <w:p>
      <w:pPr>
        <w:jc w:val="center"/>
        <w:ind w:left="460" w:right="459"/>
        <w:spacing w:after="0" w:line="291" w:lineRule="auto"/>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RATIFICATION OF THE APPOINTMENT OF CARR, RIGGS &amp; INGRAM, LLC AS OUR INDEPENDENT REGISTERED PUBLIC ACCOUNTING FIRM FOR THE FISCAL YEAR ENDED DECEMBER 31, 2026.</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Based on the foregoing, the Audit Committee has recommended to the Board of Directors that the audited financial statements be included in the Company’s Annual Report on Form 10-K for the fiscal year ended December 31, 2025.</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spacing w:after="0" w:line="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15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 xml:space="preserve">Walter Skowronski,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Phyllis Newhouse,</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Dr. David Carlson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REVERSE SPLIT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has determined that it is advisable and in the best interests of the Company and its stockholders, for us to have the ability to amend our Amended and Restated Certificate of Incorporation to effect a reverse stock split (the “</w:t>
      </w:r>
      <w:r>
        <w:rPr>
          <w:rFonts w:ascii="Times New Roman" w:cs="Times New Roman" w:eastAsia="Times New Roman" w:hAnsi="Times New Roman"/>
          <w:sz w:val="18"/>
          <w:szCs w:val="18"/>
          <w:b w:val="1"/>
          <w:bCs w:val="1"/>
          <w:i w:val="1"/>
          <w:iCs w:val="1"/>
          <w:color w:val="auto"/>
        </w:rPr>
        <w:t>Reverse Split Amendment</w:t>
      </w:r>
      <w:r>
        <w:rPr>
          <w:rFonts w:ascii="Times New Roman" w:cs="Times New Roman" w:eastAsia="Times New Roman" w:hAnsi="Times New Roman"/>
          <w:sz w:val="18"/>
          <w:szCs w:val="18"/>
          <w:color w:val="auto"/>
        </w:rPr>
        <w:t>”) at a ratio ranging between one-for-ten (1:10) and one-for-twenty-five (1:25) to be determined by the Board (the “</w:t>
      </w:r>
      <w:r>
        <w:rPr>
          <w:rFonts w:ascii="Times New Roman" w:cs="Times New Roman" w:eastAsia="Times New Roman" w:hAnsi="Times New Roman"/>
          <w:sz w:val="18"/>
          <w:szCs w:val="18"/>
          <w:b w:val="1"/>
          <w:bCs w:val="1"/>
          <w:i w:val="1"/>
          <w:iCs w:val="1"/>
          <w:color w:val="auto"/>
        </w:rPr>
        <w:t>Split Ratio Range</w:t>
      </w:r>
      <w:r>
        <w:rPr>
          <w:rFonts w:ascii="Times New Roman" w:cs="Times New Roman" w:eastAsia="Times New Roman" w:hAnsi="Times New Roman"/>
          <w:sz w:val="18"/>
          <w:szCs w:val="18"/>
          <w:color w:val="auto"/>
        </w:rPr>
        <w:t xml:space="preserve">”), in the form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The Reverse Split Proposal, if approved, would not immediately cause a reverse stock split, but rather would grant authorization to our Board to effect a reverse stock split with a split ratio within the Split Ratio Range (a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xml:space="preserve">”), if and when determined by our Board. Our Board has deemed it advisable, approved, and recommended that our stockholders adopt, and is hereby soliciting stockholder approval of, the Reverse Split Amendment, in the form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receive the required stockholder approval, our Board will have the sole authority to elect whether or not to effect the Reverse Stock Split. Even with stockholder approval of the Reverse Split Proposal, our Board will not be obligated to pursue the Reverse Stock Split. Rather, our Board will have the flexibility to decide whether or not the Reverse Stock Split (and at what ratio within the Split Ratio Range) is in the best interests of the Company and its stockholders.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If approved by our stockholders and, following such approval, our Board determines that effecting the Reverse Stock Split is in the best interests of the Company and our stockholders, the Reverse Stock Split would become effective upon filing the Reverse Split Amendment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with the Secretary of State of the State of Delaware. As filed, the certificate of amendment would state the number of outstanding shares to be combined into one share of our Common Stock, at the ratio approved by our Board within the Split Ratio Range. The amendment would not change the par value of our Common Stock and would not impact the total number of authorized shares of our Common Stock or preferred stock. Therefore, upon effectiveness of the Reverse Stock Split, the number of shares of our Common Stock that are authorized and unissued will increase relative to the number of issued and outstanding shares of our Common Stock.</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Nasdaq Minimum Bid Price Requirements and Certain Potential Delisting Implications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Nasdaq Rules require that we maintain a closing price for shares of our Common Stock of at least $1.00 per share (also referred to as the “</w:t>
      </w:r>
      <w:r>
        <w:rPr>
          <w:rFonts w:ascii="Times New Roman" w:cs="Times New Roman" w:eastAsia="Times New Roman" w:hAnsi="Times New Roman"/>
          <w:sz w:val="18"/>
          <w:szCs w:val="18"/>
          <w:b w:val="1"/>
          <w:bCs w:val="1"/>
          <w:i w:val="1"/>
          <w:iCs w:val="1"/>
          <w:color w:val="auto"/>
        </w:rPr>
        <w:t>minimum bid price requirement</w:t>
      </w:r>
      <w:r>
        <w:rPr>
          <w:rFonts w:ascii="Times New Roman" w:cs="Times New Roman" w:eastAsia="Times New Roman" w:hAnsi="Times New Roman"/>
          <w:sz w:val="18"/>
          <w:szCs w:val="18"/>
          <w:color w:val="auto"/>
        </w:rPr>
        <w:t>”). On February 5, 2026, we received a written notification from Nasdaq notifying us that we had failed to comply with the minimum bid price requirement because the bid price for our Common Stock over a period of 30 consecutive business days prior to such date had closed below the minimum $1.00 per share requirement. In accordance with Nasdaq Rules, we have 180 calendar days to regain compliance with the minimum bid price requirement. To regain compliance, the closing bid price of our Common Stock must be at least $1.00 per share for a minimum of ten consecutive business days before August 4, 2026. In the event that we do not regain compliance within this 180-day period, we may be eligible to transfer from The Nasdaq Global Select Market to the Nasdaq Capital Market and seek an additional compliance period of 180 calendar days if we meet the continued listing requirement for market value of publicly held shares and all other initial listing standards for the Nasdaq Capital Market, with the exception of the minimum bid price requirement, and provide written notice to Nasdaq of our intent to cure the deficiency during this second compliance period by effecting a reverse stock split if necessary. However, if it appears to the Nasdaq staff that we will not be able to cure the deficiency, if we have a closing bid price of $0.10 or less for a period of ten (10) consecutive business days, or if we are otherwise not eligible, Nasdaq will provide notice to the Company that our Common Stock will be subject to delisting. There can be no assurance that we will be able to regain compliance with the minimum bid price requirement, maintain compliance with any of the other Nasdaq continued listing requirements, or be successful in any appeal we may undertake.</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Board believes that effecting the Reverse Stock Split may be the best means of maintaining the price of our Common Stock above $1.00 per share in compliance with the minimum bid price requirement for continued listing on Nasdaq. The Board believes that continued listing on Nasdaq provides overall credibility to an investment in our stock, given the stringent listing and disclosure requirements of Nasdaq. Notably, some trading firms discourage investors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Section 242(c)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our Board has reserved the right, notwithstanding our stockholders’ approval of the Reverse Split Amendment at the Annual Meeting, to abandon the proposed amendment at any time (without further action by our stockholders) before the certificate of amendment is filed with the Secretary of State of the State of Delaware. Further, our Board may consider a variety of factors in determining the appropriate range within the Split Ratio Range for any such amendment, including overall trends in the stock market, recent changes, and anticipated trends in the per-share market price of our Common Stock, business developments and our actual and projected financial performance. Again, our Board may decide to abandon the proposed Reverse Split Amendment in its entirety, particularly if the closing bid price of our Common Stock on Nasdaq has significantly increased over a period of time.</w:t>
      </w:r>
    </w:p>
    <w:p>
      <w:pPr>
        <w:spacing w:after="0" w:line="12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our Common Stock were delisted from The Nasdaq Global Select Market, trading of our Common Stock would thereafter be conducted on the OTC Markets or the “pink sheets.” As a result, an investor may find it more difficult to dispose of, or to obtain accurate quotations as to the price of, our Common Stock. To relist shares of our Common Stock on The Nasdaq Global Select Market, we would be required to meet the initial listing requirements for The Nasdaq Global Select Market, which are more stringent than the maintenance requirements.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is seeking stockholder approval of the Reverse Split Proposal in order to have the authority to effectuate the Reverse Stock Split as a potential means of increasing the per-share price of our Common Stock, however, there can be no assurance that the Reverse Stock Split would result in the bid price per share of our Common Stock exceeding $1.00 for an extended period of time.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also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Risks Associated with the Reverse Stock Split</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evaluating whether to seek stockholder approval of the Reverse Split Proposal, our Board considered negative factors associated with reverse stock splits. These factors included, but were not limited to,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Reverse Stock Split would achieve any of the above desired results. There also can be no assurance that the price per share of our Common Stock immediately after the Reverse Stock Split would increase proportionately with the Reverse Stock Split, or that any increase would be sustained for any period of time.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cannot predict whether the Reverse Stock Split, if completed, will increase the market price for our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There can be no assurance that:</w:t>
      </w:r>
    </w:p>
    <w:p>
      <w:pPr>
        <w:spacing w:after="0" w:line="139"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would remain in excess of the minimum bid price requirement;</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would rise in proportion to the reduction in the number of shares outstanding before the Reverse Stock Split;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per-share price that would attract brokers and investors who do not trade in lower-priced stocks;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per-share price that would increase our ability to attract and retain employees and other service providers;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promote greater liquidity for our stockholders with respect to their shares.</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Effect on Number of Authorized, But Unissued Shares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Reverse Stock Split would reduce the number of outstanding shares of our Common Stock without reducing the number of shares of authorized Common Stock. Therefore, the number of shares of our Common Stock that are authorized and unissued will increase relative to the number of issued and outstanding shares of our Common Stock following the Reverse Stock Split. Our Board may authorize the issuance of authorized and unissued shares of our Common Stock without further stockholder action for a variety of purposes, except as such stockholder approval may be required in particular cases by our Amended and Restated Certificate of Incorporation, applicable law, or the Nasdaq Rules or any stock exchange on which our securities may then be listed. The issuance of additional shares would be dilutive to our existing stockholders and an issuance, potential issuance, or the perception that issuances may occur may cause a decline in the trading price of our Common Stock.</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Anti-takeover Considerations; Not Intended to Be a “Going Private Transaction”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issuance of authorized but unissued shares of Common Stock could also be used to deter a potential takeover of us that may otherwise be beneficial to stockholders by diluting the shares held by a potential suitor or issuing shares to a stockholder that will vote in accordance with our Board’s desires. A takeover may be beneficial to independent stockholders because, among other reasons, a potential suitor may offer such stockholders a premium for their shares of stock compared to the then-existing market price. The Reverse Split Proposal is not intended to be an anti-takeover device, and we do not have any plans or proposals to adopt provisions or enter into agreements that may have material anti-takeover consequences. The Reverse Stock Split is not intended as, and would not have the effect of, a “going private transaction” covered by Rule 13e-3 under the Exchange Act. Following the Reverse Stock Split, we would continue to be subject to the periodic reporting requirements of the Exchange Act.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the Market for Our 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the Record Date, the closing price for our Common Stock on Nasdaq was $0.1869 per share. By decreasing the number of shares of our Common Stock outstanding without altering the aggregate economic interest represented by the shares, we believe the market price would be increased. The greater the market price rises above $1.00 per share, the less risk there would be that we would fail to meet the requirements for maintaining the listing of our Common Stock on The Nasdaq Global Select Market. However, there can be no assurance that the market price of the Common Stock would rise to or maintain any particular level or that we would at all times be able to meet the requirements for maintaining the listing of our Common Stock on The Nasdaq Global Select Market.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Our Common Stock; No Fractional Shares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stockholders approve the Reverse Split Proposal, and if our Board decides to effectuate the Reverse Stock Split, the principal effect of the amendment would be to reduce the number of issued and outstanding shares of our Common Stock, depending on the Split Ratio Range set forth in such amendment, from [ ] shares as of the Record Date to between [ ] shares and [ ] shares, assuming no shares of our Common Stock are issued before the effective date of the Reverse Stock Split. While our Board has authorized us to complete the Reverse Stock Split within the Split Ratio Range, we do not intend to effectuate a Reverse Stock Split to the extent that the Reverse Stock Split would result in us going private or failing to meet any Nasdaq continued listing requirements. If the Reverse Stock Split is effectuated, the total number of shares of our Common Stock each stockholder holds would be reclassified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automatically into the number of shares of our Common Stock equal to the number of shares of our Common Stock each stockholder held immediately prior to the Reverse Stock Split divided by the ratio approved by our Board within the Split Ratio Range and set forth in the Reverse Split Amendment.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noted above, effecting the Reverse Stock Split will not change the total authorized number of shares of our Common Stock. However, the reduction in the number of issued and outstanding shares would provide more authorized shares available for future issuance. We have no specific commitment, arrangement, understanding, or agreement regarding the issuance of Common Stock subsequent to this proposed increase in the number of authorized shares at this time, and we have not allocated any specific portion of the proposed increase in the authorized number of shares to any particular purpose. Our Board does not intend to issue any Common Stock or securities convertible into Common Stock except on terms that our Board deems to be in the best interests of the Company and our stockholders.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also have no substantial interests, directly or indirectly, in the Reverse Stock Split, except to the extent of their ownership in shares of our Common Stock and securities exercisable for our Common Stock, which shares and securities would be subject to the same proportionate adjustment in accordance with the terms of the Reverse Stock Split as all other outstanding shares of our Common Stock and securities exercisable for our Common Stock.</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Reverse Stock Split would affect all of our stockholders uniformly and would not affect any stockholder’s percentage ownership interests, except to the extent that the Reverse Stock Split results in such stockholder owning a fractional share. No fractional shares will be issued in connection with the Reverse Stock Split. Stockholders who otherwise would be entitled to receive fractional shares because they hold a number of pre-split shares not evenly divisible by the number of pre-split shares for which each post-split share is to be exchanged, will be entitled to a cash payment in lieu thereof at a price equal to the fraction to which the stockholder would otherwise be entitled multiplied by the closing price of the Common Stock, as reported by Nasdaq, as applicable, on the last trading day prior to the effective date of the Reverse Stock Split. The proceeds would be subject to certain taxes as discussed below. In addition, stockholders would not be entitled to receive interest for the period of time between the filing of the certificate of amendment to the Amended and Restated Certificate of Incorporation and the date a stockholder receives payment for the cashed-out fractional shares. The payment amount would be paid to the stockholder in the form of a check in accordance with the procedures outlined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the Reverse Stock Split, a stockholder would have no further interest in the Company with respect to such stockholder’s cashed-out fractional shares. A person otherwise entitled to a fractional interest would not have any voting, dividend, or other rights except to receive payment as described above. After the effective time of the Reverse Stock Split, our common stock will have a new Committee on Uniform Securities Identification Procedures (“</w:t>
      </w:r>
      <w:r>
        <w:rPr>
          <w:rFonts w:ascii="Times New Roman" w:cs="Times New Roman" w:eastAsia="Times New Roman" w:hAnsi="Times New Roman"/>
          <w:sz w:val="18"/>
          <w:szCs w:val="18"/>
          <w:b w:val="1"/>
          <w:bCs w:val="1"/>
          <w:i w:val="1"/>
          <w:iCs w:val="1"/>
          <w:color w:val="auto"/>
        </w:rPr>
        <w:t>CUSIP</w:t>
      </w:r>
      <w:r>
        <w:rPr>
          <w:rFonts w:ascii="Times New Roman" w:cs="Times New Roman" w:eastAsia="Times New Roman" w:hAnsi="Times New Roman"/>
          <w:sz w:val="18"/>
          <w:szCs w:val="18"/>
          <w:color w:val="auto"/>
        </w:rPr>
        <w:t>”) number, which is a number used to identify our equity securities, and stock certificates with the older CUSIP numbers will need to be exchanged for stock certificates with the new CUSIP numbers by following the procedures described below.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Convertible Securities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our stockholders approve the Reverse Stock Split and our Board elects to effect the Reverse Stock Split, we would adjust and proportionately decrease the number of shares of our Common Stock reserved for issuance upon exercise of, and adjust and proportionately increase the exercise price of, all options and warrants and other rights to acquire our Common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 on Legal Ability to Pay Dividends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dividends on our Common Stock, nor do we have any plans to declare in the foreseeable future any distributions of cash or other property to holders of Common Stock, and we are not in arrears on any dividends. Therefore, we do not believe that the Reverse Stock Split would have any effect with respect to future distributions, if any, to holders of our Common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Reverse Stock Split would not affect the par value of our Common Stock, which would remain unchanged at $0.0001 per share. As a result, on the effective date of the Reverse Stock Split, the stated capital on our balance sheet attributable to our Common Stock would be reduced by the ratio approved by our Board within the Split Ratio Range.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other words, stated capital would be reduced by the ratio approved by our Board within the Split Ratio Range, and the additional paid-in capital account would be credited with the amount by which the stated capital is reduced. The per-share net income or loss and net book value of our Common Stock would be increased because there would be fewer shares of our Common Stock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Beneficial Holders of Our Common Stock (Stockholders Who Hold in “Street Name”)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Upon the Reverse Stock Split, we intend to treat shares held by stockholders in “street name,” through a broker, in the same manner as registered stockholders whose shares are registered in their names. Brokers would be instructed to effect the Reverse Stock Split for their beneficial holders holding our Common Stock in “street name.” However, brokers may have different procedures than registered stockholders for processing the Reverse Stock Split and making payment for fractional shares. Stockholders holding shares of our Common Stock with a broker and having any questions in this regard should contact their broker.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Registered “Book-Entry” Holders of Our Common Stock</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a stockholder holds registered shares in book-entry form with the transfer agent, no action needs to be taken to receive post-Reverse Stock Split shares or cash payment in lieu of any fractional share interest, if applicable. If such a stockholder is entitled to post-Reverse Stock Split shares, a transaction statement would automatically be sent to such stockholder’s address of record indicating the number of shares of our Common Stock held following the Reverse Stock Split. If the Reverse Stock Split is implemented, our transfer agent, Continental, will mail a letter of transmittal to the Company’s stockholders who hold their shares in certificated form, advising such stockholders of the procedures to be followed to exchange certificates.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stockholder is entitled to a payment in lieu of any fractional share interest, a check would be mailed to such stockholder’s registered address as soon as practicable after the effective time of the Reverse Stock Split. By endorsing and cashing the check, stockholders would warrant that they owned the shares of our Common Stock for which they received a cash payment. The cash payment is subject to applicable federal and state income tax and state abandoned property laws. No stockholders would be entitled to receive interest for the period of time between the effective time of the Reverse Stock Split and the date payment is received.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Under the DGCL, stockholders are not entitled to dissenters’ rights with respect to the Reverse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Split.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 of the Reverse Stock Split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of the proposed Reverse Stock Split to our stockholders. The summary is based on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applicable Treasury Regulations promulgated thereunder, judicial authority and current administrative rulings and practices as in effect on the date of this Proxy Statement. Changes to the laws could alter the tax consequences described below, possibly with retroactive effect. We have not sought and will not seek an opinion of counsel or a ruling from the Internal Revenue Service regarding the federal income tax consequences of a Reverse Stock Split. This discussion only addresses stockholders who hold Common Stock as capital assets. It does not purport to be complete and does not address stockholders subject to special tax treatment under the Code, including, without limitation, financial institutions, tax-exempt organizations, insurance companies, dealers in securities, foreign stockholders, stockholders who hold their pre-reverse stock split shares as part of a straddle, hedge or conversion transaction, and stockholders who acquired their pre-reverse stock split shares pursuant to the exercise of employee stock options or otherwise as compensation. 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 holding our Common Stock and the partners in such entities should consult their own tax advisors regarding the U.S. federal income tax consequences of the proposed Reverse Stock Split to them. 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general, the federal income tax consequences of a Reverse Stock Split will vary among stockholders depending upon whether they receive a whole share of Common Stock in the proposed Reverse Stock Split in lieu of a fractional share or solely a reduced number of shares of Common Stock in exchange for their old shares of Common Stock. We believe that because the Reverse Stock Split is not part of a plan to increase periodically a stockholder’s proportionate interest in our assets or earnings and profits, the Reverse Stock Split should have the following federal income tax effects. The Reverse Stock Split is expected to constitute a “recapitalization” for U.S. federal income tax purposes pursuant to Section 368(a)(1)(E) of the Code. A stockholder who receives solely a reduced number of shares of Common Stock will not recognize gain or loss, except for adjustments that may result from the treatment of fractional shares of common stock as described below. The aggregate tax basis of the shares received in the Reverse Stock Split will equal the aggregate tax basis of the pre-Reverse Stock Split shares exchanged therefore (increased by any income or gain recognized on receipt of a whole share in lieu of a fractional share). Except in the case of any portion of a share of Common Stock treated as a distribution or as to which a U.S. holder recognizes capital gain as a result of the treatment of fractional shares, discussed below, the U.S. holder’s holding period for the post-Reverse Stock Split shares of Common Stock should include the holding period of the pre-Reverse Stock Split shares of Common Stock surrendered. In the aggregate, such a stockholder’s basis in the reduced number of shares of Common Stock will equal the stockholder’s basis in its old shares of Common Stock and such stockholder’s holding period in the reduced number of shares will include the holding period in its old shares exchanged. The Treasury Regulations provide detailed rules for allocating the tax basis and holding period of shares of Common Stock surrendered in a recapitalization to shares received in the recapitalization. Stockholders of our Common Stock acquired on different dates and at different prices should consult their tax advisors regarding the allocation of the tax basis and holding period of such shares.</w:t>
      </w:r>
    </w:p>
    <w:p>
      <w:pPr>
        <w:spacing w:after="0" w:line="13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treatment of fractional shares of Common Stock being rounded up to the next whole share is uncertain. A U.S. holder that receives a whole share of Common Stock in the Reverse Stock Split in lieu of a fractional share of common stock might recognize income, which may be characterized either as capital gain or as a dividend to the extent of the portion of our accumulated earnings and profits (if we have any) attributable to the rounded share. Any such taxable income would be in an amount not to exceed the excess of the fair market value of such whole share over the fair market value of the fractional share to which the U.S. holder was otherwise entitled. U.S. holders should consult their tax advisors regarding the U.S. federal income tax and other tax consequences of fractional shares being rounded to the next whole share (including the holding period of a post-Reverse Stock Split share of Common Stock received in exchange for a fractional pre-Reverse Stock Split share of Common Stock).</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recognize any gain or loss as a result of the proposed Reverse Stock Split.</w:t>
      </w:r>
    </w:p>
    <w:p>
      <w:pPr>
        <w:spacing w:after="0" w:line="14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Each stockholder should consult his, her or its own tax advisors concerning the particular U.S. federal tax consequences of the proposed Reverse Stock Split, as well as the consequences arising under the laws of any other taxing jurisdiction, including any state, local or foreign tax consequences.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Reverse Split Proposal to be approved, the number of votes cast “FOR” the proposal must exceed the number of votes cast “AGAINST” the proposal; abstentions and any broker non-votes with respect to the Reverse Split Proposal will not be considered “votes cast” and will have no effect on the Reverse Split Proposal. Brokerage firms will not have discretionary authority to vote their customers’ unvoted shares held by the firms in street name on the Reverse Split Proposal, and thus we do not anticipate receiving any broker non-votes on this proposal.</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YOU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REVERSE SPLIT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NASDAQ SERVICE PROPOSAL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Board is seeking approval to enter into one of the following financing transactions in order to either</w:t>
      </w:r>
    </w:p>
    <w:p>
      <w:pPr>
        <w:spacing w:after="0" w:line="27" w:lineRule="exact"/>
        <w:rPr>
          <w:sz w:val="20"/>
          <w:szCs w:val="20"/>
          <w:color w:val="auto"/>
        </w:rPr>
      </w:pPr>
    </w:p>
    <w:p>
      <w:pPr>
        <w:jc w:val="both"/>
        <w:ind w:left="460" w:right="479" w:hanging="6"/>
        <w:spacing w:after="0" w:line="255" w:lineRule="auto"/>
        <w:tabs>
          <w:tab w:leader="none" w:pos="7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regular payments under the Original Loan Agreement with J.J. Astor, or (ii) entirely pay off the Original Loan Agreement and, in either case, terminate the Original ELOC and replace it with a new equity line of credit, each as outlined in more detail below.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Nasdaq Service Proposal 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Nasdaq Service Proposal A, the Company would enter into the following financing agreements with a potential financing source (“</w:t>
      </w:r>
      <w:r>
        <w:rPr>
          <w:rFonts w:ascii="Times New Roman" w:cs="Times New Roman" w:eastAsia="Times New Roman" w:hAnsi="Times New Roman"/>
          <w:sz w:val="18"/>
          <w:szCs w:val="18"/>
          <w:b w:val="1"/>
          <w:bCs w:val="1"/>
          <w:i w:val="1"/>
          <w:iCs w:val="1"/>
          <w:color w:val="auto"/>
        </w:rPr>
        <w:t>Financing Source A</w:t>
      </w:r>
      <w:r>
        <w:rPr>
          <w:rFonts w:ascii="Times New Roman" w:cs="Times New Roman" w:eastAsia="Times New Roman" w:hAnsi="Times New Roman"/>
          <w:sz w:val="18"/>
          <w:szCs w:val="18"/>
          <w:color w:val="auto"/>
        </w:rPr>
        <w:t>”) providing for (i) a Common Stock Purchase Agreement establishing an equity line of credit facility (the “</w:t>
      </w:r>
      <w:r>
        <w:rPr>
          <w:rFonts w:ascii="Times New Roman" w:cs="Times New Roman" w:eastAsia="Times New Roman" w:hAnsi="Times New Roman"/>
          <w:sz w:val="18"/>
          <w:szCs w:val="18"/>
          <w:b w:val="1"/>
          <w:bCs w:val="1"/>
          <w:i w:val="1"/>
          <w:iCs w:val="1"/>
          <w:color w:val="auto"/>
        </w:rPr>
        <w:t>Equity Line of Credit</w:t>
      </w:r>
      <w:r>
        <w:rPr>
          <w:rFonts w:ascii="Times New Roman" w:cs="Times New Roman" w:eastAsia="Times New Roman" w:hAnsi="Times New Roman"/>
          <w:sz w:val="18"/>
          <w:szCs w:val="18"/>
          <w:color w:val="auto"/>
        </w:rPr>
        <w:t>”), (ii) a Note Purchase Agreement and related senior secured convertible promissory note (the “</w:t>
      </w:r>
      <w:r>
        <w:rPr>
          <w:rFonts w:ascii="Times New Roman" w:cs="Times New Roman" w:eastAsia="Times New Roman" w:hAnsi="Times New Roman"/>
          <w:sz w:val="18"/>
          <w:szCs w:val="18"/>
          <w:b w:val="1"/>
          <w:bCs w:val="1"/>
          <w:i w:val="1"/>
          <w:iCs w:val="1"/>
          <w:color w:val="auto"/>
        </w:rPr>
        <w:t>Source A Note”)</w:t>
      </w:r>
      <w:r>
        <w:rPr>
          <w:rFonts w:ascii="Times New Roman" w:cs="Times New Roman" w:eastAsia="Times New Roman" w:hAnsi="Times New Roman"/>
          <w:sz w:val="18"/>
          <w:szCs w:val="18"/>
          <w:color w:val="auto"/>
        </w:rPr>
        <w:t xml:space="preserve"> with Financing Source A, pursuant to which the Company may receive loan proceeds from Financing Source A in exchange for a convertible note, and (iii) a Common Stock Purchase Warrant to purchase up to $2,000,000 of shares of Common Stock (the “</w:t>
      </w:r>
      <w:r>
        <w:rPr>
          <w:rFonts w:ascii="Times New Roman" w:cs="Times New Roman" w:eastAsia="Times New Roman" w:hAnsi="Times New Roman"/>
          <w:sz w:val="18"/>
          <w:szCs w:val="18"/>
          <w:b w:val="1"/>
          <w:bCs w:val="1"/>
          <w:i w:val="1"/>
          <w:iCs w:val="1"/>
          <w:color w:val="auto"/>
        </w:rPr>
        <w:t>Financing Source A Warrants</w:t>
      </w:r>
      <w:r>
        <w:rPr>
          <w:rFonts w:ascii="Times New Roman" w:cs="Times New Roman" w:eastAsia="Times New Roman" w:hAnsi="Times New Roman"/>
          <w:sz w:val="18"/>
          <w:szCs w:val="18"/>
          <w:color w:val="auto"/>
        </w:rPr>
        <w:t>”). Pursuant to the Equity Line of Credit, the Company would agree to (i) issue to Financing Source A $150,000 of Common Stock (the “</w:t>
      </w:r>
      <w:r>
        <w:rPr>
          <w:rFonts w:ascii="Times New Roman" w:cs="Times New Roman" w:eastAsia="Times New Roman" w:hAnsi="Times New Roman"/>
          <w:sz w:val="18"/>
          <w:szCs w:val="18"/>
          <w:b w:val="1"/>
          <w:bCs w:val="1"/>
          <w:i w:val="1"/>
          <w:iCs w:val="1"/>
          <w:color w:val="auto"/>
        </w:rPr>
        <w:t>Commitment Shares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jc w:val="both"/>
        <w:ind w:left="460" w:right="459" w:hanging="6"/>
        <w:spacing w:after="0" w:line="251" w:lineRule="auto"/>
        <w:tabs>
          <w:tab w:leader="none" w:pos="7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 Financing Source A would agree to purchase, up to $10,000,000 (the “</w:t>
      </w:r>
      <w:r>
        <w:rPr>
          <w:rFonts w:ascii="Times New Roman" w:cs="Times New Roman" w:eastAsia="Times New Roman" w:hAnsi="Times New Roman"/>
          <w:sz w:val="18"/>
          <w:szCs w:val="18"/>
          <w:b w:val="1"/>
          <w:bCs w:val="1"/>
          <w:i w:val="1"/>
          <w:iCs w:val="1"/>
          <w:color w:val="auto"/>
        </w:rPr>
        <w:t>Commitment Amount</w:t>
      </w:r>
      <w:r>
        <w:rPr>
          <w:rFonts w:ascii="Times New Roman" w:cs="Times New Roman" w:eastAsia="Times New Roman" w:hAnsi="Times New Roman"/>
          <w:sz w:val="18"/>
          <w:szCs w:val="18"/>
          <w:color w:val="auto"/>
        </w:rPr>
        <w:t>”) of Common Stock at the Company’s sole discretion. In addition, pursuant to the Financing Source A Note, Financing Source A would agree to provide the Company with up to $2,300,000 in aggregate loan proceeds (the “</w:t>
      </w:r>
      <w:r>
        <w:rPr>
          <w:rFonts w:ascii="Times New Roman" w:cs="Times New Roman" w:eastAsia="Times New Roman" w:hAnsi="Times New Roman"/>
          <w:sz w:val="18"/>
          <w:szCs w:val="18"/>
          <w:b w:val="1"/>
          <w:bCs w:val="1"/>
          <w:i w:val="1"/>
          <w:iCs w:val="1"/>
          <w:color w:val="auto"/>
        </w:rPr>
        <w:t>Note Purchase Price</w:t>
      </w:r>
      <w:r>
        <w:rPr>
          <w:rFonts w:ascii="Times New Roman" w:cs="Times New Roman" w:eastAsia="Times New Roman" w:hAnsi="Times New Roman"/>
          <w:sz w:val="18"/>
          <w:szCs w:val="18"/>
          <w:color w:val="auto"/>
        </w:rPr>
        <w:t>”), structured as individual notes in the aggregate principal amount of $2,875,000 (reflecting a 20% original issue discount) comprised of up to ten monthly tranches of $287,500 in principal ($230,000 funded) each (each, a “</w:t>
      </w:r>
      <w:r>
        <w:rPr>
          <w:rFonts w:ascii="Times New Roman" w:cs="Times New Roman" w:eastAsia="Times New Roman" w:hAnsi="Times New Roman"/>
          <w:sz w:val="18"/>
          <w:szCs w:val="18"/>
          <w:b w:val="1"/>
          <w:bCs w:val="1"/>
          <w:i w:val="1"/>
          <w:iCs w:val="1"/>
          <w:color w:val="auto"/>
        </w:rPr>
        <w:t>Tranche</w:t>
      </w:r>
      <w:r>
        <w:rPr>
          <w:rFonts w:ascii="Times New Roman" w:cs="Times New Roman" w:eastAsia="Times New Roman" w:hAnsi="Times New Roman"/>
          <w:sz w:val="18"/>
          <w:szCs w:val="18"/>
          <w:color w:val="auto"/>
        </w:rPr>
        <w:t>”). The Financing Source A Note constitutes a first senior secured obligation of the Company, secured by all assets, personal property, intellectual property, claims, products and proceeds of the Company. The Company intends to use the proceeds from the sale of shares of Common Stock to Financing Source A under the Equity Line of Credit and, if applicable, from the Financing Source A Note, to make its scheduled monthly payments under the J.J. Astor Loan and terminate the Original ELOC (as defined in the Nasdaq Conversion Proposal below).</w:t>
      </w:r>
    </w:p>
    <w:p>
      <w:pPr>
        <w:spacing w:after="0" w:line="12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Financing Source A Note is expected to be convertible into shares of Common Stock at a variable conversion price equal to eighty percent (80%) multiplied by the lowest daily Volume Weighted Average Price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of the Common Stock during the fifteen (15) trading days prior to the conversion notice (the “Variable Conversion Price”). Upon an Event of Default (as defined in the Financing Source A Note), the conversion price may be reduced to $0.01 per share (the “Default Conversion Price”).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Board is seeking stockholder approval as required under Nasdaq Listing Rules 5635(b) and 5635(d) to issue the Commitment Shares to Financing Source A, to sell shares of our Common Stock and the Financing Source A Warrants to Financing Source A, and to issue shares of Common Stock upon conversion of the Financing Source A Note, in the aggregate, in excess of 19.99% of our outstanding shares of Common Stock as of immediately prior to the execution of the Share Purchase Agreement and the Financing Source A Note, as more fully described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Proposed Agreements with Financing Source A</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Company has not yet entered into definitive agreements with respect to these transactions. The Company anticipates negotiating and entering into definitive agreements with Financing Source A on the terms set forth below, subject to customary closing conditions and the receipt of stockholder approval as described herein.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negotiating a Common Stock Purchase Agreement (the “CSPA”) with Financing Source A for a proposed Equity Line of Credit. Under the CSPA, the Equity Line of Credit provides for up to $10,000,000 (the “</w:t>
      </w:r>
      <w:r>
        <w:rPr>
          <w:rFonts w:ascii="Times New Roman" w:cs="Times New Roman" w:eastAsia="Times New Roman" w:hAnsi="Times New Roman"/>
          <w:sz w:val="18"/>
          <w:szCs w:val="18"/>
          <w:b w:val="1"/>
          <w:bCs w:val="1"/>
          <w:i w:val="1"/>
          <w:iCs w:val="1"/>
          <w:color w:val="auto"/>
        </w:rPr>
        <w:t>Commitment Amount</w:t>
      </w:r>
      <w:r>
        <w:rPr>
          <w:rFonts w:ascii="Times New Roman" w:cs="Times New Roman" w:eastAsia="Times New Roman" w:hAnsi="Times New Roman"/>
          <w:sz w:val="18"/>
          <w:szCs w:val="18"/>
          <w:color w:val="auto"/>
        </w:rPr>
        <w:t>”) in Common Stock purchases at the Company’s discretion. The commitment period extends through December 31, 2028. The material terms of the CSPA are summarized below.</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Rapid Purchase Notices. </w:t>
      </w:r>
      <w:r>
        <w:rPr>
          <w:rFonts w:ascii="Times New Roman" w:cs="Times New Roman" w:eastAsia="Times New Roman" w:hAnsi="Times New Roman"/>
          <w:sz w:val="18"/>
          <w:szCs w:val="18"/>
          <w:color w:val="auto"/>
        </w:rPr>
        <w:t>At its sole discretion, the Company may direct Financing Source A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specified number of shares of Common Stock by delivering a rapid purchase notice (a “</w:t>
      </w:r>
      <w:r>
        <w:rPr>
          <w:rFonts w:ascii="Times New Roman" w:cs="Times New Roman" w:eastAsia="Times New Roman" w:hAnsi="Times New Roman"/>
          <w:sz w:val="18"/>
          <w:szCs w:val="18"/>
          <w:b w:val="1"/>
          <w:bCs w:val="1"/>
          <w:i w:val="1"/>
          <w:iCs w:val="1"/>
          <w:color w:val="auto"/>
        </w:rPr>
        <w:t>Rapid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The purchase price per share (the “</w:t>
      </w:r>
      <w:r>
        <w:rPr>
          <w:rFonts w:ascii="Times New Roman" w:cs="Times New Roman" w:eastAsia="Times New Roman" w:hAnsi="Times New Roman"/>
          <w:sz w:val="18"/>
          <w:szCs w:val="18"/>
          <w:b w:val="1"/>
          <w:bCs w:val="1"/>
          <w:i w:val="1"/>
          <w:iCs w:val="1"/>
          <w:color w:val="auto"/>
        </w:rPr>
        <w:t>Rapid Purchase Price</w:t>
      </w:r>
      <w:r>
        <w:rPr>
          <w:rFonts w:ascii="Times New Roman" w:cs="Times New Roman" w:eastAsia="Times New Roman" w:hAnsi="Times New Roman"/>
          <w:sz w:val="18"/>
          <w:szCs w:val="18"/>
          <w:color w:val="auto"/>
        </w:rPr>
        <w:t>”) would equal the average of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lowest traded prices during the two-hour period following delivery of the notice (the “</w:t>
      </w:r>
      <w:r>
        <w:rPr>
          <w:rFonts w:ascii="Times New Roman" w:cs="Times New Roman" w:eastAsia="Times New Roman" w:hAnsi="Times New Roman"/>
          <w:sz w:val="18"/>
          <w:szCs w:val="18"/>
          <w:b w:val="1"/>
          <w:bCs w:val="1"/>
          <w:i w:val="1"/>
          <w:iCs w:val="1"/>
          <w:color w:val="auto"/>
        </w:rPr>
        <w:t>Rapid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Valuation Period</w:t>
      </w:r>
      <w:r>
        <w:rPr>
          <w:rFonts w:ascii="Times New Roman" w:cs="Times New Roman" w:eastAsia="Times New Roman" w:hAnsi="Times New Roman"/>
          <w:sz w:val="18"/>
          <w:szCs w:val="18"/>
          <w:color w:val="auto"/>
        </w:rPr>
        <w:t>”). Settlement would occur on the next business day, with Financing Source A paying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equal to the number of shares multiplied by the Rapid Purchase Price.</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VWAP Purchase Notices. </w:t>
      </w:r>
      <w:r>
        <w:rPr>
          <w:rFonts w:ascii="Times New Roman" w:cs="Times New Roman" w:eastAsia="Times New Roman" w:hAnsi="Times New Roman"/>
          <w:sz w:val="18"/>
          <w:szCs w:val="18"/>
          <w:color w:val="auto"/>
        </w:rPr>
        <w:t>At its sole discretion, the Company may direct Financing Source 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 specified number of shares of Common Stock by delivering a VWAP purchase notice (a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Notice</w:t>
      </w:r>
      <w:r>
        <w:rPr>
          <w:rFonts w:ascii="Times New Roman" w:cs="Times New Roman" w:eastAsia="Times New Roman" w:hAnsi="Times New Roman"/>
          <w:sz w:val="18"/>
          <w:szCs w:val="18"/>
          <w:color w:val="auto"/>
        </w:rPr>
        <w:t>”). The purchase price per share (the “</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would equal 97% of the lowest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volume weighted average price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during the three business days following the notice (the “</w:t>
      </w:r>
      <w:r>
        <w:rPr>
          <w:rFonts w:ascii="Times New Roman" w:cs="Times New Roman" w:eastAsia="Times New Roman" w:hAnsi="Times New Roman"/>
          <w:sz w:val="18"/>
          <w:szCs w:val="18"/>
          <w:b w:val="1"/>
          <w:bCs w:val="1"/>
          <w:i w:val="1"/>
          <w:iCs w:val="1"/>
          <w:color w:val="auto"/>
        </w:rPr>
        <w:t>VWAP Purchase Valuation Period</w:t>
      </w:r>
      <w:r>
        <w:rPr>
          <w:rFonts w:ascii="Times New Roman" w:cs="Times New Roman" w:eastAsia="Times New Roman" w:hAnsi="Times New Roman"/>
          <w:sz w:val="18"/>
          <w:szCs w:val="18"/>
          <w:color w:val="auto"/>
        </w:rPr>
        <w:t>”). Settlement would occur one business day after the VWAP Purchase Valuation Period. Each VWAP Purchase Notice is limited to 60% of the trailing five-day average daily trading volume, subject to waiver by Financing Source A.</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Commitment Warrant</w:t>
      </w:r>
      <w:r>
        <w:rPr>
          <w:rFonts w:ascii="Times New Roman" w:cs="Times New Roman" w:eastAsia="Times New Roman" w:hAnsi="Times New Roman"/>
          <w:sz w:val="18"/>
          <w:szCs w:val="18"/>
          <w:color w:val="auto"/>
        </w:rPr>
        <w:t>. In addition, the Company plans to issue to Financing Source A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Warrant (the “</w:t>
      </w:r>
      <w:r>
        <w:rPr>
          <w:rFonts w:ascii="Times New Roman" w:cs="Times New Roman" w:eastAsia="Times New Roman" w:hAnsi="Times New Roman"/>
          <w:sz w:val="18"/>
          <w:szCs w:val="18"/>
          <w:b w:val="1"/>
          <w:bCs w:val="1"/>
          <w:i w:val="1"/>
          <w:iCs w:val="1"/>
          <w:color w:val="auto"/>
        </w:rPr>
        <w:t>Commitment Warrant</w:t>
      </w:r>
      <w:r>
        <w:rPr>
          <w:rFonts w:ascii="Times New Roman" w:cs="Times New Roman" w:eastAsia="Times New Roman" w:hAnsi="Times New Roman"/>
          <w:sz w:val="18"/>
          <w:szCs w:val="18"/>
          <w:color w:val="auto"/>
        </w:rPr>
        <w:t>”) to purchase up to $2,000,000 of shares of Common Stock. The exercise price per share equals 99% of the closing sales price of the Common Stock on the trading day prior to the exercise date. The Commitment Warrant has a five-year term from the initial exercise date and is subject to a beneficial ownership limitation of 4.99% (subject to increase to 9.99% with Company consent). Each exercise is limited to 5% of the greater of the trading volume on the day before or the day of the exercise notice. If Financing Source A delivers a notice of exercise of the Commitment Warrant, the Company may elect within fifteen minutes to instead deliver a Rapid Purchase Notice for the same number of shares, in which case the Warrant exercise is deemed void. The Commitment Warrant also includes a cashless exercise provision available after the six-month anniversary of the CSPA if there is no effective registration statement.</w:t>
      </w:r>
    </w:p>
    <w:p>
      <w:pPr>
        <w:spacing w:after="0" w:line="10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Ownership Limitation</w:t>
      </w:r>
      <w:r>
        <w:rPr>
          <w:rFonts w:ascii="Times New Roman" w:cs="Times New Roman" w:eastAsia="Times New Roman" w:hAnsi="Times New Roman"/>
          <w:sz w:val="18"/>
          <w:szCs w:val="18"/>
          <w:color w:val="auto"/>
        </w:rPr>
        <w:t>. Financing Source A may not acquire shares that would cause its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to exceed 4.99% of the outstanding Common Stock, subject to increase to 9.99% upon mutual written agreement of the Company and Financing Source A, effective not less than sixty-one (61) days after such mutual written agreement.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Commitment Shares</w:t>
      </w:r>
      <w:r>
        <w:rPr>
          <w:rFonts w:ascii="Times New Roman" w:cs="Times New Roman" w:eastAsia="Times New Roman" w:hAnsi="Times New Roman"/>
          <w:sz w:val="18"/>
          <w:szCs w:val="18"/>
          <w:color w:val="auto"/>
        </w:rPr>
        <w:t>. As consideration for the Equity Line of Credit, the Company will issue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Source A commitment shares of Common Stock equal to a Commitment Fee Amount of $150,000, divided by the Commitment Fee Price (defined as the closing price of the Common Stock on the trading day immediately preceding the earlier of (i) the date on which the registration statement is declared effective by the SEC and (ii) the date that is 180 calendar days following the effective date of the CSPA) (the “</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Commitment Shares are fully earned as of the effective date of the CSPA. In addition,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issue to Financing Source A a Common Stock Purchase Warrant (the “</w:t>
      </w:r>
      <w:r>
        <w:rPr>
          <w:rFonts w:ascii="Times New Roman" w:cs="Times New Roman" w:eastAsia="Times New Roman" w:hAnsi="Times New Roman"/>
          <w:sz w:val="18"/>
          <w:szCs w:val="18"/>
          <w:b w:val="1"/>
          <w:bCs w:val="1"/>
          <w:i w:val="1"/>
          <w:iCs w:val="1"/>
          <w:color w:val="auto"/>
        </w:rPr>
        <w:t>Commitment Warrant</w:t>
      </w:r>
      <w:r>
        <w:rPr>
          <w:rFonts w:ascii="Times New Roman" w:cs="Times New Roman" w:eastAsia="Times New Roman" w:hAnsi="Times New Roman"/>
          <w:sz w:val="18"/>
          <w:szCs w:val="18"/>
          <w:color w:val="auto"/>
        </w:rPr>
        <w:t>”) to purchase up to $2,000,000 of Common Stock at an exercise price equal to 99% of the closing price of the Common Stock on the trading day prior to the exercise date, which Commitment Warrant has a five-year term and is also fully earned as of the effective date of the CSPA.</w:t>
      </w:r>
    </w:p>
    <w:p>
      <w:pPr>
        <w:spacing w:after="0" w:line="11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The Company has agreed to file a registration statement on Form S-1 covering the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issuable under the Equity Line of Credit, including the Commitment Shares and shares issuable upon exercise of the Commitment Warrant, within five (5) business days after the effective date of the CSPA. If the registration statement is not filed within thirty (30) days of the effective date, the Company is required to pay Financing Source A liquidated damages of $250,000.</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Secured Convertible Note</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Company additionally plans to enter into a Note Purchase Agreement (the “</w:t>
      </w:r>
      <w:r>
        <w:rPr>
          <w:rFonts w:ascii="Times New Roman" w:cs="Times New Roman" w:eastAsia="Times New Roman" w:hAnsi="Times New Roman"/>
          <w:sz w:val="18"/>
          <w:szCs w:val="18"/>
          <w:b w:val="1"/>
          <w:bCs w:val="1"/>
          <w:i w:val="1"/>
          <w:iCs w:val="1"/>
          <w:color w:val="auto"/>
        </w:rPr>
        <w:t>Note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Financing Source A for the Financing Source A Note in an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$2,875,000, reflecting a 20% original issue discount applied to aggregate loan proceeds of $2,300,000 (the “</w:t>
      </w:r>
      <w:r>
        <w:rPr>
          <w:rFonts w:ascii="Times New Roman" w:cs="Times New Roman" w:eastAsia="Times New Roman" w:hAnsi="Times New Roman"/>
          <w:sz w:val="18"/>
          <w:szCs w:val="18"/>
          <w:b w:val="1"/>
          <w:bCs w:val="1"/>
          <w:i w:val="1"/>
          <w:iCs w:val="1"/>
          <w:color w:val="auto"/>
        </w:rPr>
        <w:t>Note Purchase Price</w:t>
      </w:r>
      <w:r>
        <w:rPr>
          <w:rFonts w:ascii="Times New Roman" w:cs="Times New Roman" w:eastAsia="Times New Roman" w:hAnsi="Times New Roman"/>
          <w:sz w:val="18"/>
          <w:szCs w:val="18"/>
          <w:color w:val="auto"/>
        </w:rPr>
        <w:t>”). The Company anticipates entering into definitive documentation with Financing Source A to implement the Note Purchase Agreement and the Financing Source A Noteon terms consistent with those described below.</w:t>
      </w:r>
    </w:p>
    <w:p>
      <w:pPr>
        <w:spacing w:after="0" w:line="11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Funding. </w:t>
      </w:r>
      <w:r>
        <w:rPr>
          <w:rFonts w:ascii="Times New Roman" w:cs="Times New Roman" w:eastAsia="Times New Roman" w:hAnsi="Times New Roman"/>
          <w:sz w:val="18"/>
          <w:szCs w:val="18"/>
          <w:color w:val="auto"/>
        </w:rPr>
        <w:t>The Note Purchase Price will be funded in up to ten monthly tranches of $230,000 each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“Tranche,” with a corresponding principal amount of $287,500), subject to mutual written agreement of both parties. The first Tranche may not be funded unless the Company has (i) filed the registration statement covering the</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conversion shares with the SEC and (ii) filed the preliminary proxy statement with the SEC. Neither party is obligated to fund or request any individual Tranche; each funding requires the affirmative, mutual written authorization of both parties. The Company will only accrue principal and original issue discount obligations for Tranches actually funded.</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Accelerated Funding. </w:t>
      </w:r>
      <w:r>
        <w:rPr>
          <w:rFonts w:ascii="Times New Roman" w:cs="Times New Roman" w:eastAsia="Times New Roman" w:hAnsi="Times New Roman"/>
          <w:sz w:val="18"/>
          <w:szCs w:val="18"/>
          <w:color w:val="auto"/>
        </w:rPr>
        <w:t>The full remaining Note Purchase Price may be funded in a single disbursement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discretion, provided the Company has received a bona fide purchase order with a face value of at least $5,000,000 that qualifies for factoring at a rate of less than 3% per month. The Company must provide Financing Source A with written notice and supporting documentation at least five business days before the requested funding date.</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Financing Source A Note bears interest at 8% per annum, with interest for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on the principal accruing immediately and guaranteed.</w:t>
      </w:r>
    </w:p>
    <w:p>
      <w:pPr>
        <w:spacing w:after="0" w:line="77" w:lineRule="exact"/>
        <w:rPr>
          <w:sz w:val="20"/>
          <w:szCs w:val="20"/>
          <w:color w:val="auto"/>
        </w:rPr>
      </w:pPr>
    </w:p>
    <w:p>
      <w:pPr>
        <w:ind w:left="880"/>
        <w:spacing w:after="0"/>
        <w:tabs>
          <w:tab w:leader="none" w:pos="1700" w:val="left"/>
        </w:tabs>
        <w:rPr>
          <w:sz w:val="20"/>
          <w:szCs w:val="20"/>
          <w:color w:val="auto"/>
        </w:rPr>
      </w:pPr>
      <w:r>
        <w:rPr>
          <w:rFonts w:ascii="Times New Roman" w:cs="Times New Roman" w:eastAsia="Times New Roman" w:hAnsi="Times New Roman"/>
          <w:sz w:val="18"/>
          <w:szCs w:val="18"/>
          <w:i w:val="1"/>
          <w:iCs w:val="1"/>
          <w:color w:val="auto"/>
        </w:rPr>
        <w:t>Maturity.</w:t>
      </w:r>
      <w:r>
        <w:rPr>
          <w:sz w:val="20"/>
          <w:szCs w:val="20"/>
          <w:color w:val="auto"/>
        </w:rPr>
        <w:tab/>
      </w:r>
      <w:r>
        <w:rPr>
          <w:rFonts w:ascii="Times New Roman" w:cs="Times New Roman" w:eastAsia="Times New Roman" w:hAnsi="Times New Roman"/>
          <w:sz w:val="17"/>
          <w:szCs w:val="17"/>
          <w:color w:val="auto"/>
        </w:rPr>
        <w:t>Each Tranche would mature six months after its funding date.</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The Financing Source A Note is convertible at the option of Financing Source A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at a variable conversion price equal to 80% of the lowest daily VWAP during the 15 trading days before the conversion notice (the “</w:t>
      </w:r>
      <w:r>
        <w:rPr>
          <w:rFonts w:ascii="Times New Roman" w:cs="Times New Roman" w:eastAsia="Times New Roman" w:hAnsi="Times New Roman"/>
          <w:sz w:val="18"/>
          <w:szCs w:val="18"/>
          <w:b w:val="1"/>
          <w:bCs w:val="1"/>
          <w:i w:val="1"/>
          <w:iCs w:val="1"/>
          <w:color w:val="auto"/>
        </w:rPr>
        <w:t>Variable Conversion Price</w:t>
      </w:r>
      <w:r>
        <w:rPr>
          <w:rFonts w:ascii="Times New Roman" w:cs="Times New Roman" w:eastAsia="Times New Roman" w:hAnsi="Times New Roman"/>
          <w:sz w:val="18"/>
          <w:szCs w:val="18"/>
          <w:color w:val="auto"/>
        </w:rPr>
        <w:t>”). Upon the occurrence of an Event of Default (as defined in the Financing Source A Note) that is not cured within ten (10) business days (if curable), the conversion price may, at Financing Source A’s option, be reduced to $0.01 per share (the “</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The Financing Source A Note is subject to a beneficial ownership limitation of 4.99%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increase to 9.99% upon sixty-one (61) days’ prior written notice by Financing Source A to the Company).</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Security Interest. </w:t>
      </w:r>
      <w:r>
        <w:rPr>
          <w:rFonts w:ascii="Times New Roman" w:cs="Times New Roman" w:eastAsia="Times New Roman" w:hAnsi="Times New Roman"/>
          <w:sz w:val="18"/>
          <w:szCs w:val="18"/>
          <w:color w:val="auto"/>
        </w:rPr>
        <w:t>The Financing Source A Note is a first senior secured obligation of the Company,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over all existing and future indebtedness of the Company. The obligations under the Financing Source A Note are secured by all of the assets, personal property of every kind, intellectual property, claims, products and proceeds of the Company. So long as any obligation under the Financing Source A Note remains outstanding, the Company may not incur or guarantee any indebtedness that is senior to or pari passu with its obligations under the Financing Source A Note. The Financing Source A Note will be subordinated to the Company’s obligations to JJ Astor until those obligations are discharged in full.</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is required to use the proceeds from the sale of the Notes to make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monthly payments under the J.J. Astor Loan. In addition, while any portion of any Note is outstanding, if the Company receives cash proceeds from the issuance of securities pursuant to the Equity Line of Credit or from the exercise of the Commitment Warrant, Financing Source A has the right to require the Company to immediately apply up to 10% of such proceeds to repay outstanding amounts under the Notes.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Stockholder Approval Deadline. </w:t>
      </w:r>
      <w:r>
        <w:rPr>
          <w:rFonts w:ascii="Times New Roman" w:cs="Times New Roman" w:eastAsia="Times New Roman" w:hAnsi="Times New Roman"/>
          <w:sz w:val="18"/>
          <w:szCs w:val="18"/>
          <w:color w:val="auto"/>
        </w:rPr>
        <w:t>The Company is required to hold a stockholder meeting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for the issuance of securities under the Financing Source A transaction documents no later than May 15, 2026. If the stockholder meeting is not held by that date, the Company is required to pay Financing Source A liquidated damages of $250,000. If stockholder approval is not obtained by the first required meeting date, the Company must hold additional stockholder meetings every 180 days thereafter until approval is obtained, for a period of 720 days. In addition, if stockholder approval is not obtained by May 15, 2026, such failure will constitute an Event of Default under the Note Purchase Agreement, and Financing Source A may elect to use the Default Conversion Price of $0.01 per share.</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Right of First Refusal and Roll-Over Rights. </w:t>
      </w:r>
      <w:r>
        <w:rPr>
          <w:rFonts w:ascii="Times New Roman" w:cs="Times New Roman" w:eastAsia="Times New Roman" w:hAnsi="Times New Roman"/>
          <w:sz w:val="18"/>
          <w:szCs w:val="18"/>
          <w:color w:val="auto"/>
        </w:rPr>
        <w:t>For so long as any Note remains outstanding,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entering into any equity, equity-linked, or debt financing with any third party (a “Subsequent Financing”), the Company must present the terms of such financing to Financing Source A as a right of first refusal, and Financing Source A has the option to participate on a pro rata basis. In addition, Financing Source A has the right to roll over all or any portion of the outstanding principal amount of the Notes, together with accrued but unpaid interest, into the securities issued in a Subsequent Financing on the same terms and conditions applicable to other investors.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Variable Rate Prohibition. </w:t>
      </w:r>
      <w:r>
        <w:rPr>
          <w:rFonts w:ascii="Times New Roman" w:cs="Times New Roman" w:eastAsia="Times New Roman" w:hAnsi="Times New Roman"/>
          <w:sz w:val="18"/>
          <w:szCs w:val="18"/>
          <w:color w:val="auto"/>
        </w:rPr>
        <w:t>For so long as any Note remains outstanding, the Company may not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issue, or amend any variable rate transaction or equity-linked financing with price reset or floating conversion features without Financing Source A’s prior written consent, except where the proceeds are used to repay all of the Notes in full. Similarly, the CSPA prohibits the Company from effecting or entering into a variable rate transaction during the commitment period without Financing Source A’s consent.</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88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Events of Default.</w:t>
      </w:r>
      <w:r>
        <w:rPr>
          <w:sz w:val="20"/>
          <w:szCs w:val="20"/>
          <w:color w:val="auto"/>
        </w:rPr>
        <w:tab/>
      </w:r>
      <w:r>
        <w:rPr>
          <w:rFonts w:ascii="Times New Roman" w:cs="Times New Roman" w:eastAsia="Times New Roman" w:hAnsi="Times New Roman"/>
          <w:sz w:val="18"/>
          <w:szCs w:val="18"/>
          <w:color w:val="auto"/>
        </w:rPr>
        <w:t>Events of Default under the Financing Source A Note include, among others:</w:t>
      </w:r>
    </w:p>
    <w:p>
      <w:pPr>
        <w:spacing w:after="0" w:line="29" w:lineRule="exact"/>
        <w:rPr>
          <w:sz w:val="20"/>
          <w:szCs w:val="20"/>
          <w:color w:val="auto"/>
        </w:rPr>
      </w:pPr>
    </w:p>
    <w:p>
      <w:pPr>
        <w:jc w:val="both"/>
        <w:ind w:left="460" w:right="459" w:hanging="6"/>
        <w:spacing w:after="0" w:line="251"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interest when due; (ii) failure to deliver conversion shares; (iii) breach of any covenant or representation; (iv) bankruptcy, insolvency, or liquidation; (v) delisting of the Common Stock from Nasdaq; (vi) failure to timely comply with Exchange Act reporting requirements; (vii) loss of DTC/FAST eligibility; (viii) cessation of operations; (ix) entry into a Section 3(a)(9) or 3(a)(10) transaction (other than permitted transactions); and (x) cross-default with all other agreements between the Company and Financing Source A, including the CSPA, the Commitment Warrant, and the Registration Rights Agreement. Upon an Event of Default, the outstanding principal, accrued interest, and all other amounts owed become immediately due and payable, and Financing Source A may elect to use the Default Conversion Price of $0.01 per share.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Nasdaq Service Proposal B:</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Under Nasdaq Service Proposal B, the Company would enter into the following financing agreements with one or more potential financing sources (“</w:t>
      </w:r>
      <w:r>
        <w:rPr>
          <w:rFonts w:ascii="Times New Roman" w:cs="Times New Roman" w:eastAsia="Times New Roman" w:hAnsi="Times New Roman"/>
          <w:sz w:val="18"/>
          <w:szCs w:val="18"/>
          <w:b w:val="1"/>
          <w:bCs w:val="1"/>
          <w:i w:val="1"/>
          <w:iCs w:val="1"/>
          <w:color w:val="auto"/>
        </w:rPr>
        <w:t>Financing Source B</w:t>
      </w:r>
      <w:r>
        <w:rPr>
          <w:rFonts w:ascii="Times New Roman" w:cs="Times New Roman" w:eastAsia="Times New Roman" w:hAnsi="Times New Roman"/>
          <w:sz w:val="18"/>
          <w:szCs w:val="18"/>
          <w:color w:val="auto"/>
        </w:rPr>
        <w:t>”) (i) an equity line of credit facility (the “</w:t>
      </w:r>
      <w:r>
        <w:rPr>
          <w:rFonts w:ascii="Times New Roman" w:cs="Times New Roman" w:eastAsia="Times New Roman" w:hAnsi="Times New Roman"/>
          <w:sz w:val="18"/>
          <w:szCs w:val="18"/>
          <w:b w:val="1"/>
          <w:bCs w:val="1"/>
          <w:i w:val="1"/>
          <w:iCs w:val="1"/>
          <w:color w:val="auto"/>
        </w:rPr>
        <w:t>Financing Source B Equity Line of Credit</w:t>
      </w:r>
      <w:r>
        <w:rPr>
          <w:rFonts w:ascii="Times New Roman" w:cs="Times New Roman" w:eastAsia="Times New Roman" w:hAnsi="Times New Roman"/>
          <w:sz w:val="18"/>
          <w:szCs w:val="18"/>
          <w:color w:val="auto"/>
        </w:rPr>
        <w:t>”), (ii) an agreement pursuant to which Financing Source B will purchase shares of Preferred Stock (as defined below) of the Company (the “</w:t>
      </w:r>
      <w:r>
        <w:rPr>
          <w:rFonts w:ascii="Times New Roman" w:cs="Times New Roman" w:eastAsia="Times New Roman" w:hAnsi="Times New Roman"/>
          <w:sz w:val="18"/>
          <w:szCs w:val="18"/>
          <w:b w:val="1"/>
          <w:bCs w:val="1"/>
          <w:i w:val="1"/>
          <w:iCs w:val="1"/>
          <w:color w:val="auto"/>
        </w:rPr>
        <w:t>Preferred Stock Purchase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jc w:val="both"/>
        <w:ind w:left="460" w:right="459" w:hanging="6"/>
        <w:spacing w:after="0" w:line="251" w:lineRule="auto"/>
        <w:tabs>
          <w:tab w:leader="none" w:pos="7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to purchase up to $2,000,000 of shares of Common Stock (the “</w:t>
      </w:r>
      <w:r>
        <w:rPr>
          <w:rFonts w:ascii="Times New Roman" w:cs="Times New Roman" w:eastAsia="Times New Roman" w:hAnsi="Times New Roman"/>
          <w:sz w:val="18"/>
          <w:szCs w:val="18"/>
          <w:b w:val="1"/>
          <w:bCs w:val="1"/>
          <w:i w:val="1"/>
          <w:iCs w:val="1"/>
          <w:color w:val="auto"/>
        </w:rPr>
        <w:t>Financing Source B Warrants</w:t>
      </w:r>
      <w:r>
        <w:rPr>
          <w:rFonts w:ascii="Times New Roman" w:cs="Times New Roman" w:eastAsia="Times New Roman" w:hAnsi="Times New Roman"/>
          <w:sz w:val="18"/>
          <w:szCs w:val="18"/>
          <w:color w:val="auto"/>
        </w:rPr>
        <w:t>”). Pursuant to the Financing Source B Equity Line of Credit, the Company would agree to (i) issue to Financing Source B $150,000 of Common Stock (the “</w:t>
      </w:r>
      <w:r>
        <w:rPr>
          <w:rFonts w:ascii="Times New Roman" w:cs="Times New Roman" w:eastAsia="Times New Roman" w:hAnsi="Times New Roman"/>
          <w:sz w:val="18"/>
          <w:szCs w:val="18"/>
          <w:b w:val="1"/>
          <w:bCs w:val="1"/>
          <w:i w:val="1"/>
          <w:iCs w:val="1"/>
          <w:color w:val="auto"/>
        </w:rPr>
        <w:t>Financing Source B Commitment Shares</w:t>
      </w:r>
      <w:r>
        <w:rPr>
          <w:rFonts w:ascii="Times New Roman" w:cs="Times New Roman" w:eastAsia="Times New Roman" w:hAnsi="Times New Roman"/>
          <w:sz w:val="18"/>
          <w:szCs w:val="18"/>
          <w:color w:val="auto"/>
        </w:rPr>
        <w:t>”) and (ii) sell, and Financing Source B agreed to purchase, up to $10,000,000 (the “Financing Source B Commitment Amount”) of Common Stock at the Company’s sole discretion. In addition, pursuant to the Preferred Stock Purchase, Financing Source B would purchase up to $10 million of a newly designated series of the Company’s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If the Board elects to proceed with the Financing Source B transactions (as described below), the Company intends to use the proceeds from the Preferred Stock Purchase to immediately pay off the J.J. Astor Loan and to use the proceeds from the sale of shares of Common Stock to Financing Source B under the Financing Source B Equity Line of Credit to terminate the Original ELOC (as defined in the Nasdaq Conversion Proposal below).</w:t>
      </w:r>
    </w:p>
    <w:p>
      <w:pPr>
        <w:spacing w:after="0" w:line="12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Board is seeking stockholder approval as required under Nasdaq Listing Rules 5635(b) and 5635(d) to issue the Financing Source B Commitment Shares to Financing Source B, to sell shares of our Common Stock, the Preferred Stock, and the Financing Source B Warrants to Financing Source B, and to issue shares of Common Stock, and, to the extent the Preferred Stock is convertible into Common Stock, shares issuable upon conversion thereof, in the aggregate, in excess of 19.99% of our outstanding shares of Common Stock as of immediately prior to the execution of the applicable agreements, as more fully described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Proposed Agreements with Financing Source B</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Company has not yet entered into definitive agreements with respect to these transactions. The Company anticipates negotiating and entering into definitive agreements with Financing Source B on the terms set forth below, subject to customary closing conditions and the receipt of stockholder approval as described herein.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The Financing Source B Equity Line of Credit would provide for up to $10,000,000 (the “</w:t>
      </w:r>
      <w:r>
        <w:rPr>
          <w:rFonts w:ascii="Times New Roman" w:cs="Times New Roman" w:eastAsia="Times New Roman" w:hAnsi="Times New Roman"/>
          <w:sz w:val="18"/>
          <w:szCs w:val="18"/>
          <w:b w:val="1"/>
          <w:bCs w:val="1"/>
          <w:i w:val="1"/>
          <w:i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Source B Commitment Amount</w:t>
      </w:r>
      <w:r>
        <w:rPr>
          <w:rFonts w:ascii="Times New Roman" w:cs="Times New Roman" w:eastAsia="Times New Roman" w:hAnsi="Times New Roman"/>
          <w:sz w:val="18"/>
          <w:szCs w:val="18"/>
          <w:color w:val="auto"/>
        </w:rPr>
        <w:t>”) in Common Stock purchases at the Company’s discretion. The commitment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would extend through December 31, 2028. The material terms of the Financing Source B CSPA are summarized below.</w:t>
      </w:r>
    </w:p>
    <w:p>
      <w:pPr>
        <w:spacing w:after="0" w:line="11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Rapid Purchase Notices. </w:t>
      </w:r>
      <w:r>
        <w:rPr>
          <w:rFonts w:ascii="Times New Roman" w:cs="Times New Roman" w:eastAsia="Times New Roman" w:hAnsi="Times New Roman"/>
          <w:sz w:val="18"/>
          <w:szCs w:val="18"/>
          <w:color w:val="auto"/>
        </w:rPr>
        <w:t>At its sole discretion, the Company may direct Financing Source B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specified number of shares of Common Stock by delivering a rapid purchase notice (a “</w:t>
      </w:r>
      <w:r>
        <w:rPr>
          <w:rFonts w:ascii="Times New Roman" w:cs="Times New Roman" w:eastAsia="Times New Roman" w:hAnsi="Times New Roman"/>
          <w:sz w:val="18"/>
          <w:szCs w:val="18"/>
          <w:b w:val="1"/>
          <w:bCs w:val="1"/>
          <w:i w:val="1"/>
          <w:iCs w:val="1"/>
          <w:color w:val="auto"/>
        </w:rPr>
        <w:t>Rapid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The purchase price per share (the “</w:t>
      </w:r>
      <w:r>
        <w:rPr>
          <w:rFonts w:ascii="Times New Roman" w:cs="Times New Roman" w:eastAsia="Times New Roman" w:hAnsi="Times New Roman"/>
          <w:sz w:val="18"/>
          <w:szCs w:val="18"/>
          <w:b w:val="1"/>
          <w:bCs w:val="1"/>
          <w:i w:val="1"/>
          <w:iCs w:val="1"/>
          <w:color w:val="auto"/>
        </w:rPr>
        <w:t>Rapid Purchase Price</w:t>
      </w:r>
      <w:r>
        <w:rPr>
          <w:rFonts w:ascii="Times New Roman" w:cs="Times New Roman" w:eastAsia="Times New Roman" w:hAnsi="Times New Roman"/>
          <w:sz w:val="18"/>
          <w:szCs w:val="18"/>
          <w:color w:val="auto"/>
        </w:rPr>
        <w:t>”) would equal the average of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lowest traded prices during the two-hour period following delivery of the notice (the “</w:t>
      </w:r>
      <w:r>
        <w:rPr>
          <w:rFonts w:ascii="Times New Roman" w:cs="Times New Roman" w:eastAsia="Times New Roman" w:hAnsi="Times New Roman"/>
          <w:sz w:val="18"/>
          <w:szCs w:val="18"/>
          <w:b w:val="1"/>
          <w:bCs w:val="1"/>
          <w:i w:val="1"/>
          <w:iCs w:val="1"/>
          <w:color w:val="auto"/>
        </w:rPr>
        <w:t>Rapid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Valuation Period</w:t>
      </w:r>
      <w:r>
        <w:rPr>
          <w:rFonts w:ascii="Times New Roman" w:cs="Times New Roman" w:eastAsia="Times New Roman" w:hAnsi="Times New Roman"/>
          <w:sz w:val="18"/>
          <w:szCs w:val="18"/>
          <w:color w:val="auto"/>
        </w:rPr>
        <w:t>”). Settlement would occur on the next business day, with Financing Source B paying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equal to the number of shares multiplied by the Rapid Purchase Price.</w:t>
      </w:r>
    </w:p>
    <w:p>
      <w:pPr>
        <w:spacing w:after="0" w:line="10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VWAP Purchase Notices. </w:t>
      </w:r>
      <w:r>
        <w:rPr>
          <w:rFonts w:ascii="Times New Roman" w:cs="Times New Roman" w:eastAsia="Times New Roman" w:hAnsi="Times New Roman"/>
          <w:sz w:val="18"/>
          <w:szCs w:val="18"/>
          <w:color w:val="auto"/>
        </w:rPr>
        <w:t>At its sole discretion, the Company may direct Financing Source B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 specified number of shares of Common Stock by delivering a VWAP purchase notice (a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Notice</w:t>
      </w:r>
      <w:r>
        <w:rPr>
          <w:rFonts w:ascii="Times New Roman" w:cs="Times New Roman" w:eastAsia="Times New Roman" w:hAnsi="Times New Roman"/>
          <w:sz w:val="18"/>
          <w:szCs w:val="18"/>
          <w:color w:val="auto"/>
        </w:rPr>
        <w:t>”). The purchase price per share (the “</w:t>
      </w:r>
      <w:r>
        <w:rPr>
          <w:rFonts w:ascii="Times New Roman" w:cs="Times New Roman" w:eastAsia="Times New Roman" w:hAnsi="Times New Roman"/>
          <w:sz w:val="18"/>
          <w:szCs w:val="18"/>
          <w:b w:val="1"/>
          <w:bCs w:val="1"/>
          <w:i w:val="1"/>
          <w:iCs w:val="1"/>
          <w:color w:val="auto"/>
        </w:rPr>
        <w:t>VWAP Purchase Price</w:t>
      </w:r>
      <w:r>
        <w:rPr>
          <w:rFonts w:ascii="Times New Roman" w:cs="Times New Roman" w:eastAsia="Times New Roman" w:hAnsi="Times New Roman"/>
          <w:sz w:val="18"/>
          <w:szCs w:val="18"/>
          <w:color w:val="auto"/>
        </w:rPr>
        <w:t>”) would equal 97% of the lowest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volume weighted</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color w:val="auto"/>
        </w:rPr>
        <w:t>average price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during the three business days following the notice (the “</w:t>
      </w:r>
      <w:r>
        <w:rPr>
          <w:rFonts w:ascii="Times New Roman" w:cs="Times New Roman" w:eastAsia="Times New Roman" w:hAnsi="Times New Roman"/>
          <w:sz w:val="18"/>
          <w:szCs w:val="18"/>
          <w:b w:val="1"/>
          <w:bCs w:val="1"/>
          <w:i w:val="1"/>
          <w:iCs w:val="1"/>
          <w:color w:val="auto"/>
        </w:rPr>
        <w:t>VWAP Purchase 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Settlement would occur one business day after the VWAP Purchase Valuation Period. Each VWAP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Notice is limited to 60% of the trailing five-day average daily trading volume, subject to waiver by Financing Source B.</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Commitment Warrant</w:t>
      </w:r>
      <w:r>
        <w:rPr>
          <w:rFonts w:ascii="Times New Roman" w:cs="Times New Roman" w:eastAsia="Times New Roman" w:hAnsi="Times New Roman"/>
          <w:sz w:val="18"/>
          <w:szCs w:val="18"/>
          <w:color w:val="auto"/>
        </w:rPr>
        <w:t>. In addition, the Company plans to issue to Financing Source B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Warrant (the “</w:t>
      </w:r>
      <w:r>
        <w:rPr>
          <w:rFonts w:ascii="Times New Roman" w:cs="Times New Roman" w:eastAsia="Times New Roman" w:hAnsi="Times New Roman"/>
          <w:sz w:val="18"/>
          <w:szCs w:val="18"/>
          <w:b w:val="1"/>
          <w:bCs w:val="1"/>
          <w:i w:val="1"/>
          <w:iCs w:val="1"/>
          <w:color w:val="auto"/>
        </w:rPr>
        <w:t>Financing Source B Commitment Warrant</w:t>
      </w:r>
      <w:r>
        <w:rPr>
          <w:rFonts w:ascii="Times New Roman" w:cs="Times New Roman" w:eastAsia="Times New Roman" w:hAnsi="Times New Roman"/>
          <w:sz w:val="18"/>
          <w:szCs w:val="18"/>
          <w:color w:val="auto"/>
        </w:rPr>
        <w:t>”) to purchase up to $2,000,000 of shares of Common Stock. The exercise price per share equals 99% of the closing sales price of the Common Stock on the trading day prior to the exercise date. The Financing Source B Commitment Warrant has a five-year term from the initial exercise date and is subject to a beneficial ownership limitation of 4.99% (subject to increase to 9.99% with Company consent). Each exercise is limited to 5% of the greater of the trading volume on the day before or the day of the exercise notice. If Financing Source B delivers a notice of exercise of the Financing Source B Commitment Warrant, the Company may elect within fifteen minutes to instead deliver a Rapid Purchase Notice for the same number of shares, in which case the Warrant exercise is deemed void. The Financing Source B Commitment Warrant also includes a cashless exercise provision available after the six-month anniversary of the Financing Source B CSPA if there is no effective registration statement.</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Ownership Limitation. </w:t>
      </w:r>
      <w:r>
        <w:rPr>
          <w:rFonts w:ascii="Times New Roman" w:cs="Times New Roman" w:eastAsia="Times New Roman" w:hAnsi="Times New Roman"/>
          <w:sz w:val="18"/>
          <w:szCs w:val="18"/>
          <w:color w:val="auto"/>
        </w:rPr>
        <w:t>Financing Source B may not acquire shares that would cause its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to exceed 4.99% of the outstanding Common Stock, subject to increase to 9.99% upon mutual written agreement of the Company and Financing Source B, effective not less than sixty-one (61) days after such mutual written agreement.</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Commitment Shares. </w:t>
      </w:r>
      <w:r>
        <w:rPr>
          <w:rFonts w:ascii="Times New Roman" w:cs="Times New Roman" w:eastAsia="Times New Roman" w:hAnsi="Times New Roman"/>
          <w:sz w:val="18"/>
          <w:szCs w:val="18"/>
          <w:color w:val="auto"/>
        </w:rPr>
        <w:t>As consideration for the Financing Source B Equity Line of Credit,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issue to Financing Source B commitment shares of Common Stock equal to a Commitment Fee Amount of $150,000, divided by the Commitment Fee Price (defined as the closing price of the Common Stock on the trading day immediately preceding the earlier of (i) the date on which the registration statement is declared effective by the SEC and (ii) the date that is 180 calendar days following the effective date of the Financing Source B CSPA)</w:t>
      </w:r>
    </w:p>
    <w:p>
      <w:pPr>
        <w:spacing w:after="0" w:line="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Financing Source B Commitment Shares</w:t>
      </w:r>
      <w:r>
        <w:rPr>
          <w:rFonts w:ascii="Times New Roman" w:cs="Times New Roman" w:eastAsia="Times New Roman" w:hAnsi="Times New Roman"/>
          <w:sz w:val="18"/>
          <w:szCs w:val="18"/>
          <w:color w:val="auto"/>
        </w:rPr>
        <w:t>”). The Financing Source B Commitment Shares are fully earned as of the effective date of the Financing Source B CSPA. In addition, the Company will issue to Financing Source B a Common Stock Purchase Warrant (the “</w:t>
      </w:r>
      <w:r>
        <w:rPr>
          <w:rFonts w:ascii="Times New Roman" w:cs="Times New Roman" w:eastAsia="Times New Roman" w:hAnsi="Times New Roman"/>
          <w:sz w:val="18"/>
          <w:szCs w:val="18"/>
          <w:b w:val="1"/>
          <w:bCs w:val="1"/>
          <w:i w:val="1"/>
          <w:iCs w:val="1"/>
          <w:color w:val="auto"/>
        </w:rPr>
        <w:t>Financing Source B Commitment Warrant</w:t>
      </w:r>
      <w:r>
        <w:rPr>
          <w:rFonts w:ascii="Times New Roman" w:cs="Times New Roman" w:eastAsia="Times New Roman" w:hAnsi="Times New Roman"/>
          <w:sz w:val="18"/>
          <w:szCs w:val="18"/>
          <w:color w:val="auto"/>
        </w:rPr>
        <w:t>”) to purchase up to $2,000,000 of Common Stock at an exercise price equal to 99% of the closing price of the Common Stock on the trading day prior to the exercise date, which Financing Source B Commitment Warrant has a five-year term and is also fully earned as of the effective date of the Financing Source B CSPA.</w:t>
      </w:r>
    </w:p>
    <w:p>
      <w:pPr>
        <w:spacing w:after="0" w:line="12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Registration. </w:t>
      </w:r>
      <w:r>
        <w:rPr>
          <w:rFonts w:ascii="Times New Roman" w:cs="Times New Roman" w:eastAsia="Times New Roman" w:hAnsi="Times New Roman"/>
          <w:sz w:val="18"/>
          <w:szCs w:val="18"/>
          <w:color w:val="auto"/>
        </w:rPr>
        <w:t>The Company has agreed to file a registration statement on Form S-1 covering the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issuable under the Financing Source B Equity Line of Credit, including the Financing Source B Commitment Shares and shares issuable upon exercise of the Financing Source B Commitment Warrant, within five (5) business days after the effective date of the Financing Source B CSPA. If the registration statement is not filed within thirty (30) days of the effective date, the Company is required to pay Financing Source B liquidated damages of $250,000.</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Equity Purchase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currently evaluating a potential financing transaction with Financing Source B pursuant to which Financing Source B would purchase up to $10.0 million of a newly designated series of the Company’s preferred stock. The Company has not yet received or entered a definitive term sheet or definitive transaction documents with respect to such proposed investment. However, based on preliminary discussions with Financing Source B, the Company currently expects that the proposed financing would be structured as an equity investment, and not as indebtedness.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While the final terms of any such transaction remain subject to negotiation and approval by the Company’s Board of Directors, as well as such other approvals as may be required, the Company currently anticipates that the principal terms of the proposed preferred stock financing would include the following, which terms are also reflected in the Certificate of Designation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w:t>
      </w:r>
    </w:p>
    <w:p>
      <w:pPr>
        <w:spacing w:after="0" w:line="110"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A newly authorized series of preferred stock of the Company, which may be designated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or such other designation as determined by the Board of Directors.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Purchase Price/Gross Proceed</w:t>
      </w:r>
      <w:r>
        <w:rPr>
          <w:rFonts w:ascii="Times New Roman" w:cs="Times New Roman" w:eastAsia="Times New Roman" w:hAnsi="Times New Roman"/>
          <w:sz w:val="18"/>
          <w:szCs w:val="18"/>
          <w:color w:val="auto"/>
        </w:rPr>
        <w:t>s. Aggregate gross proceeds of up to $10.0 million.</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Structure. </w:t>
      </w:r>
      <w:r>
        <w:rPr>
          <w:rFonts w:ascii="Times New Roman" w:cs="Times New Roman" w:eastAsia="Times New Roman" w:hAnsi="Times New Roman"/>
          <w:sz w:val="18"/>
          <w:szCs w:val="18"/>
          <w:color w:val="auto"/>
        </w:rPr>
        <w:t>The preferred stock is expected to be structured as a perpetual equity security, with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maturity date, no mandatory redemption feature, and no right of the holder to require the Company to redeem, repurchase or otherwise settle the security for cash or other assets.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preferred stock may provide for dividends, if any, only to the extent declared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out of funds legally available therefor. Any such dividend provisions are expected to be structured in a manner intended to preserve the equity characteristics of the security.</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In the event of any liquidation, dissolution or winding up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preferred stock would be expected to be entitled to receive a liquidation preference senior to the rights of holders of the Company’s common stock, which preference may be equal to the original purchase price of the preferred stock, together with any declared and unpaid dividends thereon, if applicable.</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The preferred stock may be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any such conversion rights to be set forth in the definitive transaction documents, including the applicable conversion rate, conversion price, and related anti-dilution adjustments, if any.</w:t>
      </w:r>
    </w:p>
    <w:p>
      <w:pPr>
        <w:spacing w:after="0" w:line="9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Rights; Protective Provisions. </w:t>
      </w:r>
      <w:r>
        <w:rPr>
          <w:rFonts w:ascii="Times New Roman" w:cs="Times New Roman" w:eastAsia="Times New Roman" w:hAnsi="Times New Roman"/>
          <w:sz w:val="18"/>
          <w:szCs w:val="18"/>
          <w:color w:val="auto"/>
        </w:rPr>
        <w:t>The preferred stock may include limited voting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protective provisions, including with respect to actions that would adversely affect the rights, preferences or privileges of the preferred stock or authorize securities senior to the preferred stock.</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preferred stock is expected to rank senior to the Company’s common stock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rights and rights upon liquidation, dissolution and winding up, and junior to all existing and future indebtedness of the Company, except to the extent otherwise provided in the certificate of designation governing such preferred stock.</w:t>
      </w:r>
    </w:p>
    <w:p>
      <w:pPr>
        <w:spacing w:after="0" w:line="11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currently expects to use the net proceeds from any such financing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growth initiatives, and other general corporate purposes.</w:t>
      </w:r>
    </w:p>
    <w:p>
      <w:pPr>
        <w:spacing w:after="0" w:line="7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Definitive Documentation; Approvals. </w:t>
      </w:r>
      <w:r>
        <w:rPr>
          <w:rFonts w:ascii="Times New Roman" w:cs="Times New Roman" w:eastAsia="Times New Roman" w:hAnsi="Times New Roman"/>
          <w:sz w:val="18"/>
          <w:szCs w:val="18"/>
          <w:color w:val="auto"/>
        </w:rPr>
        <w:t>Any proposed transaction would remain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and execution of definitive agreements and related documentation, approval by the Company’s Board of Directors, and, to the extent applicable, stockholder approval and compliance with applicable law and stock exchange rules.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 Assurance of Consummation. </w:t>
      </w:r>
      <w:r>
        <w:rPr>
          <w:rFonts w:ascii="Times New Roman" w:cs="Times New Roman" w:eastAsia="Times New Roman" w:hAnsi="Times New Roman"/>
          <w:sz w:val="18"/>
          <w:szCs w:val="18"/>
          <w:color w:val="auto"/>
        </w:rPr>
        <w:t>No assurance can be given that the Company and Financing Source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enter into definitive agreements on the terms described above, on acceptable terms, or at all. The foregoing description reflects only the Company’s current expectations regarding a possible preferred equity financing and is subject to change in all respects.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Requirement to Seek Stockholder Approval for Nasdaq Service Proposal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Nasdaq Listing Rule 5635(d), shareholder approval is required prior to a 20% Issuance at a price that is less than the Minimum Price. For purposes of Nasdaq Listing Rule 5635(d), (i) “</w:t>
      </w:r>
      <w:r>
        <w:rPr>
          <w:rFonts w:ascii="Times New Roman" w:cs="Times New Roman" w:eastAsia="Times New Roman" w:hAnsi="Times New Roman"/>
          <w:sz w:val="18"/>
          <w:szCs w:val="18"/>
          <w:b w:val="1"/>
          <w:bCs w:val="1"/>
          <w:i w:val="1"/>
          <w:iCs w:val="1"/>
          <w:color w:val="auto"/>
        </w:rPr>
        <w:t>20% Issuance</w:t>
      </w:r>
      <w:r>
        <w:rPr>
          <w:rFonts w:ascii="Times New Roman" w:cs="Times New Roman" w:eastAsia="Times New Roman" w:hAnsi="Times New Roman"/>
          <w:sz w:val="18"/>
          <w:szCs w:val="18"/>
          <w:color w:val="auto"/>
        </w:rPr>
        <w:t>”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our shares of Common Stock or 20% or more of the voting power outstanding before the issuance, and (ii)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means a price that is the lower of: (A) the closing price (as reflected on Nasdaq.com) immediately preceding the signing of the binding agreement; or (B) the average closing price of our Common Stock (as reflected on Nasdaq.com) for the five trading days immediately preceding the signing of the binding agreement. Stockholder approval of this proposal will constitute shareholder approval for purposes of Nasdaq Listing Rule 5635(d).</w:t>
      </w:r>
    </w:p>
    <w:p>
      <w:pPr>
        <w:spacing w:after="0" w:line="11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Additionally, Nasdaq Listing Rule 5635(b) requires stockholder approval prior to an issuance of securities that will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Entering into either potential financing transaction under this Nasdaq Service Proposal without stockholder approval would cause the Company to be in violation of Nasdaq Listing Rule 5635(d), which prohibits us from issuing in a private offering more than 20% of our outstanding Common Stock price that is below the Minimum Price set forth in such rule without previously obtaining shareholder approval, and in violation of Nasdaq Listing Rule 5635(b).</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Equity Line of Credit contemplates the sale of shares of Common Stock to Financing Source A at prices determined by reference to market-based pricing mechanisms, including the Rapid Purchase Price (based on the average of the three lowest traded prices during a two-hour valuation period), the VWAP Purchase Price (at a 3%</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discount to the lowest daily VWAP over a three-day period), and the Commitment Warrant exercise price (at a 1% discount to the prior day’s closing price), each of which may result in per-share purchase prices below the Minimum Price. In addition, the Financing Source A Note is convertible into shares of Common Stock at the Variable Conversion Price, which is set at 80% of the lowest daily VWAP during the 15 trading days prior to the conversion notice, and upon an Event of Default at the Default Conversion Price of $0.01 per share, each of which may result in issuances of shares at prices below the Minimum Price.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Separately, the Financing Source B Equity Line of Credit contemplates the sale of shares of Common Stock to Financing Source B at prices determined by reference to market-based pricing mechanisms, including the Rapid Purchase Price (based on the average of the three lowest traded prices during a two-hour valuation period), the VWAP Purchase Price (at a 3% discount to the lowest daily VWAP over a three-day period), and the Commitment Warrant exercise price (at a 1% discount to the prior day’s closing price), each of which may result in per-share purchase prices below the Minimum Price. In addition, to the extent the Preferred Stock is convertible into shares of Common Stock, such conversion may also result in issuances of shares at prices below the Minimum Price and in violation of Nasdaq Listing Rule 5635(b).</w:t>
      </w:r>
    </w:p>
    <w:p>
      <w:pPr>
        <w:spacing w:after="0" w:line="12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Accordingly, the Company is required to obtain stockholder approval under Nasdaq Listing Rules 5635(b) and 5635(d). We are therefore asking our stockholders to approve for purposes of Nasdaq Listing Rules 5635(b) and 5635(d), the issuance of the shares of Common Stock as described in this Nasdaq Service Proposal.</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Stockholder Approval</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obtaining the stockholder approval requested in this Nasdaq Service Proposal, we would no longer be bound by the Nasdaq Listing Rule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5635(b) and 5635(d) restriction on issuances of Common Stock to either Financing Source A or Financing Source B. If this Proposal is approved by our stockholders, we would be able to issue shares and warrants to either Financing Source A or Financing Source B without regard to the Minimum Price limitation. The maximum number of shares of Common Stock that we may issue would fluctuate from time to time based on the price of our Common Stock.</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example, assuming the issuance of the full Commitment Amount to Financing Source A pursuant to the Share Purchase Agreement, and such shares are issued prior to the implementation of any Reverse Stock Split in accordance with the Reverse Split Proposal, Financing Source A would collectively own approximately 53,504,548 shares of Common Stock, assuming the shares to be issued are sold at a price of $0.1869 per share (the closing price on the Record Date).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additional shares of Common Stock that we could issue to Financing Source A or Financing Source B, as applicable, will result in greater dilution to existing stockholders and may result in a decline in our stock price or greater price volatility. Each additional share of Common Stock that would be issuable to Financing Source A or Financing Source B would have the same rights and privileges as each share of our currently authorized Common Stock.</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described above does not give effect to (i) the future issuance of shares upon conversion of any notes, (ii) the future issuance of shares upon the exercise of outstanding options or warrants, or (iii) any other potential future issuances of Common Stock, including any shares issued in connection with the implementation of any potential Reverse Stock Split as contemplated in the Reverse Split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Transaction and Effect on Current 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has determined that the potential financing transactions outlined in this Nasdaq Service Proposal are in the best interests of the Company and its stockholders because the right to sell shares to Financing Source A or Financing Source B to allow the Company to either make payments under or pay off and terminate the Original Loan Agreement and Original ELOC, many of the terms of which are unfavorable to the Company. Our Board believes the proposed terms of the potential financing transactions under this Nasdaq Service Proposal are fair and reasonable to the Company, and are preferable to the terms of the Original Loan Agreement and Original ELOC. The proposed terms of either financing transaction under this Nasdaq Service Proposal do not affect the rights of the holders of outstanding Common Stock, but the sale of shares to either Financing Source A or Financing Source B will have a dilutive effect on the existing stockholders, including the voting power and economic rights of the existing stockholders.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Nasdaq Market Value of Listed Securities and Market Value of Publicly Held Shares and Certain Potential Delisting Implications</w:t>
      </w:r>
    </w:p>
    <w:p>
      <w:pPr>
        <w:spacing w:after="0" w:line="7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Nasdaq Rules require that we maintain a minimum Market Value of Listed Securities (or “</w:t>
      </w:r>
      <w:r>
        <w:rPr>
          <w:rFonts w:ascii="Times New Roman" w:cs="Times New Roman" w:eastAsia="Times New Roman" w:hAnsi="Times New Roman"/>
          <w:sz w:val="18"/>
          <w:szCs w:val="18"/>
          <w:b w:val="1"/>
          <w:bCs w:val="1"/>
          <w:i w:val="1"/>
          <w:iCs w:val="1"/>
          <w:color w:val="auto"/>
        </w:rPr>
        <w:t>MVLS</w:t>
      </w:r>
      <w:r>
        <w:rPr>
          <w:rFonts w:ascii="Times New Roman" w:cs="Times New Roman" w:eastAsia="Times New Roman" w:hAnsi="Times New Roman"/>
          <w:sz w:val="18"/>
          <w:szCs w:val="18"/>
          <w:color w:val="auto"/>
        </w:rPr>
        <w:t>”) of $50,000,000 required by the continued listing requirements of Nasdaq Listing Rule 5450(b)(2)(A), as well as a minimum market value of publicly held shares of $15.0 million (or “</w:t>
      </w:r>
      <w:r>
        <w:rPr>
          <w:rFonts w:ascii="Times New Roman" w:cs="Times New Roman" w:eastAsia="Times New Roman" w:hAnsi="Times New Roman"/>
          <w:sz w:val="18"/>
          <w:szCs w:val="18"/>
          <w:b w:val="1"/>
          <w:bCs w:val="1"/>
          <w:i w:val="1"/>
          <w:iCs w:val="1"/>
          <w:color w:val="auto"/>
        </w:rPr>
        <w:t>MVPHS</w:t>
      </w:r>
      <w:r>
        <w:rPr>
          <w:rFonts w:ascii="Times New Roman" w:cs="Times New Roman" w:eastAsia="Times New Roman" w:hAnsi="Times New Roman"/>
          <w:sz w:val="18"/>
          <w:szCs w:val="18"/>
          <w:color w:val="auto"/>
        </w:rPr>
        <w:t>”) pursuant to Nasdaq Listing Rule 5450(b)(2)(C). On February 5, 2026, we received a written notification from Nasdaq notifying us that we had failed to comply with the MVLS requirement. On February 10, 2026, we received another written notification from Nasdaq notifying us that we had not complied with the MVPHS requirements for the last 30 consecutive business days prior to the date of the notice. We have until August 4, 2026 to regain compliance with the MVLS requirement, subject to the Staff’s discretion to extend this period under Nasdaq Listing Rule 5810(c)(3)(H). Additionally, in accordance with Nasdaq Listing Rule 5810(c)(3)(D) the Company has until August 10, 2026 to regain compliance with the MVPHS requirement. In the event that we do not regain compliance by the applicable compliance dates, we may be eligible to transfer from The Nasdaq Global Select Market to the Nasdaq Capital Market and seek an additional compliance period of 180 calendar days if we meet the continued listing requirement for MVPHS and all other initial listing standards for the Nasdaq Capital Market, with the exception of the minimum bid price requirement discussed in more detail in the Reverse Split Proposal. However, if it appears to the Nasdaq staff that we will not be able to cure the deficiency, if we have a closing bid price of $0.10 or less for a period of ten (10) consecutive business days, or if we are otherwise not eligible, Nasdaq will provide notice to the Company that our Common Stock will be subject to delisting. There can be no assurance that we will be able to regain compliance with the minimum bid price requirement, maintain compliance with any of the other Nasdaq continued listing requirements, or be successful in any appeal we may undertake.</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Board believes that effecting one or more of the financings discussed in this Nasdaq Service Proposal will be the best means of regaining compliance with the MVLS and MVPHS requirements for continued listing on Nasdaq. The Board believes that continued listing on Nasdaq provides overall credibility to an investment in our stock, given the stringent listing and disclosure requirements of Nasdaq. Notably, some trading firms discourage investors from investing in lower priced stocks that are traded in the over-the-counter market because they are not held to the same stringent standards. Increasing visibility of our stock among a larger pool of potential investors could result in higher trading volumes. Such increases in visibility and liquidity could also help facilitate future financings.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our Common Stock were delisted from The Nasdaq Global Select Market, trading of our Common Stock would thereafter be conducted on the OTC Markets or the “pink sheets.” As a result, an investor may find it more difficult to dispose of, or to obtain accurate quotations as to the price of, our Common Stock. To relist shares of our Common Stock on The Nasdaq Global Select Market, we would be required to meet the initial listing requirements for The Nasdaq Global Select Market, which are more stringent than the maintenance requirements.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is seeking stockholder approval of the Nasdaq Service Proposal in order to have the authority to effectuate the financings with Financing Source A or Financing Source B.</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Failure to Obtain Stockholder Approval</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stockholders do not approve the Nasdaq Service Proposal, we will be unable to issue shares of Common Stock to Financing Source A or Financing Source B in an amount greater than 19.99% of the total number of shares of Common Stock outstanding immediately prior to the execution of either financing transaction. If this Nasdaq Service Proposal is not approved, it is unlikely we will have the requisite capital to pay off and terminate the Original Loan Agreement and Original ELOC, and the Company will therefore need to keep such financing arrangements in place.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Dilution and Potential Adverse Impact of this Proposal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issuance of the Commitment Shares and the full Commitment Amount of shares and warrants to either Financing Source A or Financing Source B will have a dilutive effect on our current stockholders in that the percentage ownership of the Company held by our current stockholders would decline as a result of the issuance of such additional shares of our Common Stock and warrants. As a result, our current stockholders would own a smaller proportionate interest in the Company and therefore have less ability to influence corporate decisions requiring stockholder approval. The issuance of shares of our Common Stock and warrants could also have a dilutive effect on our book value per share and on any future earnings per share, and the sale or any resale of such shares could cause prevailing market prices for our Common Stock to decline.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Dilutive Effect of Nasdaq Proposal A:</w:t>
      </w:r>
    </w:p>
    <w:p>
      <w:pPr>
        <w:spacing w:after="0" w:line="14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For illustrative purposes only, below is a table showing the maximum number of shares of Common Stock that may potentially be issued pursuant to the Commitment Shares, the Equity Line of Credit, the Financing Source A Note, and the Commitment Warrant, (1) assuming that (i) the entire $10,000,000 Commitment Amount is issued in shares of Common Stock, (ii) the entire $2,000,000 Commitment Warrant amount is exercised, and (iii) each of the issuance of the Commitment Shares, the VWAP Purchase Price, the Warrant Exercise Price and the Conversion Price are each set at $0.24 in Scenario A and $0.15 in Scenario B and (2) disregarding the volume and ownership limitations pursuant to the Equity Line of Credit.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Scenario 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Scenario B</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(Hypothetical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(Hypothetical</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$0.24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$0.15 Price)</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Shares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Commitment Amount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41,666,667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66,666,667</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Source A Note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11,979,167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19,166,667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 A Warrant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13,333,333</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62,604,167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100,166,667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Dilutive Effect of Nasdaq Service Proposal B:</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illustrative purposes only, below is a table showing the maximum number of shares of Common Stock that may potentially be issued pursuant to the Financing Source B Commitment Shares, the Equity Line of Credit and the Preferred Stock Purchase (assuming conversion of the preferred stock into shares of Common Stock), (1) assuming that (i) the entire $10,000,000 Financing Source B Commitment Amount is issued in shares of Common Stock and (ii) each of the issuance of the Financing Source B Commitment Shares, the VWAP Purchase Price and the Conversion Price are each set at $0.24 in Scenario A and $0.15 in Scenario B and (2) disregarding the volume and ownership limitations pursuant to the Equity Line of Credit.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Scenario 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Scenario B</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(Hypothetical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(Hypothetical</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$0.24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$0.15 Price)</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Source B Commitment Shares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 B Commitment Amount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41,666,667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66,666,667</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 Purchase</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41,666,667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66,666,667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 B Warrant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8,333,333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13,333,333</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92,291,667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147,666,667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the majority of the shares of stock present or represented (virtually or by proxy) at the Annual Meeting is necessary to approve the Nasdaq Service Proposal. You may vote “FOR,” “AGAINST,” or “ABSTAIN” on this proposal. Abstentions shall have the effect of a vote “AGAINST” the proposal and broker non-votes will have no effect on the outcome of this proposal.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NASDAQ CONVERSION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On December 4, 2025, the Company entered into a Loan Agreement (the “</w:t>
      </w:r>
      <w:r>
        <w:rPr>
          <w:rFonts w:ascii="Times New Roman" w:cs="Times New Roman" w:eastAsia="Times New Roman" w:hAnsi="Times New Roman"/>
          <w:sz w:val="18"/>
          <w:szCs w:val="18"/>
          <w:b w:val="1"/>
          <w:bCs w:val="1"/>
          <w:i w:val="1"/>
          <w:iCs w:val="1"/>
          <w:color w:val="auto"/>
        </w:rPr>
        <w:t>Original Loan Agreement</w:t>
      </w:r>
      <w:r>
        <w:rPr>
          <w:rFonts w:ascii="Times New Roman" w:cs="Times New Roman" w:eastAsia="Times New Roman" w:hAnsi="Times New Roman"/>
          <w:sz w:val="18"/>
          <w:szCs w:val="18"/>
          <w:color w:val="auto"/>
        </w:rPr>
        <w:t>”) with J.J. Astor &amp; Co., a Utah corporation (“</w:t>
      </w:r>
      <w:r>
        <w:rPr>
          <w:rFonts w:ascii="Times New Roman" w:cs="Times New Roman" w:eastAsia="Times New Roman" w:hAnsi="Times New Roman"/>
          <w:sz w:val="18"/>
          <w:szCs w:val="18"/>
          <w:b w:val="1"/>
          <w:bCs w:val="1"/>
          <w:i w:val="1"/>
          <w:iCs w:val="1"/>
          <w:color w:val="auto"/>
        </w:rPr>
        <w:t>J.J. Astor</w:t>
      </w:r>
      <w:r>
        <w:rPr>
          <w:rFonts w:ascii="Times New Roman" w:cs="Times New Roman" w:eastAsia="Times New Roman" w:hAnsi="Times New Roman"/>
          <w:sz w:val="18"/>
          <w:szCs w:val="18"/>
          <w:color w:val="auto"/>
        </w:rPr>
        <w:t>”), pursuant to which the Company may borrow up to $5,000,000 consisting of an Initial Loan of $2,000,000 and up to three additional tranches of $1,000,000 each. In connection with the Original Loan Agreement, the Company issued J.J. Astor a Senior Secured Convertible Note in the original principal amount of $2,600,000 (the “</w:t>
      </w:r>
      <w:r>
        <w:rPr>
          <w:rFonts w:ascii="Times New Roman" w:cs="Times New Roman" w:eastAsia="Times New Roman" w:hAnsi="Times New Roman"/>
          <w:sz w:val="18"/>
          <w:szCs w:val="18"/>
          <w:b w:val="1"/>
          <w:bCs w:val="1"/>
          <w:i w:val="1"/>
          <w:iCs w:val="1"/>
          <w:color w:val="auto"/>
        </w:rPr>
        <w:t>Initial Note</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Original Loan Agreement and related documents contain securities issuance provisions that, in certain circumstances, may result in the issuance of shares of Common Stock in excess of the 20% threshold under the applicable Nasdaq Listing Rules. Accordingly, in order to ensure compliance with Nasdaq Listing Rule 5635, the Company must obtain the approval of the Company’s stockholders for the issuance of shares of Common Stock if such issuance will exceed the 20% threshold under the applicable Nasdaq Rules.</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Board is seeking stockholder approval as required under Nasdaq Listing Rules 5635(b) and 5635(d), to potentially issue shares of our Common Stock to J.J. Astor in excess of 19.99% of our outstanding shares of Common Stock as of immediately prior to the execution of the Original Purchase Agreement, as more fully described below.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Agreements</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Original Loan Agreement</w:t>
      </w:r>
    </w:p>
    <w:p>
      <w:pPr>
        <w:spacing w:after="0" w:line="13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Original Loan Agreement, the Company borrowed an initial amount of $2,000,000, with a funding amount of $1,920,000 (representing 96% of the loan amount after deduction of an $80,000 origination fee). In connection with the loan, the Company issued the Initial Note in the original principal amount of $2,600,000. The Initial Note has a Final Maturity Date of November 30, 2026.</w:t>
      </w:r>
    </w:p>
    <w:p>
      <w:pPr>
        <w:spacing w:after="0" w:line="8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certain conditions, J.J. Astor may elect, in its sole discretion, to fund up to three additional loans of $1,000,000 each, in which case the Company would issue additional promissory notes in the original principal amount of $1,300,000 for each additional loan funded. The loans are secured by a senior first priority lien on all assets and properties of the Company and its subsidiary guarantors.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Senior Convertible Note</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Initial Note is a Senior Secured Convertible Note that, upon the occurrence and continuation of an Event of Default (as defined in the Initial Note), becomes convertible into shares of Common Stock. Upon an Event of Default, the Outstanding Principal Amount automatically increases to 110% of such amount (the “</w:t>
      </w:r>
      <w:r>
        <w:rPr>
          <w:rFonts w:ascii="Times New Roman" w:cs="Times New Roman" w:eastAsia="Times New Roman" w:hAnsi="Times New Roman"/>
          <w:sz w:val="18"/>
          <w:szCs w:val="18"/>
          <w:b w:val="1"/>
          <w:bCs w:val="1"/>
          <w:i w:val="1"/>
          <w:iCs w:val="1"/>
          <w:color w:val="auto"/>
        </w:rPr>
        <w:t>Default Amount</w:t>
      </w:r>
      <w:r>
        <w:rPr>
          <w:rFonts w:ascii="Times New Roman" w:cs="Times New Roman" w:eastAsia="Times New Roman" w:hAnsi="Times New Roman"/>
          <w:sz w:val="18"/>
          <w:szCs w:val="18"/>
          <w:color w:val="auto"/>
        </w:rPr>
        <w:t>”), plus accrued interest at the rate of 19% per annum, compounded monthly.</w:t>
      </w:r>
    </w:p>
    <w:p>
      <w:pPr>
        <w:spacing w:after="0" w:line="8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Lender elects to convert all or a portion of the Initial Note following an Event of Default, the conversion price shall be equal to 80% of the average of the four lowest volume weighted average prices of the shares of Common Stock over the twenty (20) trading days immediately prior to the date of the notice of conversion. The conversion feature is subject to certain conditions, including the effectiveness of a resale Registration Statement or the fulfillment of resale conditions under Rule 144 under the Securities Act.</w:t>
      </w:r>
    </w:p>
    <w:p>
      <w:pPr>
        <w:spacing w:after="0" w:line="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conversion feature contains a beneficial ownership limitation providing that the notes shall not be convertible to the extent that, after giving effect to the issuance of shares upon such conversion, the holder or any of its affiliates would beneficially own in excess of 4.99% of the outstanding shares of Common Stock.</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New Circle ELOC</w:t>
      </w:r>
    </w:p>
    <w:p>
      <w:pPr>
        <w:spacing w:after="0" w:line="142"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On July 18, 2023, the Company entered into a Share Purchase Agreement (the “</w:t>
      </w:r>
      <w:r>
        <w:rPr>
          <w:rFonts w:ascii="Times New Roman" w:cs="Times New Roman" w:eastAsia="Times New Roman" w:hAnsi="Times New Roman"/>
          <w:sz w:val="18"/>
          <w:szCs w:val="18"/>
          <w:b w:val="1"/>
          <w:bCs w:val="1"/>
          <w:i w:val="1"/>
          <w:iCs w:val="1"/>
          <w:color w:val="auto"/>
        </w:rPr>
        <w:t>Original ELOC</w:t>
      </w:r>
      <w:r>
        <w:rPr>
          <w:rFonts w:ascii="Times New Roman" w:cs="Times New Roman" w:eastAsia="Times New Roman" w:hAnsi="Times New Roman"/>
          <w:sz w:val="18"/>
          <w:szCs w:val="18"/>
          <w:color w:val="auto"/>
        </w:rPr>
        <w:t>”) with New Circle Principal Investments LLC, a Delaware limited liability company (“</w:t>
      </w:r>
      <w:r>
        <w:rPr>
          <w:rFonts w:ascii="Times New Roman" w:cs="Times New Roman" w:eastAsia="Times New Roman" w:hAnsi="Times New Roman"/>
          <w:sz w:val="18"/>
          <w:szCs w:val="18"/>
          <w:b w:val="1"/>
          <w:bCs w:val="1"/>
          <w:i w:val="1"/>
          <w:iCs w:val="1"/>
          <w:color w:val="auto"/>
        </w:rPr>
        <w:t>New Circle</w:t>
      </w:r>
      <w:r>
        <w:rPr>
          <w:rFonts w:ascii="Times New Roman" w:cs="Times New Roman" w:eastAsia="Times New Roman" w:hAnsi="Times New Roman"/>
          <w:sz w:val="18"/>
          <w:szCs w:val="18"/>
          <w:color w:val="auto"/>
        </w:rPr>
        <w:t>”), pursuant to which New Circle has committed to purchase, subject to certain limitations, up to $50 million in shares of the Company’s Common Stock. The Company may, at its sole option, direct New Circle to purchase shares from time to time and is under no obligation to sell any securities thereunder. Issuances of shares under the ELOC Agreement are subject to applicable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Nasdaq listing requirements, including a cap of 19.99% of the Company’s outstanding shares of Common Stock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unless the Company obtains stockholder approval or a minimum price exception applies. In addition, the ELOC Agreement provides for a 4.99% beneficial ownership limitation, which New Circle may elect to increase to 9.99% upon 61 days’ notice. New Circle has agreed not to engage in short sales or otherwise establish a net short position in the Company’s Common Stock during the term of the ELOC Agreement. The Company has also entered into a registration rights agreement with New Circle and filed a resale registration statement covering up to 5,524,624 shares; additional share registrations may be required to access the full $50 million capacity.</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Original Loan Agreement requires the Company to draw on the Original ELOC to pay monthly installment payments under the Initial Note. New Circle has agreed to remit 80% of all ELOC proceeds to</w:t>
      </w:r>
    </w:p>
    <w:p>
      <w:pPr>
        <w:jc w:val="both"/>
        <w:ind w:left="460" w:right="459" w:hanging="6"/>
        <w:spacing w:after="0" w:line="253" w:lineRule="auto"/>
        <w:tabs>
          <w:tab w:leader="none" w:pos="7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Astor with the remaining 20% to be remitted to the Company within three (3) business days following each draw on the ELOC. To the extent that the proceeds of the ELOC remitted to J.J. Astor are not sufficient to cover the then applicable minimum monthly payment due in any month, the Company shall be required to pay the balance of such amount to J.J. Astor on the last business day of such month.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Requirement to Seek Stockholder Approval</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Nasdaq Listing Rule 5635(d), shareholder approval is required prior to a 20% Issuance at a price that is less than the Minimum Price. For purposes of Nasdaq Listing Rule 5635(d), (i) “</w:t>
      </w:r>
      <w:r>
        <w:rPr>
          <w:rFonts w:ascii="Times New Roman" w:cs="Times New Roman" w:eastAsia="Times New Roman" w:hAnsi="Times New Roman"/>
          <w:sz w:val="18"/>
          <w:szCs w:val="18"/>
          <w:b w:val="1"/>
          <w:bCs w:val="1"/>
          <w:i w:val="1"/>
          <w:iCs w:val="1"/>
          <w:color w:val="auto"/>
        </w:rPr>
        <w:t>20% Issuance</w:t>
      </w:r>
      <w:r>
        <w:rPr>
          <w:rFonts w:ascii="Times New Roman" w:cs="Times New Roman" w:eastAsia="Times New Roman" w:hAnsi="Times New Roman"/>
          <w:sz w:val="18"/>
          <w:szCs w:val="18"/>
          <w:color w:val="auto"/>
        </w:rPr>
        <w:t>”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our shares of Common Stock or 20% or more of the voting power outstanding before the issuance, and (ii) “</w:t>
      </w:r>
      <w:r>
        <w:rPr>
          <w:rFonts w:ascii="Times New Roman" w:cs="Times New Roman" w:eastAsia="Times New Roman" w:hAnsi="Times New Roman"/>
          <w:sz w:val="18"/>
          <w:szCs w:val="18"/>
          <w:b w:val="1"/>
          <w:bCs w:val="1"/>
          <w:i w:val="1"/>
          <w:iCs w:val="1"/>
          <w:color w:val="auto"/>
        </w:rPr>
        <w:t>Minimum Price</w:t>
      </w:r>
      <w:r>
        <w:rPr>
          <w:rFonts w:ascii="Times New Roman" w:cs="Times New Roman" w:eastAsia="Times New Roman" w:hAnsi="Times New Roman"/>
          <w:sz w:val="18"/>
          <w:szCs w:val="18"/>
          <w:color w:val="auto"/>
        </w:rPr>
        <w:t>” means a price that is the lower of: (A) the closing price (as reflected on Nasdaq.com) immediately preceding the signing of the binding agreement; or (B) the average closing price of our Common Stock (as reflected on Nasdaq.com) for the five trading days immediately preceding the signing of the binding agreement. Stockholder approval of this proposal will constitute shareholder approval for purposes of Nasdaq Listing Rule 5635(d).</w:t>
      </w:r>
    </w:p>
    <w:p>
      <w:pPr>
        <w:spacing w:after="0" w:line="11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Additionally, Nasdaq Listing Rule 5635(b) requires stockholder approval prior to an issuance of securities that will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 Nasdaq Service Proposal is not approved, or if the Company is otherwise unable to service the Original Loan Agreement, then the Company may be required to take out additional loans pursuant to the Original Loan Agreement and issue additional shares to J.J. Astor under the Original Loan Agreement. The potential issuance of shares of Common Stock pursuant to the Original Loan Agreement may exceed the 20% threshold under the applicable Nasdaq Listing Rules if an Event of Default occurs and J.J. Astor elects to convert the Initial Note, the number of conversion shares issuable could be substantial given that the conversion price is set at 80% of the average of the four lowest VWAPs over the preceding 20 trading days, which may be significantly below the Minimum Price. Accordingly, without approval of the Nasdaq Conversion Proposal, the Company may be in violation of Nasdaq Listing Rules 5635(b) and 5635(d) upon such conversion.</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no event may the Company issue shares of Common Stock pursuant to the conversion of the Initial Note or any additional issued notes if such issuance would cause the aggregate number of shares of Common Stock issued pursuant to the Original Loan Agreement to exceed 19.99% of the shares of Common Stock issued and outstanding immediately prior to the execution of the Loan Agreement (the “</w:t>
      </w:r>
      <w:r>
        <w:rPr>
          <w:rFonts w:ascii="Times New Roman" w:cs="Times New Roman" w:eastAsia="Times New Roman" w:hAnsi="Times New Roman"/>
          <w:sz w:val="18"/>
          <w:szCs w:val="18"/>
          <w:b w:val="1"/>
          <w:bCs w:val="1"/>
          <w:i w:val="1"/>
          <w:iCs w:val="1"/>
          <w:color w:val="auto"/>
        </w:rPr>
        <w:t>Exchange Cap</w:t>
      </w:r>
      <w:r>
        <w:rPr>
          <w:rFonts w:ascii="Times New Roman" w:cs="Times New Roman" w:eastAsia="Times New Roman" w:hAnsi="Times New Roman"/>
          <w:sz w:val="18"/>
          <w:szCs w:val="18"/>
          <w:color w:val="auto"/>
        </w:rPr>
        <w:t>”), unless stockholder approval is obtained.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Stockholder Approval</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this proposal is approved, existing stockholders will suffer dilution in ownership interests and voting rights as a result of the issuance of shares of Common Stock pursuant to the conversion of the Initial Note or any additional notes upon an Event of Default.</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Because the conversion price of the Initial Note or any additional notes upon an Event of Default may be adjusted, and because conversion may occur at a floating discount to market price, the number of shares that may actually be issued could be significantly higher than as of the date of this Proxy Statement. The sale into the public market of these shares could also materially and adversely affect the market price of our Common Stock.</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described above does not give effect to (i) the future issuance of shares upon conversion of any notes, (ii) the future issuance of shares upon the exercise of outstanding options or warrants, or (iii) any other potential future issuances of Common Stock, including any shares issued in connection with the implementation of any potential Reverse Stock Split as contemplated in the Reverse Split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Failure to Obtain Stockholder Approval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stockholder approval of this proposal is not obtained, we will be unable to issue any shares of Common Stock pursuant a potential conversion of the Initial Note in an amount greater than 19.99% of the total number of shares of Common Stock outstanding immediately prior to the execution of the Original Loan Agreement if such issuances are, in the aggregate, at an average price less than the Minimum Price.</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has entered into binding commitments under the Original Loan Agreement that require the issuance of securities to J.J. Astor. Failure to obtain stockholder approval may impact the Company’s ability to fully perform its obligations under the Original Loan Agreement and related documents.</w:t>
      </w:r>
    </w:p>
    <w:p>
      <w:pPr>
        <w:spacing w:after="0" w:line="9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are unable to issue shares pursuant to the Initial Note or any additional notes, we may be required to seek alternative arrangements with J.J. Astor or alternative sources of financing, which may not be available on advantageous terms, or at all, and which may result in the incurrence of additional transaction expenses. Our ability to successfully implement our business plans and ultimately generate value for our stockholders is dependent upon our ability to satisfy our ongoing business needs.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if the Registration Rights Agreement is triggered due to an Event of Default and the Company is required to register shares for resale, limitations on the issuance of such shares due to the absence of stockholder approval could result in the Company’s failure to satisfy its registration obligations and potentially trigger liquidated damages provisions under the Registration Rights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Dilution and Potential Adverse Impact of this Proposal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issuance of shares of Common Stock pursuant a potential conversion of the Initial Note will have a dilutive effect on our current stockholders in that the percentage ownership of the Company held by our current stockholders would decline as a result of the issuance of such additional shares of our Common Stock. As a result, our current stockholders would own a smaller proportionate interest in the Company and therefore have less ability to influence corporate decisions requiring stockholder approval. The issuance of shares of our Common Stock could also have a dilutive effect on our book value per share and on any future earnings per share, and the sale or any resale of such shares could cause prevailing market prices for our Common Stock to decline.</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illustrative purposes only, below is a table showing the number of shares of Common Stock that may potentially be issued pursuant to a potential conversion of the Initial Note.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Scenario 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Scenario B</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(Hypothetical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(Hypothetical</w:t>
            </w:r>
          </w:p>
        </w:tc>
      </w:tr>
      <w:tr>
        <w:trPr>
          <w:trHeight w:val="203"/>
        </w:trPr>
        <w:tc>
          <w:tcPr>
            <w:tcW w:w="5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$0.15</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56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6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Note ($1,943,351 remaining principal and interest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12,955,674</w:t>
            </w:r>
          </w:p>
        </w:tc>
      </w:tr>
      <w:tr>
        <w:trPr>
          <w:trHeight w:val="36"/>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the majority of the shares of stock present or represented (virtually or by proxy) at the Annual Meeting is necessary to approve the Nasdaq Proposal. You may vote “FOR,” “AGAINST,” or “ABSTAIN” on this proposal. Abstentions shall have the effect of a vote “AGAINST” the proposal and broker non-votes will have no effect on the outcome of this proposal.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CONVERSION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NASDAQ 20%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Board is seeking stockholder approval of the potential issuance of shares of our Common Stock, including shares of Common Stock issuable upon conversion or exercise of convertible preferred stock, warrants or other rights to purchase or acquire Common Stock, and convertible notes or other securities convertible into, or exercisable or exchangeable for, our Common Stock in one or more potential non-public transactions, including transactions involving the exchange of trade debt for any such securities, in an aggregate offering amount of up to $10,000,000. The Common Stock and/or any other securities that may be issued together with the Common Stock or in lieu of the Common Stock issuable pursuant to such non-public transactions may be issued at a discounted price not to exceed 20% below the lower of the Minimum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notwithstanding the initial discount, the securities issued may contain adjustments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or exercise price of such security, which such adjustment may be triggered and/or the number of securities issuable upon conversion or exercise of such security based on time elapsed following closing of the offering or following any dilutive issuances, provided further that any adjustment to the conversion price or exercise price of such security will be subject to a floor price that is no less than 20% of the Minimum Price or such other price as may be accepted in accordance with Nasdaq Listing Rules (the “</w:t>
      </w:r>
      <w:r>
        <w:rPr>
          <w:rFonts w:ascii="Times New Roman" w:cs="Times New Roman" w:eastAsia="Times New Roman" w:hAnsi="Times New Roman"/>
          <w:sz w:val="18"/>
          <w:szCs w:val="18"/>
          <w:b w:val="1"/>
          <w:bCs w:val="1"/>
          <w:i w:val="1"/>
          <w:iCs w:val="1"/>
          <w:color w:val="auto"/>
        </w:rPr>
        <w:t>Floor Price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Additionally, the Company may also include in any warrants issued in such offering a zero cash exercise provision which will permit a warrant holder to exchange such warrant without the payment of cash for a number of shares of Common Stock in excess of the number of shares into which the warrant is then exercisable into.</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and regardless of the type of securities issued in such offering, the maximum number of shares of our Common Stock that may be issued if this proposal is approved is 100,000,000 shares, if such shares are issued prior to the implementation of any potential Reverse Stock Split as contemplated in the Reverse Split Proposal, subject to such additional shares of our Common Stock that may be issued if the Floor Price is adjusted as provided above, to the extent permitted in accordance with Nasdaq Listing Rule 5635(d).</w:t>
      </w:r>
    </w:p>
    <w:p>
      <w:pPr>
        <w:spacing w:after="0" w:line="10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above described potential non-public offering transactions must be consummated within three (3) months from the date of stockholder approval.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such securities could be issued at a discount to the prevailing market price of our common stock and, depending on market conditions, may be below the “Minimum Price” as defined in Nasdaq Listing Rule 5635(d). The exact terms, including price, conversion or exercise features, maturity, interest or dividend provisions, and anti-dilution protections, will be negotiated with investors at the time of any transaction.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Specific Transactions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Company has not entered into any definitive agreement to issue securities pursuant to this Nasdaq 20% Proposal, and no specific financing transaction is currently pending.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Stockholder Approval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Approval of this Nasdaq 20% Proposal authorizes the Company to issue securities in one or more non-public financing transactions exceeding the 19.99% threshold under Nasdaq Listing Rule 5635(d), including at a price that may be below the “Minimum Price,” and solely for financing purposes, without further stockholder approval, provided such issuances fall within the parameters described herein. This authorization does not extend to transactions that would result in a change of control under Nasdaq Rules or to acquisitions or mergers involving the issuance of our securities. If a future transaction were to involve a change of control, exceed the 19.99% threshold in a manner not contemplated by this authorization, or otherwise fall outside of these parameters, or involve a change of control under Nasdaq Rules, we would be required to seek additional stockholder approval in accordance with Nasdaq Listing Rule 5635.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Transaction and Effect on Current Stockholders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Company enters into a non-public offering transaction as described herein without approval of the Nasdaq 20% Proposal, the Company may be in violation of Nasdaq Listing Rule 5635(d), which prohibits us from issuing in a private offering more than 20% of our outstanding Common Stock price that is below the Minimum Price set forth in such rule without previously obtaining shareholder approval, and in violation of Nasdaq Listing Rule 5635(b).</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has determined that this Nasdaq 20% Proposal is in the best interests of the Company. The Company plans to use the proceeds from any transaction entered into pursuant to this Nasdaq 20% Proposal</w:t>
      </w:r>
    </w:p>
    <w:p>
      <w:pPr>
        <w:jc w:val="both"/>
        <w:ind w:left="460" w:right="459" w:hanging="6"/>
        <w:spacing w:after="0" w:line="255"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off the Senior Convertible Note with J.J. Astor, and (ii) for capital needed for operations, or issue securities in connection with the settlement of outstanding liabilities or other indebtedness, without the need to conduct a public offering, which would involve significant delay and expense, if feasible at all.</w:t>
      </w:r>
    </w:p>
    <w:p>
      <w:pPr>
        <w:spacing w:after="0" w:line="11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Nasdaq 20% Proposal does not obligate the Company to consummate any specific transaction. Any transaction completed under this authority will be subject to the Board’s determination that such transaction is in the best interests of the Company and its stockholders.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using proceeds from any such financing for general working capital, repayment or refinancing of indebtedness, funding of software development initiatives.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issuance of additional shares of common stock, or securities convertible into or exercisable for common stock, could substantially dilute the ownership interests and voting power of existing stockholders. Such issuances may also adversely affect the market price of our Common Stock and create downward pressure if securities are issued at a discount. Convertible or derivative securities may introduce volatility and could result in substantial additional dilution if our stock price declines.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Failure to Obtain Stockholder Approval</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stockholders do not approve this Nasdaq 20% Proposal, it is possible that we would be unable to obtain sufficient financing to fund our operations, implement our business strategy and enhance our overall capitalization. As a result, we would need to seek alternative sources of financing, where stockholder approval is not required, in order to obtain the necessary funds. Any such alternative sources of financing may not be available to us or may not be available on commercially reasonable terms.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the majority of the shares of stock present or represented (virtually or by proxy) at the Annual Meeting is necessary to approve the Nasdaq Proposal. You may vote “FOR,” “AGAINST,” or “ABSTAIN” on this proposal. Abstentions shall have the effect of a vote “AGAINST” the proposal and broker non-votes will have no effect on the outcome of this proposal.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A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20%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INCENTIVE PLAN AMENDMENT PROPOSAL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We are Requesting Stockholder Approval</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asking our stockholders to approve an amendment (the “</w:t>
      </w:r>
      <w:r>
        <w:rPr>
          <w:rFonts w:ascii="Times New Roman" w:cs="Times New Roman" w:eastAsia="Times New Roman" w:hAnsi="Times New Roman"/>
          <w:sz w:val="18"/>
          <w:szCs w:val="18"/>
          <w:b w:val="1"/>
          <w:bCs w:val="1"/>
          <w:i w:val="1"/>
          <w:iCs w:val="1"/>
          <w:color w:val="auto"/>
        </w:rPr>
        <w:t>Incentive Plan Amendment</w:t>
      </w:r>
      <w:r>
        <w:rPr>
          <w:rFonts w:ascii="Times New Roman" w:cs="Times New Roman" w:eastAsia="Times New Roman" w:hAnsi="Times New Roman"/>
          <w:sz w:val="18"/>
          <w:szCs w:val="18"/>
          <w:color w:val="auto"/>
        </w:rPr>
        <w:t>”) to the CID HoldCo, Inc. 2024 Equity Incentive Plan (the “</w:t>
      </w:r>
      <w:r>
        <w:rPr>
          <w:rFonts w:ascii="Times New Roman" w:cs="Times New Roman" w:eastAsia="Times New Roman" w:hAnsi="Times New Roman"/>
          <w:sz w:val="18"/>
          <w:szCs w:val="18"/>
          <w:b w:val="1"/>
          <w:bCs w:val="1"/>
          <w:i w:val="1"/>
          <w:iCs w:val="1"/>
          <w:color w:val="auto"/>
        </w:rPr>
        <w:t>Current Plan</w:t>
      </w:r>
      <w:r>
        <w:rPr>
          <w:rFonts w:ascii="Times New Roman" w:cs="Times New Roman" w:eastAsia="Times New Roman" w:hAnsi="Times New Roman"/>
          <w:sz w:val="18"/>
          <w:szCs w:val="18"/>
          <w:color w:val="auto"/>
        </w:rPr>
        <w:t>”). The Incentive Plan Amendment amends the Current Plan to increase the number of shares available for the issuance of awards, and the number of shares that may be issued subject to “incentive stock options” (as described below), under the Current Plan. We refer to the Current Plan, as amended by the Incentive Plan Amendment, as the “Amended Plan.” Our Board believes that our success depends, in large part, on our ability to maintain a competitive position by attracting, retaining and motivating key employees with experience and ability. Central to these objectives is our equity-based compensation program, which is consistent with our compensation philosophy and the compensatory practices of other artificial intelligence companies in our peer group and other companies that we compete with for talent. We and our Board understand that our equity-compensation needs must be balanced against the dilutive effect of such programs on our stockholders. To that end, and based on careful weighing of these considerations, upon the recommendation of our Compensation Committee, and subject to stockholder approval, our Board adopted the Incentive Plan Amendment. If this proposal is approved by our stockholders, we intend to register the additional shares reserved for issuance under the Amended Plan by filing a Registration Statement on Form S-8 as soon as practicable following such approval.</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Current Plan is our existing equity incentive plan, which was originally adopted by the Board on June 18, 2025. The Current Plan provides that the initial total number of shares of Common Stock authorized for issuance thereunder is 2,032,521 shares. The Current Plan includes an evergreen feature providing for an annual automatic increase, with the first increase on January 1, 2026, in the number of shares authorized for issuance thereunder by a number of shares equal to the lesser of (a) 10% of the number of shares outstanding on the conclusion of the immediately preceding fiscal year, or (b) such amount, if any, as the Board may determine. With the most recent evergreen increase that occurred on January 1, 2026, the Current Plan currently has 4,959,853 shares authorized for issuance thereunder. The proposed Incentive Plan Amendment seeks to increase the total number of shares authorized for issuance under the Current Plan by 15,000,000 shares of Common Stock, to an aggregate of 19,959,853 shares such that the share reserve consists of a total of 29,293,322 shares of Common Stock. No other changes are being made to the Current Plan. If approved, the new shares reserved under the Amended Plan (including the share increase pursuant to the January 1, 2026 annual evergreen increase) would represent approximately 68.14% of our 29,293,322 outstanding shares as of March 6, 2026. Our Board believes the proposed dilution to stockholders as a result of the amendment is judicious and sustainable and, importantly, critical to meet our business goals.</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developing our share request for the Incentive Plan Amendment and analyzing the impact of utilizing equity as a means of compensation on our stockholders, we considered both our “overhang” and our “burn rate.”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March 6, 2026, there were 1,861,806 shares underlying all equity awards outstanding, 4,959,853 shares available under the Current Plan for future awards, and 29,293,322 shares of Common Stock outstanding. Accordingly, our overhang at March 6, 2026 was 23.29%. If the 15,000,000 shares proposed to be authorized for grant under the Incentive Plan Amendment are included in the calculation, our overhang on March 6, 2026 would have been 74.49%.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2025, 2024 and 2023 calendar years, as well as an average over those years.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Basic Weighted</w:t>
            </w: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Full Value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(RSUs)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Gross Burn</w:t>
            </w: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r>
      <w:tr>
        <w:trPr>
          <w:trHeight w:val="259"/>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Calendar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2"/>
                <w:szCs w:val="22"/>
                <w:color w:val="auto"/>
              </w:rPr>
            </w:pPr>
          </w:p>
        </w:tc>
        <w:tc>
          <w:tcPr>
            <w:tcW w:w="9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1280" w:type="dxa"/>
            <w:vAlign w:val="bottom"/>
          </w:tcPr>
          <w:p>
            <w:pPr>
              <w:jc w:val="center"/>
              <w:spacing w:after="0" w:line="259" w:lineRule="exact"/>
              <w:rPr>
                <w:sz w:val="20"/>
                <w:szCs w:val="20"/>
                <w:color w:val="auto"/>
              </w:rPr>
            </w:pPr>
            <w:r>
              <w:rPr>
                <w:rFonts w:ascii="Times New Roman" w:cs="Times New Roman" w:eastAsia="Times New Roman" w:hAnsi="Times New Roman"/>
                <w:sz w:val="30"/>
                <w:szCs w:val="30"/>
                <w:b w:val="1"/>
                <w:bCs w:val="1"/>
                <w:color w:val="auto"/>
                <w:w w:val="85"/>
                <w:vertAlign w:val="subscript"/>
              </w:rPr>
              <w:t>%</w:t>
            </w:r>
            <w:r>
              <w:rPr>
                <w:rFonts w:ascii="Times New Roman" w:cs="Times New Roman" w:eastAsia="Times New Roman" w:hAnsi="Times New Roman"/>
                <w:sz w:val="9"/>
                <w:szCs w:val="9"/>
                <w:b w:val="1"/>
                <w:bCs w:val="1"/>
                <w:color w:val="auto"/>
                <w:w w:val="85"/>
              </w:rPr>
              <w:t>(1)</w:t>
            </w:r>
          </w:p>
        </w:tc>
      </w:tr>
      <w:tr>
        <w:trPr>
          <w:trHeight w:val="243"/>
        </w:trPr>
        <w:tc>
          <w:tcPr>
            <w:tcW w:w="1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20,579,971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7,049</w:t>
            </w:r>
          </w:p>
        </w:tc>
        <w:tc>
          <w:tcPr>
            <w:tcW w:w="9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12,124,303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84"/>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450,000</w:t>
            </w:r>
          </w:p>
        </w:tc>
        <w:tc>
          <w:tcPr>
            <w:tcW w:w="94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12,208,851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Three-Year Average</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152,350</w:t>
            </w:r>
          </w:p>
        </w:tc>
        <w:tc>
          <w:tcPr>
            <w:tcW w:w="94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152,350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14,971,042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2"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awards granted by SEE ID that were assumed by the Company and converted into awards with respect to shares of CID Holdco common stock in connection with the Business Combination.</w:t>
      </w:r>
    </w:p>
    <w:p>
      <w:pPr>
        <w:spacing w:after="0" w:line="8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intend to utilize the Amended Plan as we have utilized the Current Plan: specifically, to grant equity awards to our employees, non-employee directors, consultants, and advisors in order to attract, incentivize, retain and reward those who are critical to our success. The Compensation Committee determined the requested number of shares for the Amended Plan based on our projections for new-hire equity awards, annual equity awards to our employees and non-employee directors, employee retention and promotion awards, as well as an assessment of the magnitude of the share reserve under the Amended Plan that our stockholders would likely find acceptable. If our stockholders approve the Incentive Plan Amendment, subject to adjustment in the event of stock splits and other similar events, awards may be made under the Amended Plan for up to 19,959,853 shares of Common Stock, which is the sum of: (i) 17,032,521 shares of Common Stock; and (ii) 2,927,332 shares of Common Stock that were added on January 1, 2026 pursuant to the terms of evergreen increase under the Current Plan. In addition, the Amended Plan includes an evergreen feature providing for an annual automatic increasing in the number of shares authorized for issuance thereunder by a number of shares equal to the lesser of (a) 10% of the number of shares outstanding on the conclusion of the immediately preceding fiscal year, or (b) such amount, if any, as the Board may determine, with the next increase scheduled for January 1, 2027. Subject to adjustment in the event of a stock split, stock dividend and other similar events, no more than 6,097,563 shares of Common Stock may be issued under incentive stock options pursuant to the Amended Plan. The Amended Plan includes several features that are consistent with protecting the interests of our stockholders and sound corporate governance practices, as described below.</w:t>
      </w:r>
    </w:p>
    <w:p>
      <w:pPr>
        <w:spacing w:after="0" w:line="9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includes information, as of March 6, 2026 regarding all of our outstanding equity awards under all of our equity-based compensation plans and arrangements under which shares of Common Stock may be issued. This includes shares subject to outstanding awards under the Current Plan and our 2021 Equity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and up to 4,959,853 shares that remain available for the grant of new awards under the Current Plan as of March 6, 2026.</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outstanding stock options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0.1095</w:t>
            </w:r>
          </w:p>
        </w:tc>
      </w:tr>
      <w:tr>
        <w:trPr>
          <w:trHeight w:val="41"/>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 of outstanding stock options (years)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the grant of new awards under the Current Plan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4,959,853</w:t>
            </w:r>
          </w:p>
        </w:tc>
      </w:tr>
      <w:tr>
        <w:trPr>
          <w:trHeight w:val="41"/>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shares requested for approval pursuant to the Incentive Plan Amendment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total number of shares available for the grant of new awards under all equity-based</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plans, assuming stockholder approval of the Incentive Plan Amendment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19,959,853</w:t>
            </w:r>
          </w:p>
        </w:tc>
      </w:tr>
      <w:tr>
        <w:trPr>
          <w:trHeight w:val="41"/>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29,293,322</w:t>
            </w:r>
          </w:p>
        </w:tc>
      </w:tr>
      <w:tr>
        <w:trPr>
          <w:trHeight w:val="40"/>
        </w:trPr>
        <w:tc>
          <w:tcPr>
            <w:tcW w:w="68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expect that the proposed share pool under the Amended Plan will allow us to continue to grant equity awards at our historic rates for approximately one year, but the actual duration of the share pool may vary based on changes in participation, the Company’s stock price and market practice.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Why Stockholders Should Approve the 2026 Plan Amendment</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Attracts, Incentivizes, Retains and Motivates Talent</w:t>
      </w:r>
      <w:r>
        <w:rPr>
          <w:rFonts w:ascii="Times New Roman" w:cs="Times New Roman" w:eastAsia="Times New Roman" w:hAnsi="Times New Roman"/>
          <w:sz w:val="18"/>
          <w:szCs w:val="18"/>
          <w:color w:val="auto"/>
        </w:rPr>
        <w:t>. It is critical to our success that we attract,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incentivize, retain and motivate the best talent in what is a tremendously competitive labor market. Our equity-based compensation program has always been and will continue to be a key component in our ability to pay market-competitive compensation to our employees.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Aligns with Our Pay-for-Performance Compensation Philosophy</w:t>
      </w:r>
      <w:r>
        <w:rPr>
          <w:rFonts w:ascii="Times New Roman" w:cs="Times New Roman" w:eastAsia="Times New Roman" w:hAnsi="Times New Roman"/>
          <w:sz w:val="18"/>
          <w:szCs w:val="18"/>
          <w:color w:val="auto"/>
        </w:rPr>
        <w:t>. We believe that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RSUs.</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Aligns Employee and Director Interests with Stockholder Interests</w:t>
      </w:r>
      <w:r>
        <w:rPr>
          <w:rFonts w:ascii="Times New Roman" w:cs="Times New Roman" w:eastAsia="Times New Roman" w:hAnsi="Times New Roman"/>
          <w:sz w:val="18"/>
          <w:szCs w:val="18"/>
          <w:color w:val="auto"/>
        </w:rPr>
        <w:t>. Providing our employees and non-employee directors with compensation in the form of equity directly aligns the interests of those employees and non-employee directors with the interests of our stockholders. If the Incentive Plan Amendment is approved by our stockholders, we will be able to continue granting equity-based incentives that foster this alignment between our employees and non-employee directors and our stockholders.</w:t>
      </w:r>
    </w:p>
    <w:p>
      <w:pPr>
        <w:spacing w:after="0" w:line="10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Consistent with Stockholder Interests and Sound Corporate Governance</w:t>
      </w:r>
      <w:r>
        <w:rPr>
          <w:rFonts w:ascii="Times New Roman" w:cs="Times New Roman" w:eastAsia="Times New Roman" w:hAnsi="Times New Roman"/>
          <w:sz w:val="18"/>
          <w:szCs w:val="18"/>
          <w:color w:val="auto"/>
        </w:rPr>
        <w:t>. As described more thoroughly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the Amended Plan was purposefully designed to include features that are consistent with the interests of our stockholders and sound corporate governance practices.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Amended Plan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a brief summary of the Amended Plan, a copy of which is attached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Proxy Statement. Please note that the following summary describes the Amended Plan as it is proposed to be amended by the Incentive Plan Amendment, as opposed to the Current Plan. As noted above, the Incentive Plan Amendment amends the Current Plan solely to increase the number of shares available for the issuance of awards, and the number of shares that may be issued subject to incentive stock options.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Amended Plan provides for the grant of incentive stock options intended to qualify under Section 422 of the Code, nonstatutory stock options, stock appreciation rights (SARs), restricted stock, restricted stock units (RSUs), other stock-based awards, and cash awards as described below, which we refer to, collectively, as awards or Awards.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adjustment in the event of stock splits, stock dividends and other similar events, awards may be made under the Amended Plan for up to a number of shares of Common Stock equal to 19,959,853 shares of Common Stock, which is the sum of: (i) 17,032,521 shares of Common Stock; and (ii) 2,927,332 shares of Common Stock that were added on January 1, 2026 pursuant to the terms of evergreen increase under the Current Plan. In addition, the Amended Plan includes an evergreen feature providing for an annual automatic increasing in the number of shares authorized for issuance thereunder by a number of shares equal to the lesser of (a) 10% of the number of shares outstanding on the conclusion of the immediately preceding fiscal year, or</w:t>
      </w:r>
    </w:p>
    <w:p>
      <w:pPr>
        <w:spacing w:after="0" w:line="3" w:lineRule="exact"/>
        <w:rPr>
          <w:sz w:val="20"/>
          <w:szCs w:val="20"/>
          <w:color w:val="auto"/>
        </w:rPr>
      </w:pPr>
    </w:p>
    <w:p>
      <w:pPr>
        <w:jc w:val="both"/>
        <w:ind w:left="460" w:right="459" w:hanging="6"/>
        <w:spacing w:after="0" w:line="253" w:lineRule="auto"/>
        <w:tabs>
          <w:tab w:leader="none" w:pos="7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if any, as the Board may determine, with the next increase scheduled for January 1, 2027. Subject to adjustment in the event of a stock split, stock dividend and other similar events, no more than 6,097,563 shares of Common Stock may be issued under incentive stock options pursuant to the Amended Plan. Shares of Common Stock issued under the Amended Plan may consist in whole or in part of authorized but unissued shares or treasury shares.</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Amended Plan provides that the maximum aggregate amount of cash and value of awards (calculated based on grant date fair value for financial reporting purposes) granted to any individual non-employee director in any calendar year may not exceed $1,000,000 in the case of an incumbent director. However, such maximum aggregate amount shall not exceed $2,000,000 in any calendar year for any individual non-employee director in such non-employee director’s initial year of election or appointment. Moreover, fees paid by the Company on behalf of any non-employee director in connection with cash retainers converted into equity awards and any amounts paid to a non-employee director as reimbursement of an expense will not count against this limit.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Shares covered by awards under the Amended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Amended Plan (subject, in the case of incentive stock options, to any limitations under the Code). Upon payment in shares of stock pursuant to the exercise of an SAR, the number of shares available for issuance under the Amended Plan shall be reduced by the net number of shares for which the SAR is exercised. If the exercise price of an option is paid by tender to the Company, or attestation to the ownership, of shares of stock owned by the participant, or by means of a net exercise, the number of shares available for issuance under the Amended Plan will be reduced only by the net number of shares for which the option is exercised. Shares withheld or reacquired by the Company in satisfaction of tax withholding obligations pursuant to the exercise or settlement of options or SARs, and shares withheld or reacquired by the Company in satisfaction of tax withholding obligations pursuant to the vesting or settlement of awards will again become available for issuance under the Plan.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participant who is awarded a stock option receives the right to purchase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at a specified exercise price and subject to the 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Amended Plan, stock options may not be granted for a term in excess of ten (10) years (and, under present law, five (5) years in the case of incentive stock options granted to participants who hold greater than 10% of the total combined voting power of all classes of our stock or any of our subsidiaries).</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Amended Plan permits participants to pay the exercise price of stock options using one or more of the following manners of payment: (i) payment by cash or by check, (ii) if permitted by the Compensation Committee, by means of (1) a cashless exercise, (2) a stock tender exercise or (3) a net exercise; (iii) by such other consideration as may be approved by the Compensation Committee from time to time to the extent permitted by applicable law, or (iv) if permitted by the Compensation Committee, by any combination thereof. No stock options granted under the Amended Plan may provide for the payment or accrual of dividend equivalents.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lifetime of the participant, stock options are exercisable only by the participant or the participant’s guardian or legal representative. Participants are not permitted to subject their options to any anticipation, alienation, sale, exchange, transfer, assignment, pledge, encumbrance, or garnishment by creditors of the participant or the participant’s beneficiary, except transfer by will or by the laws of descent and distribution. The Compensation Committee, in its sole discretion, may make an option assignable or transferable by setting forth the terms in the applicable award agreement evidencing such option.</w:t>
      </w:r>
    </w:p>
    <w:p>
      <w:pPr>
        <w:spacing w:after="0" w:line="11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participant who is awarded a SAR receives, upon exercise,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or cash (or a combination of shares of our common stock and cash) determined by reference to appreciation, from and after the date of grant, in the fair market value of a share of our Common Stock over the measurement price. The Amended Plan provides that the measurement price of a SAR may not be less than 100% of the fair market value of our Common Stock on the date the SAR is granted (provided, however, that if our Board approves the grant of a SAR effective as of a future date, the measurement price shall not be less than 100% of the fair market value on such future date) and that SARs may not be granted with a term in excess of 10 years. No SARs granted under the Amended Plan may contain a provision entitling the participant to the automatic grant of additional SARs in connection with any exercise of the original SAR. No SARs granted under the Amended Plan may provide for the payment or accrual of dividend equivalents.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the Compensation Committee provides otherwise, SARs are not subject in any manner to anticipation, alienation, sale, exchange, transfer, assignment, pledge, encumbrance, or garnishment by creditors of the participant or the participant’s beneficiary, except transfer by will or by the laws of descent and distribution.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Limitation on Repricing of Stock Options or SARs. </w:t>
      </w:r>
      <w:r>
        <w:rPr>
          <w:rFonts w:ascii="Times New Roman" w:cs="Times New Roman" w:eastAsia="Times New Roman" w:hAnsi="Times New Roman"/>
          <w:sz w:val="18"/>
          <w:szCs w:val="18"/>
          <w:color w:val="auto"/>
        </w:rPr>
        <w:t>Unless such action is approved by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otherwise permitted under the terms of the Amended Plan in connection with certain changes in capitalization and reorganization events, we may not (i) amend any outstanding stock option or SAR granted under the Amended Plan to provide an exercise price or measurement price per share that is lower than the then-current exercise price or measurement price per share of such outstanding stock option or SAR, (ii) cancel any outstanding stock option or SAR (whether or not granted under the Amended Plan) and grant in substitution therefor new awards under the Amended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or (iii) cancel in exchange for a cash payment any outstanding stock option or SAR with an exercise price or measurement price per share above the then-current fair market value of our common stock.</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who is granted a restricted stock award is entitled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subject to our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 Rights to acquire shares of stock pursuant to a restricted stock award are not subject in any manner to anticipation, alienation, sale, exchange, transfer, assignment, pledge, encumbrance or garnishment by creditors of the Participant or the Participant’s beneficiary, except transfer by will or the laws of descent and distribution.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A participant who is granted an RSU award is entitled to receive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cash equal to the fair 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Our Board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 No interest will be paid on dividend equivalents. The right to receive shares pursuant to a RSU award are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10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Under the Amended Plan, our Board may grant other awards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and other awards that are valued in whole or in part by reference to, or are otherwise based on, shares of our Common Stock or other property, having such terms and conditions as our Board may determine. We refer to these types of awards as other stock-based awards. Other stock-based awards may be available as a form of payment in settlement of other awards granted under the Amended Plan or as payment in lieu of compensation to which a participant is otherwise entitled. Other stock-based awards may be paid in shares of our Common Stock or in cash, as our Board may determine. The award agreement of another stock-based award may provide the participant who receives such award with the right to receive dividend equivalents. Dividend equivalents may be settled in cash and/or shares of our Common Stock and will be subject to the same restrictions on transfer and forfeitability as the other stock-based award with respect to which they are awarded. No interest will be paid on dividend equivalents. Prior to the payment or settlement of an other stock-based award, the award will not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11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Amended Plan, our Board has the right to grant cash-based awards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subject to performance conditions. Prior to the payment or settlement of a cash-based award, the award will not subject in any manner to anticipation, alienation, sale, exchange, transfer, assignment, pledge, encumbrance, or garnishment by creditors of the participant or the participant’s beneficiary, except transfer by will or by the laws of descent and distribution.</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Performance Conditions. </w:t>
      </w:r>
      <w:r>
        <w:rPr>
          <w:rFonts w:ascii="Times New Roman" w:cs="Times New Roman" w:eastAsia="Times New Roman" w:hAnsi="Times New Roman"/>
          <w:sz w:val="18"/>
          <w:szCs w:val="18"/>
          <w:color w:val="auto"/>
        </w:rPr>
        <w:t>The Compensation Committee may choose to grant awards based on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measures based on objective criteria shall be calculated in accordance with the Company’s financial statements, or, if such measures are not reported in the Company’s financial statements, calculated in accordance with generally accepted accounting principles, or in accordance with a methodology established by the Compensation Committee prior to the grant of the award. Unless otherwise determined by the Compensation Committee prior to the grant of the award, the performance measures applicable to the award shall be calculated prior to the accrual of expense for any award for the same performance period and excluding the effect (whether positive or negative) on the performance measures of any change in accounting standards or any unusual or infrequently occurring event or transaction, as determined by the Compensation Committee, occurring after the establishment of the measures applicable to the award. Such measures may be based upon one or more of the following, without limitation, as determined by the Compensation Committee: (i) revenue;</w:t>
      </w:r>
    </w:p>
    <w:p>
      <w:pPr>
        <w:spacing w:after="0" w:line="6" w:lineRule="exact"/>
        <w:rPr>
          <w:sz w:val="20"/>
          <w:szCs w:val="20"/>
          <w:color w:val="auto"/>
        </w:rPr>
      </w:pPr>
    </w:p>
    <w:p>
      <w:pPr>
        <w:jc w:val="both"/>
        <w:ind w:left="460" w:right="459" w:hanging="6"/>
        <w:spacing w:after="0" w:line="250" w:lineRule="auto"/>
        <w:tabs>
          <w:tab w:leader="none" w:pos="7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w:t>
      </w:r>
    </w:p>
    <w:p>
      <w:pPr>
        <w:spacing w:after="0" w:line="1"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(xiv) balance of cash, cash equivalents and marketable securities; (xv) stock price;</w:t>
      </w:r>
    </w:p>
    <w:p>
      <w:pPr>
        <w:spacing w:after="0" w:line="9"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(xvii) return on stockholder equity; (xviii) return on capital; (xix) return on assets;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8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(xxi) total stockholder return; (xxii) employee satisfaction; (xxiii) employee retention; (xxiv) market share; (xxv) customer satisfaction; (xxvi) product development; (xxvii) research and development expenses; (xxviii) completion of an identified special project; (xxix) completion of a joint venture or other corporate transaction; and (xxx) personal performance objectives established for an individual participant or group of participants.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All of our employees, officers, and directors, as well as our consultants and advisors, are eligible to receive awards under the Amended Plan. However, incentive stock options may only be granted to our employees, employees of our present or future parent or subsidiary corporations as defined in Sections 424(e) or</w:t>
      </w:r>
    </w:p>
    <w:p>
      <w:pPr>
        <w:spacing w:after="0" w:line="1" w:lineRule="exact"/>
        <w:rPr>
          <w:sz w:val="20"/>
          <w:szCs w:val="20"/>
          <w:color w:val="auto"/>
        </w:rPr>
      </w:pPr>
    </w:p>
    <w:p>
      <w:pPr>
        <w:ind w:left="460" w:right="479" w:hanging="6"/>
        <w:spacing w:after="0" w:line="260" w:lineRule="auto"/>
        <w:tabs>
          <w:tab w:leader="none" w:pos="7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employees of any other entities the employees of which are eligible to receive incentive stock options under the Code.</w:t>
      </w:r>
    </w:p>
    <w:p>
      <w:pPr>
        <w:spacing w:after="0" w:line="11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March 24, 2026, approximately 63 persons were eligible to receive awards under the Amended Plan, including five executive officers (who are current employees), 19 employees (excluding executive officers), six non-employee directors and 33 consultants.</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March 24, 2026, the last reported sale price of our common stock on the Nasdaq Global Select Stock Market was $0.1869.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stockholder with respect to any shares of Common Stock to be distributed with respect to an award granted under the Amended Plan until becoming a record holder of such shares, subject to the terms of an award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accepting an award under the Amended Plan, a participant agrees to be bound by any clawback policy that the Company has in effect or may adopt in the future, including without limitation our Dodd-Frank Compensation Recovery Policy.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Amended Plan will be administered by the Compensation Committee. The Compensation Committee has the authority to grant awards and to adopt, amend and repeal the administrative rules, guidelines and practices relating to the Amended Plan that it deems advisable and to construe and interpret the provisions of the Amended Plan and any award agreements entered into under the Amended Plan. The Compensation Committee may correct any defect, supply any omission or reconcile any inconsistency in the Amended Plan or any award. All actions and decisions by the Compensation Committee with respect to the Amended Plan and any awards made under the Amended Plan will be made in the Compensation Committee’s discretion and will be final and binding on all persons having or claiming any interest in the Amended Plan or in any award. If, at any time, there is no committee of the Board then authorized or properly constituted to administer the Amended Plan, the Board shall exercise all of the powers with respect to the Amended Plan.</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Except as otherwise provided in the Amended Plan, each award under the Amended Plan may be made alone or in addition or in relation to any other award. The terms of each award need not be identical, and our Compensation Committee need not treat participants uniformly. Our Compensation Committee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Compensation Committee may at any time provide that any award shall become immediately exercisable in whole or in part, free from some or all restrictions or conditions or otherwise realizable in whole or in part, as the case may be.</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Adjustments for Changes in Capital Structure. </w:t>
      </w:r>
      <w:r>
        <w:rPr>
          <w:rFonts w:ascii="Times New Roman" w:cs="Times New Roman" w:eastAsia="Times New Roman" w:hAnsi="Times New Roman"/>
          <w:sz w:val="18"/>
          <w:szCs w:val="18"/>
          <w:color w:val="auto"/>
        </w:rPr>
        <w:t>In the event of any change in the stock effected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we are required to make appropriate and proportionate adjustments to (i) the number and kind of shares subject to the Amended Plan, (ii) to any outstanding awards, (iii) the annual increase, (iv) the award limits, and (v) in the exercise or purchase price per share under any outstanding award in order to prevent dilution or enlargement of participants’ rights under the Plan.</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Except as otherwise provided under the Amended Plan with respect to repricing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stock options or SARs and with respect to actions requiring stockholder approval, our Compensation Committee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Compensation Committee determines that the action, taking into account any related action, does not materially and adversely affect the participant’s rights under the Amended Plan or the change is otherwise permitted under the terms of the Amended Plan in connection with certain corporate events.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 in Control Events</w:t>
      </w:r>
    </w:p>
    <w:p>
      <w:pPr>
        <w:spacing w:after="0" w:line="162"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The Amended Plan contains provisions addressing the consequences of any change in control event. Under the Amended Plan, a “Change in Control” generally occurs when (i) any person acquires beneficial ownership of more than 50% of the total combined voting power of the Company’s outstanding securities,</w:t>
      </w:r>
    </w:p>
    <w:p>
      <w:pPr>
        <w:spacing w:after="0" w:line="1" w:lineRule="exact"/>
        <w:rPr>
          <w:sz w:val="20"/>
          <w:szCs w:val="20"/>
          <w:color w:val="auto"/>
        </w:rPr>
      </w:pPr>
    </w:p>
    <w:p>
      <w:pPr>
        <w:jc w:val="both"/>
        <w:ind w:left="460" w:right="479" w:hanging="6"/>
        <w:spacing w:after="0" w:line="252" w:lineRule="auto"/>
        <w:tabs>
          <w:tab w:leader="none" w:pos="7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stockholders cease to retain, directly or indirectly, beneficial ownership of more than 50% of the combined voting power of the Company’s outstanding voting securities following a merger, consolidation, sale of all or substantially all of the Company’s assets, or a sale by stockholders of more than 50% of the Company’s voting securities, or (iii) the Company’s stockholders approve a plan of complete liquidation or dissolution of the Company, in each case subject to certain exceptions, including where the transaction results in a board of directors of the surviving entity comprised of a majority of incumbent directors.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outstanding awards shall be subject to the definitive agreement entered into by the Company in connection with the Change in Control. Subject to the requirements and limitations of Section 409A, if applicable, the Compensation Committee may provide in an award agreement or otherwise for any one or more of the following:</w:t>
      </w:r>
    </w:p>
    <w:p>
      <w:pPr>
        <w:spacing w:after="0" w:line="97"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Accelerated Vesting. </w:t>
      </w:r>
      <w:r>
        <w:rPr>
          <w:rFonts w:ascii="Times New Roman" w:cs="Times New Roman" w:eastAsia="Times New Roman" w:hAnsi="Times New Roman"/>
          <w:sz w:val="18"/>
          <w:szCs w:val="18"/>
          <w:color w:val="auto"/>
        </w:rPr>
        <w:t>In its discretion, the Committee may provide in the grant of any award or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Compensation Committee determines.</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Assumption, Continuation or Substitution. </w:t>
      </w:r>
      <w:r>
        <w:rPr>
          <w:rFonts w:ascii="Times New Roman" w:cs="Times New Roman" w:eastAsia="Times New Roman" w:hAnsi="Times New Roman"/>
          <w:sz w:val="18"/>
          <w:szCs w:val="18"/>
          <w:color w:val="auto"/>
        </w:rPr>
        <w:t>In the event of a Change in Control, the surviving,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successor, or purchasing corporation or other business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may, without the consent of any participant, assume or continue the Company’s rights and obligations under each or any Award or portion thereof outstanding immediately prior to the Change in Control or substitute for each or any</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such outstanding Award or portion thereof a substantially equivalent award with respect to the Acquiror’s stock, as applicable. If so determined by the Compensation Committee in its discretion, an award denominated in shares of Common Stock shall be deemed assumed if, following the Change in Control, the award confers the right to receive, subject to the terms and conditions of the Amended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consideration is not solely common stock of the Acquiror, the Compensation Committee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2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Cash-Out of Outstanding Stock-Based Awards. </w:t>
      </w:r>
      <w:r>
        <w:rPr>
          <w:rFonts w:ascii="Times New Roman" w:cs="Times New Roman" w:eastAsia="Times New Roman" w:hAnsi="Times New Roman"/>
          <w:sz w:val="18"/>
          <w:szCs w:val="18"/>
          <w:color w:val="auto"/>
        </w:rPr>
        <w:t>The Compensation Committee may, in its discretion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Compensation Committee) of Common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Common Stock in the Change in Control, reduced (but not below zero) by the exercise or purchase price per share, if any, under such award. In the event such determination is made by the Compensation Committee, an award having an exercise or purchase price per share equal to or greater than the fair market value of the consideration to be paid per share of Common Stock in the Change in Control may be canceled without notice or payment of consideration to the holder thereof.</w:t>
      </w:r>
    </w:p>
    <w:p>
      <w:pPr>
        <w:spacing w:after="0" w:line="120" w:lineRule="exact"/>
        <w:rPr>
          <w:sz w:val="20"/>
          <w:szCs w:val="20"/>
          <w:color w:val="auto"/>
        </w:rPr>
      </w:pPr>
    </w:p>
    <w:p>
      <w:pPr>
        <w:jc w:val="both"/>
        <w:ind w:left="460" w:right="459" w:firstLine="432"/>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Adjustments and Earnouts. </w:t>
      </w:r>
      <w:r>
        <w:rPr>
          <w:rFonts w:ascii="Times New Roman" w:cs="Times New Roman" w:eastAsia="Times New Roman" w:hAnsi="Times New Roman"/>
          <w:sz w:val="18"/>
          <w:szCs w:val="18"/>
          <w:color w:val="auto"/>
        </w:rPr>
        <w:t>The Compensation Committee may, in its discretion, determine that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shall or shall not be subject to the same post-closing purchase price adjustments, escrow terms, offset rights, holdback terms, earnouts and similar conditions as the other holders of the Company’s Common Stock, subject to any limitations or reductions as may be necessary to comply with Section 409A or Section 424 of the Code.</w:t>
      </w:r>
    </w:p>
    <w:p>
      <w:pPr>
        <w:spacing w:after="0" w:line="31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Provisions Applicable to Stock-Based Awards</w:t>
      </w:r>
      <w:r>
        <w:rPr>
          <w:rFonts w:ascii="Times New Roman" w:cs="Times New Roman" w:eastAsia="Times New Roman" w:hAnsi="Times New Roman"/>
          <w:sz w:val="18"/>
          <w:szCs w:val="18"/>
          <w:color w:val="auto"/>
        </w:rPr>
        <w:t>. Under the Amended Plan, if a Change in Control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may, in its discretion and without the discretion of any award participant, determine that,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Compensation Committee, an award having an exercise or purchase price per share equal to or greater than the fair market value of the consideration to be paid per share of stock in the Change in Control may be canceled without notice or payment of consideration to the holder thereof.</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Provisions Applicable to Non-Employee Director Awards</w:t>
      </w:r>
      <w:r>
        <w:rPr>
          <w:rFonts w:ascii="Times New Roman" w:cs="Times New Roman" w:eastAsia="Times New Roman" w:hAnsi="Times New Roman"/>
          <w:sz w:val="18"/>
          <w:szCs w:val="18"/>
          <w:color w:val="auto"/>
        </w:rPr>
        <w:t>. In the event of a Change in Control,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award granted to a non-employee director shall become immediately exercisable and vested in full and, except to the extent assumed, continued or substituted for or otherwise restricted by Section 409A, shall be settled effective immediately prior to the time of consummation of the Change in Control.</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shall have the right to deduct from any and all payments made under the Amended Plan, or to require the participant, through payroll withholding, cash payment or otherwise, to make adequate provision for, the federal, state, local and foreign taxes (including social insurance), if any, required by law to be withheld by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Company with respect to an award or the shares acquired pursuant thereto. The Company shall have no obligation to deliver shares of stock, to release shares of stock from an escrow established pursuant to an award agreement, or to make any payment in cash under the Amended Plan until the Company’s tax withholding obligations have been satisfied by the participant.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 or Termination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Compensation Committee may amend, suspend or terminate the Amended Plan at any time. However, without the approval of the Company’s stockholders, there shall be (a) no increase in the maximum aggregate number of shares of Common Stock that may be issued under the Amended Plan, (b) no change in the class of persons eligible to receive Incentive Stock Options, and (c) no other amendment of the Amended Plan that would require approval of the Company’s stockholders under any applicable law, regulation or rule, including the rules of any stock exchange or quotation system upon which the Common Stock may then be listed or quoted. No amendment, suspension or termination of the Amended Plan shall affect any then outstanding award unless expressly provided by the Compensation Committee. Except as provided by the next sentence, no amendment, suspension or termination of the Amended Plan may have a materially adverse effect on any then outstanding award without the consent of the participant. Notwithstanding any other provision of the Amended Plan or any award agreement to the contrary, the Compensation Committee may, in its sole and absolute discretion and without the consent of any participant, amend the Amended Plan or any award agreement, to take effect retroactively or otherwise, as it deems necessary or advisable for the purpose of conforming the Amended Plan or such award agreement to any present or future law, regulation or rule applicable to the Amended Plan, including, but not limited to, Section 409A.</w:t>
      </w:r>
    </w:p>
    <w:p>
      <w:pPr>
        <w:spacing w:after="0" w:line="12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stockholders do not approve the Incentive Plan Amendment, the Incentive Plan Amendment will not go into effect and we will not grant additional awards under the Current Plan in excess of the current share reserve. In this event, our Board will consider whether to adopt alternative arrangements based on its assessment of our needs.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will not have income upon the grant of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except as described below, a participant will not 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1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11"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A participant will not have income upon the grant of a nonstatutory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 participant will have compensation income 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participant will not have income upon the grant of a SAR.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participant will not have income upon the grant of restricted stock unless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under Section 83(b) of the 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participant will not have income upon the grant of an RSU. A participant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permitted to make a Section 83(b) 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tax consequences associated with any other stock-based award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1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Consequences to the Company. </w:t>
      </w:r>
      <w:r>
        <w:rPr>
          <w:rFonts w:ascii="Times New Roman" w:cs="Times New Roman" w:eastAsia="Times New Roman" w:hAnsi="Times New Roman"/>
          <w:sz w:val="18"/>
          <w:szCs w:val="18"/>
          <w:color w:val="auto"/>
        </w:rPr>
        <w:t>There will be no tax consequences to the Company except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be entitled to a deduction when a participant has compensation income, subject to the limitations of Section 162(m) of the Code.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Granted under the Current Plan</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The following table sets forth information about equity-based awards granted under the Current Plan since adoption of the Current Plan through March 24, 2026 to the individuals and groups described in the below table.</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46"/>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 Chief Executive Officer</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0.1758</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Charles Maddox, Chief Financial Officer, Chief Operations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136,572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34,143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0.1758</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 Chief Technology Officer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1,396,205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0.0516</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1,669,349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68,248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8"/>
        </w:trPr>
        <w:tc>
          <w:tcPr>
            <w:tcW w:w="4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who are not executive officers as a</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 officers who are not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2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Information as of March 24, 2026 regarding equity compensation plans approved and not approved by stockholders is summarized in the following table:</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to be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Incentive Plans</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Column A)</w:t>
            </w:r>
          </w:p>
        </w:tc>
      </w:tr>
      <w:tr>
        <w:trPr>
          <w:trHeight w:val="46"/>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4,959,853</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8"/>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1,861,806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0.1095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4,959,853</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Amended Plan Benefits Table</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includes additional information regarding the equity awards currently contemplated to be made under the Amended Plan:</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RSU</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Dollar 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 Chief Executive Officer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2,016,667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Charles Maddox, Chief Financial Officer, Chief Operations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1,466,667</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 Chief Technology Officer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217,800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1,210,000</w:t>
            </w:r>
          </w:p>
        </w:tc>
        <w:tc>
          <w:tcPr>
            <w:tcW w:w="12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1,205,820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6,699,000</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98"/>
        </w:trPr>
        <w:tc>
          <w:tcPr>
            <w:tcW w:w="4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who are not executive officers as a</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5"/>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395,000</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2,194,444</w:t>
            </w:r>
          </w:p>
        </w:tc>
        <w:tc>
          <w:tcPr>
            <w:tcW w:w="12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 officers who are not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the majority of the shares of stock present or represented (virtually or by proxy) at the Annual Meeting is necessary to approve the amendment to the Incentive Stock Incentive Plan. Abstentions shall have the effect of a vote “AGAINST” the proposal and broker non-votes will have no effect on the outcome of this proposal.</w:t>
      </w:r>
    </w:p>
    <w:p>
      <w:pPr>
        <w:spacing w:after="0" w:line="108"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THE APPROVAL OF THE AMENDMENT TO THE INCENTIVE STOCK INCENTIVE PLAN.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CERTAIN BENEFICIAL OWNERSHIP MATTERS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Principal Stockholders</w:t>
      </w:r>
    </w:p>
    <w:p>
      <w:pPr>
        <w:spacing w:after="0" w:line="13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capital stock as of the Record Date for the Annual Meeting, by:</w:t>
      </w:r>
    </w:p>
    <w:p>
      <w:pPr>
        <w:spacing w:after="0" w:line="67"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 ] shares of Common Stock outstanding as of March 24, 2026, each share of which is entitled to one vote at the Annual Meeting. 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w:t>
      </w:r>
    </w:p>
    <w:p>
      <w:pPr>
        <w:spacing w:after="0" w:line="3" w:lineRule="exact"/>
        <w:rPr>
          <w:sz w:val="20"/>
          <w:szCs w:val="20"/>
          <w:color w:val="auto"/>
        </w:rPr>
      </w:pPr>
    </w:p>
    <w:p>
      <w:pPr>
        <w:jc w:val="both"/>
        <w:ind w:left="460" w:right="459" w:hanging="6"/>
        <w:spacing w:after="0" w:line="251" w:lineRule="auto"/>
        <w:tabs>
          <w:tab w:leader="none" w:pos="71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The information does not necessarily indicate beneficial ownership for any other purpose, including for purposes of Section 13(d) and 13(g) of the Securities Act.</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12"/>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3"/>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47"/>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3"/>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3,571,614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2,052,788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32,983</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Phyllis Newhouse</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2,574,494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(8 individuals)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8,231,879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Tremaine Reny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2,470,060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1,524,924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1,551,180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one percent of the outstanding Common Stock.</w:t>
      </w:r>
    </w:p>
    <w:p>
      <w:pPr>
        <w:spacing w:after="0" w:line="26" w:lineRule="exact"/>
        <w:rPr>
          <w:sz w:val="20"/>
          <w:szCs w:val="20"/>
          <w:color w:val="auto"/>
        </w:rPr>
      </w:pPr>
    </w:p>
    <w:p>
      <w:pPr>
        <w:ind w:left="880" w:right="45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those listed in the table above is 5661 S Cameron St, Suite 100, Las Vegas, NV 89118.</w:t>
      </w:r>
    </w:p>
    <w:p>
      <w:pPr>
        <w:ind w:left="880" w:right="47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ASK, LLC. Janice Howroyd is the sole member of ASK, LLC and has voting and investment control of the shares held by ASK, LLC.</w:t>
      </w:r>
    </w:p>
    <w:p>
      <w:pPr>
        <w:jc w:val="both"/>
        <w:ind w:left="880" w:right="45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ind w:left="880" w:right="479" w:hanging="426"/>
        <w:spacing w:after="0" w:line="288"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directly held by ShoulderUp 2021 Trust. The address of the principal business office of ShoulderUp 2021 Trust is 2291 Loring Oak PL NW Marietta, GA 30064.</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biographical information for each of our executive officers, including our named executive officers, as of the date of this Proxy Statement is set forth below, except Mr. Nabrotzky, our CEO. Mr. Nabrotzky also serves as a director on our Board and his biographical information is set forth above in the section titled “</w:t>
      </w:r>
      <w:r>
        <w:rPr>
          <w:rFonts w:ascii="Times New Roman" w:cs="Times New Roman" w:eastAsia="Times New Roman" w:hAnsi="Times New Roman"/>
          <w:sz w:val="18"/>
          <w:szCs w:val="18"/>
          <w:i w:val="1"/>
          <w:iCs w:val="1"/>
          <w:color w:val="auto"/>
        </w:rPr>
        <w:t>Proposal 1 — Election of Directors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4"/>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Officer/Chief Operations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Delores Rochester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Ansgar Thiede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Strategy Officer</w:t>
            </w:r>
          </w:p>
        </w:tc>
      </w:tr>
    </w:tbl>
    <w:p>
      <w:pPr>
        <w:spacing w:after="0" w:line="2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Charles Maddox </w:t>
      </w:r>
      <w:r>
        <w:rPr>
          <w:rFonts w:ascii="Times New Roman" w:cs="Times New Roman" w:eastAsia="Times New Roman" w:hAnsi="Times New Roman"/>
          <w:sz w:val="18"/>
          <w:szCs w:val="18"/>
          <w:color w:val="auto"/>
        </w:rPr>
        <w:t>has served as the Company’s Chief Operating and Chief Financial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2024. He previously was the 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 Prior to co-founding the Company, Mr. Maddox was the co-founder and Chief Executive Officer of Laudan LLC, a logistics company which he sold in a private transaction. Mr. Maddox has also co-founded other businesses 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 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Vijayan Nambiar </w:t>
      </w:r>
      <w:r>
        <w:rPr>
          <w:rFonts w:ascii="Times New Roman" w:cs="Times New Roman" w:eastAsia="Times New Roman" w:hAnsi="Times New Roman"/>
          <w:sz w:val="18"/>
          <w:szCs w:val="18"/>
          <w:color w:val="auto"/>
        </w:rPr>
        <w:t>has served as Chief Technology Officer of CID Holdco since May 2022.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the Company, Mr. Nambiar was a 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Delores Rochester </w:t>
      </w:r>
      <w:r>
        <w:rPr>
          <w:rFonts w:ascii="Times New Roman" w:cs="Times New Roman" w:eastAsia="Times New Roman" w:hAnsi="Times New Roman"/>
          <w:sz w:val="18"/>
          <w:szCs w:val="18"/>
          <w:color w:val="auto"/>
        </w:rPr>
        <w:t>has served as the Company’s Chief Revenue Officer since January 2026.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the Company, Ms. Rochester worked for Oracle’s Enterprise Software business for the comm/IT, media, retail, and services and hospitality verticals. She has over 25 years of experience building and leading high-performance teams in sales, sales management, business development, financing, finance, and operations. Before joining Oracle, Rochester had a 17-year tenure with IBM. While at IBM, she received 3 U.S. and 5 IBM patents and was published in the Advanced Semiconductor Manufacturing Counsel Journal. Her blend of technical fluency, commercial acumen, and executive level selling has earned repeated top honors, including multiple 100% Club awards and recognition among the top global 1% of sellers. Del holds a B.S. in Chemical Engineering from Brown University, a Master’s in Materials Science from RPI, and an MBA in Finance and Entrepreneurship from The University of Chicago Booth School of Business. She is also a certified sales executive through Harvard Business School and a graduate of Oracle’s Accelerated Executive Institute.</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Ansgar Thiede </w:t>
      </w:r>
      <w:r>
        <w:rPr>
          <w:rFonts w:ascii="Times New Roman" w:cs="Times New Roman" w:eastAsia="Times New Roman" w:hAnsi="Times New Roman"/>
          <w:sz w:val="18"/>
          <w:szCs w:val="18"/>
          <w:color w:val="auto"/>
        </w:rPr>
        <w:t>has served as the Company’s Chief Strategy Officer since January 2026.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Thiede brings more than a decade of experience building and scaling AI-driven, SaaS-based platforms in complex enterprise environments. He has held senior product and engineering leadership roles at Infios and Blue Yonder, where he led global teams across data science, software engineering, platform operations, and customer enablement. His background spans AI strategy, cloud-native product development, and operational excellence.</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w:t>
      </w:r>
      <w:r>
        <w:rPr>
          <w:rFonts w:ascii="Times New Roman" w:cs="Times New Roman" w:eastAsia="Times New Roman" w:hAnsi="Times New Roman"/>
          <w:sz w:val="18"/>
          <w:szCs w:val="18"/>
          <w:b w:val="1"/>
          <w:bCs w:val="1"/>
          <w:i w:val="1"/>
          <w:i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Also, as an emerging growth company, we are not required to include,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not included, certain of the other compensation tables required by Item 402 of Regulation S-K in this Proxy Statement.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158"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NEOs for the years ended December 31, 2025 and 2024.</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22"/>
                <w:szCs w:val="22"/>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8"/>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285,384</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357,500</w:t>
            </w:r>
            <w:r>
              <w:rPr>
                <w:rFonts w:ascii="Times New Roman" w:cs="Times New Roman" w:eastAsia="Times New Roman" w:hAnsi="Times New Roman"/>
                <w:sz w:val="20"/>
                <w:szCs w:val="20"/>
                <w:color w:val="auto"/>
                <w:vertAlign w:val="superscript"/>
              </w:rPr>
              <w:t>(1)</w:t>
            </w:r>
          </w:p>
        </w:tc>
        <w:tc>
          <w:tcPr>
            <w:tcW w:w="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642,884</w:t>
            </w: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4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230,000</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5,821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235,821</w:t>
            </w:r>
          </w:p>
        </w:tc>
      </w:tr>
      <w:tr>
        <w:trPr>
          <w:trHeight w:val="385"/>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5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263,958</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514,821</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230,000</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36"/>
        </w:trPr>
        <w:tc>
          <w:tcPr>
            <w:tcW w:w="2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Operations Officer</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4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5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276,154</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476,154</w:t>
            </w:r>
          </w:p>
        </w:tc>
      </w:tr>
      <w:tr>
        <w:trPr>
          <w:trHeight w:val="24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5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230,000</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40"/>
        </w:trPr>
        <w:tc>
          <w:tcPr>
            <w:tcW w:w="2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$320,000 transaction bonus paid in connection with the closing of the Business Combination, and $37,500 in fees for service as a member of the Board.</w:t>
      </w:r>
    </w:p>
    <w:p>
      <w:pPr>
        <w:ind w:left="880" w:hanging="426"/>
        <w:spacing w:after="0"/>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transaction bonuses paid in connection with the Business Combination.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Executive Employment Agreements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each of which provides for at-will employment and provides for no specified term of employment. Set forth below is a description of the employment agreements with the NEOs during 2025. Each employment agreement does not have a specific term and provides that the applicable named executive officer is an at-will employee.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Edmund Nabrotzky and SEE ID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time of the Business Combination, Mr. Nabrotzky was employed by SEE ID for the position of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Edmund Nabrotzky and SEE ID Holding Corp</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Nabrotzky, dated September 5, 2025, for the position of CEO and President, which superseded the agreement with SEE ID. Pursuant to Mr. Nabrotzky’s employment agreement, he is entitled to a base salary of $350,000 (as may be adjusted by the company in its sole discretion, provided that any decrease will require Mr. Nabrotzky’s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Nabrotzky is eligible to receive a stock option award with a grant date value of $550,000. The stock options will vest as to 25% of the shares on each of the first, second, third and fourth anniversaries of the grant date. If Mr. Nabrotzky’s employment is terminated by the company 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Charles Maddox</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Charles Maddox and SEE ID</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Charles Maddox and SEE ID Holding Corp</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 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Vijayan Nambiar</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Vijayan Nambiar and SEE ID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Vijayan Nambiar and SEE ID Holding Corp</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w:t>
      </w:r>
    </w:p>
    <w:p>
      <w:pPr>
        <w:spacing w:after="0" w:line="2" w:lineRule="exact"/>
        <w:rPr>
          <w:sz w:val="20"/>
          <w:szCs w:val="20"/>
          <w:color w:val="auto"/>
        </w:rPr>
      </w:pPr>
    </w:p>
    <w:p>
      <w:pPr>
        <w:jc w:val="both"/>
        <w:ind w:left="460" w:right="459" w:hanging="6"/>
        <w:spacing w:after="0" w:line="251" w:lineRule="auto"/>
        <w:tabs>
          <w:tab w:leader="none" w:pos="7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any unvested stock options or other equity incentive awards held by 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Annual Base Salaries</w:t>
      </w:r>
    </w:p>
    <w:p>
      <w:pPr>
        <w:spacing w:after="0" w:line="16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Incentive Bonus Compensation</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Each Named Executive Officer was eligible to receive a target annual incentive bonus during 2025 at the discretion of the Board.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No incentive compensation was paid to our NEOs during 2025 other than a $600 incentive bonus paid to Mr. Maddox, which was made to maintain consistency with our Puerto Rico employees’ statutory Christmas bonus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Business Combination Change of Control Payments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recognition of their efforts on the Business Combination, the Board approved the following change in control transaction bonuses, which paid to our NEOs during 2025, subject to the closing of the Business Combination. The actual cash bonuses awarded to the NEOs in respect of 2025 are set forth in the “All Other Compensation” column of the Summary Compensation Table above.</w:t>
      </w:r>
    </w:p>
    <w:p>
      <w:pPr>
        <w:spacing w:after="0" w:line="112" w:lineRule="exact"/>
        <w:rPr>
          <w:sz w:val="20"/>
          <w:szCs w:val="20"/>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Equity Incentive Awards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SEE ID previously granted stock options to our NEOs, all of which are currently vested and were assumed by us and converted into options to purchase common shares of CID Holdco, Inc. in connection with the Business Combination. We maintain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Other Compensation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Retirement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currently do not maintain a 401(k) or any other retirement savings plan for our employees.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Employee Benefits and Perquisites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decide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option awards held by the Company’s named executive officers as of December 31, 2025.</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55"/>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Exercisable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68"/>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09/01/2021</w:t>
            </w:r>
          </w:p>
        </w:tc>
        <w:tc>
          <w:tcPr>
            <w:tcW w:w="8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1"/>
              </w:rPr>
              <w:t>136,572</w:t>
            </w:r>
            <w:r>
              <w:rPr>
                <w:rFonts w:ascii="Times New Roman" w:cs="Times New Roman" w:eastAsia="Times New Roman" w:hAnsi="Times New Roman"/>
                <w:sz w:val="20"/>
                <w:szCs w:val="20"/>
                <w:color w:val="auto"/>
                <w:w w:val="91"/>
                <w:vertAlign w:val="superscript"/>
              </w:rPr>
              <w:t>(1)(2)</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0.1758</w:t>
            </w: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09/01/2031</w:t>
            </w:r>
          </w:p>
        </w:tc>
      </w:tr>
      <w:tr>
        <w:trPr>
          <w:trHeight w:val="28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09/01/2021</w:t>
            </w:r>
          </w:p>
        </w:tc>
        <w:tc>
          <w:tcPr>
            <w:tcW w:w="8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136,572</w:t>
            </w:r>
            <w:r>
              <w:rPr>
                <w:rFonts w:ascii="Times New Roman" w:cs="Times New Roman" w:eastAsia="Times New Roman" w:hAnsi="Times New Roman"/>
                <w:sz w:val="20"/>
                <w:szCs w:val="20"/>
                <w:color w:val="auto"/>
                <w:w w:val="91"/>
                <w:vertAlign w:val="superscript"/>
              </w:rPr>
              <w:t>(1)(2)</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34,143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0.1758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09/01/2031</w:t>
            </w:r>
          </w:p>
        </w:tc>
      </w:tr>
      <w:tr>
        <w:trPr>
          <w:trHeight w:val="28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05/07/2022</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0.0516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05/07/2032</w:t>
            </w:r>
          </w:p>
        </w:tc>
      </w:tr>
      <w:tr>
        <w:trPr>
          <w:trHeight w:val="283"/>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05/07/2022</w:t>
            </w:r>
          </w:p>
        </w:tc>
        <w:tc>
          <w:tcPr>
            <w:tcW w:w="8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518,242</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0.0516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05/07/2032</w:t>
            </w:r>
          </w:p>
        </w:tc>
      </w:tr>
      <w:tr>
        <w:trPr>
          <w:trHeight w:val="28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11/21/2023</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359,721</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0.0516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11/21/2033</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ind w:left="880" w:hanging="42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of the shares subject to the option vest on each of the five anniversaries of the grant date.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Business Combination, Continental, as the transfer agent, SUAC and the Company entered into the Warrant Assumption and Assignment Agreement (the “</w:t>
      </w:r>
      <w:r>
        <w:rPr>
          <w:rFonts w:ascii="Times New Roman" w:cs="Times New Roman" w:eastAsia="Times New Roman" w:hAnsi="Times New Roman"/>
          <w:sz w:val="18"/>
          <w:szCs w:val="18"/>
          <w:b w:val="1"/>
          <w:bCs w:val="1"/>
          <w:i w:val="1"/>
          <w:iCs w:val="1"/>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pursuant to which, among other things, SUAC assigned to the Company all of SUAC’s right, title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interest in and to, and the Company assumed all of SUAC’s liabilities and obligations under the certain Warrant Agreement, dated as of November 16, 2021, between SUAC and Continental (the “</w:t>
      </w:r>
      <w:r>
        <w:rPr>
          <w:rFonts w:ascii="Times New Roman" w:cs="Times New Roman" w:eastAsia="Times New Roman" w:hAnsi="Times New Roman"/>
          <w:sz w:val="18"/>
          <w:szCs w:val="18"/>
          <w:b w:val="1"/>
          <w:bCs w:val="1"/>
          <w:i w:val="1"/>
          <w:iCs w:val="1"/>
          <w:color w:val="auto"/>
        </w:rPr>
        <w:t>Existing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As a result, each Warrant automatically ceased to represent a right to acquire SUAC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instead represents a right to acquire shares of the Company’s Common Stock pursuant to the terms and conditions of the Existing Warrant Agreement (as amended by the Warrant Assumption Agreement).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consolidated balance sheets. During the year ended December 31, 2025 the Company delivered the products and recognized $750,000 revenue from the deferred revenue balance. Pope Technologies LLC is owned by a director of the Company.</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Beginning on February 1, 2025, the Company began subleasing an office space in Barceloneta, Puerto Rico from Cruce Davila Development, LLC. The term of this sublease was month-to-month, and the rent was $12,333 per month. This lease ended on May 31, 2025. On June 1, 2025, the Company renewed the lease for a five-year term, which was recognized as a right-of-use asset with corresponding short-term and long-term lease liabilities in the Company’s financial statements as of that date. The rent expense for the short-term lease expense was $49,332 for the years ended December 31, 2025.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2025. In making this statement, we have relied upon the written representations of our directors and executive officers and copies of reports that have been filed with the SEC.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Matters That May Come Before the Annual Meeting</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Websites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filed our Annual Report on Form 10-K for the fiscal year ended December 31, 2025, with the SEC. It is available free of charge at the SEC’s website at www.sec.gov. Stockholders can also access this Proxy Statement, our Annual Report on Form 10-K, on our website at https://ir.daic.ai/, or a copy of our Annual Report, is available without charge upon written request to our Corporate Secretary at 2 Shaker Road Suite E213, Shirley, MA 01464.</w:t>
      </w:r>
    </w:p>
    <w:p>
      <w:pPr>
        <w:spacing w:after="0" w:line="17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Jeff Saling</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Jeff Saling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77" w:lineRule="exact"/>
        <w:rPr>
          <w:sz w:val="20"/>
          <w:szCs w:val="20"/>
          <w:color w:val="auto"/>
        </w:rPr>
      </w:pPr>
    </w:p>
    <w:p>
      <w:pPr>
        <w:ind w:left="4500"/>
        <w:spacing w:after="0"/>
        <w:tabs>
          <w:tab w:leader="none" w:pos="4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CID Holdco, Inc., a corporation organized and existing under the General Corporation Law of the State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Delaware, does hereby certify as follows:</w:t>
      </w:r>
    </w:p>
    <w:p>
      <w:pPr>
        <w:spacing w:after="0" w:line="135" w:lineRule="exact"/>
        <w:rPr>
          <w:sz w:val="20"/>
          <w:szCs w:val="20"/>
          <w:color w:val="auto"/>
        </w:rPr>
      </w:pPr>
    </w:p>
    <w:p>
      <w:pPr>
        <w:ind w:left="4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FIRST:</w:t>
      </w:r>
      <w:r>
        <w:rPr>
          <w:sz w:val="20"/>
          <w:szCs w:val="20"/>
          <w:color w:val="auto"/>
        </w:rPr>
        <w:tab/>
      </w:r>
      <w:r>
        <w:rPr>
          <w:rFonts w:ascii="Times New Roman" w:cs="Times New Roman" w:eastAsia="Times New Roman" w:hAnsi="Times New Roman"/>
          <w:sz w:val="18"/>
          <w:szCs w:val="18"/>
          <w:color w:val="auto"/>
        </w:rPr>
        <w:t>The name of the corporation is CID Holdco, Inc.</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This Certificate of Amendment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Amended and Restated Certificate of Incorporation, as filed of record with the Delaware Secretary of State on June 18,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Certificate of Incorporation is hereby amended by revising Section 4.1 of Article IV to include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paragraph (a) as follows:</w:t>
      </w:r>
    </w:p>
    <w:p>
      <w:pPr>
        <w:spacing w:after="0" w:line="91" w:lineRule="exact"/>
        <w:rPr>
          <w:sz w:val="20"/>
          <w:szCs w:val="20"/>
          <w:color w:val="auto"/>
        </w:rPr>
      </w:pPr>
    </w:p>
    <w:p>
      <w:pPr>
        <w:jc w:val="both"/>
        <w:ind w:left="1320" w:right="459" w:hanging="434"/>
        <w:spacing w:after="0" w:line="255" w:lineRule="auto"/>
        <w:tabs>
          <w:tab w:leader="none" w:pos="13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Upon the effectiveness of the filing of this Certificate of Amendment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share of Common Stock, either issued or outstanding or held by the Company as treasury stock, immediately prior to the Effective Time, will be automatically reclassified and combined (without any further act) into a smaller number of shares such that each</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57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and outstanding or held by the Company as treasury stock immediately prior to the Effective Time is reclassified into one share of Common Stock of the Company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w:t>
      </w:r>
    </w:p>
    <w:p>
      <w:pPr>
        <w:spacing w:after="0" w:line="10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Certificate of Amendment was duly adopted in accordance with Sections 242 and 245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Company’s stockholders in accordance with Section 212 of the DGCL.</w:t>
      </w:r>
    </w:p>
    <w:p>
      <w:pPr>
        <w:spacing w:after="0" w:line="103" w:lineRule="exact"/>
        <w:rPr>
          <w:sz w:val="20"/>
          <w:szCs w:val="20"/>
          <w:color w:val="auto"/>
        </w:rPr>
      </w:pPr>
    </w:p>
    <w:p>
      <w:pPr>
        <w:ind w:left="4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FIFTH:</w:t>
      </w:r>
      <w:r>
        <w:rPr>
          <w:sz w:val="20"/>
          <w:szCs w:val="20"/>
          <w:color w:val="auto"/>
        </w:rPr>
        <w:tab/>
      </w: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CID Holdco, Inc. has caused this Certificate of Amendment to be duly executed and acknowledged in its name and on its behalf by the undersigned officer, thereunto duly authorized, as of the date first set forth above.</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-119380</wp:posOffset>
            </wp:positionV>
            <wp:extent cx="20148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4780"/>
        <w:spacing w:after="0"/>
        <w:tabs>
          <w:tab w:leader="none" w:pos="53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151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126"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CID HoldCo,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accordance with the provisions of Section 151 thereof, hereby certifies that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accordance with the provisions of the Amended and Restated Certificate of Incorporation of the Corporation and applicable law duly adopted resolutions creating a series of shares of Preferred Stock of the Corporation with the designation and number of shares of such series, and the voting and other powers, preferences and relative, participating, optional or other rights, and the qualifications, limitations and restrictions, of the shares of such series, as follows: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There is hereby created out of the authorized and unissued shares of Preferred Stock of the Corporation a series of Preferred Stock designated as the “Series [A] Convertible Preferred Stock,” par value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the authorized number of shares constituting such series shall be [•]. Each share of Preferred Stock shall have a stated value equal to $[•] per share, subject to increase set forth in Section 3 below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Each share of Preferred Stock shall rank equally in all respects and shall be subject to the provisions herein. The Preferred Stock shall, with respect to payment of dividends and rights (including as to the distribution of assets) upon Liquidation, rank senior and prior to the Corporation’s Junior Stock. The Preferred Stock shall rank junior to all of the Corporation’s existing and future indebtedness and other liabilities, except to the extent otherwise provided herein.</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hanging="6"/>
        <w:spacing w:after="0" w:line="254" w:lineRule="auto"/>
        <w:tabs>
          <w:tab w:leader="none" w:pos="7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shall be entitled to receive, and the Corporation shall pay, dividends on each share of Preferred Stock only when, as and if declared by the Board out of funds legally available therefor. Dividends, if so declared, shall be payable in cash, or at the Corporation’s option, in duly authorized, validly issued, fully paid and non-assessable shares of Preferred Stock (“</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or a combination thereof, on such dates as the Board may determine (each such date, a “Dividend Payment Date”). For purposes hereof, each Dividend Share shall be deemed to have a value of $[•] per share. The Holders shall have the same rights and remedies with respect to the delivery of any such shares as if such shares were being issued pursuant to Section 8. No dividends shall accrue or cumulate on the Preferred Stock, and no right to dividends shall exist unless and until declared by the Board.</w:t>
      </w:r>
    </w:p>
    <w:p>
      <w:pPr>
        <w:spacing w:after="0" w:line="120" w:lineRule="exact"/>
        <w:rPr>
          <w:rFonts w:ascii="Times New Roman" w:cs="Times New Roman" w:eastAsia="Times New Roman" w:hAnsi="Times New Roman"/>
          <w:sz w:val="18"/>
          <w:szCs w:val="18"/>
          <w:color w:val="auto"/>
        </w:rPr>
      </w:pPr>
    </w:p>
    <w:p>
      <w:pPr>
        <w:jc w:val="both"/>
        <w:ind w:left="460" w:right="459" w:hanging="6"/>
        <w:spacing w:after="0" w:line="256" w:lineRule="auto"/>
        <w:tabs>
          <w:tab w:leader="none" w:pos="72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any Preferred Stock, no further dividends shall be declared or paid with respect to the shares of Preferred Stock so converted, provided that the Corporation actually delivers the Conversion Shares within the time period required by Section 7(b)(i)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spacing w:after="0" w:line="119" w:lineRule="exact"/>
        <w:rPr>
          <w:rFonts w:ascii="Times New Roman" w:cs="Times New Roman" w:eastAsia="Times New Roman" w:hAnsi="Times New Roman"/>
          <w:sz w:val="18"/>
          <w:szCs w:val="18"/>
          <w:color w:val="auto"/>
        </w:rPr>
      </w:pPr>
    </w:p>
    <w:p>
      <w:pPr>
        <w:jc w:val="both"/>
        <w:ind w:left="460" w:right="459" w:hanging="6"/>
        <w:spacing w:after="0" w:line="258"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Preferred Stock shall remain outstanding, neither the Corporation nor any Subsidiary thereof shall directly or indirectly pay or declare any dividend or make any distribution upon, nor shall any distribution be made in respect of, any Junior Stock, nor shall any monies be set aside for or applied to the purchase or redemption (through a sinking fund or otherwise) of any Junior Stock, unless all declared and unpaid dividends on the Preferred Stock have been paid in full.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hanging="6"/>
        <w:spacing w:after="0" w:line="254" w:lineRule="auto"/>
        <w:tabs>
          <w:tab w:leader="none" w:pos="7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voluntary or involuntary liquidation, dissolution or winding up of the affairs of the Corporation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after payment or provision for payment of the debts and other liabilities of the Corporation, the Holders shall be entitled to receive, with respect to each share of Preferred Stock held before any payment shall be made or any assets distributed to the holders of any Junior Stock, $[•] per share of Preferred Stock plus all declared and unpaid dividends on each share of Preferred Stock through the date of Liquidation (collectively,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and second, after the full Liquidation Preference has been paid or set aside the remaining amount shall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holders of Common Stock and the Holders as if each such share of Preferred Stock had been converted into Common Stock in accordance with the terms hereof immediately prior to such Liquidation.</w:t>
      </w:r>
    </w:p>
    <w:p>
      <w:pPr>
        <w:spacing w:after="0" w:line="120" w:lineRule="exact"/>
        <w:rPr>
          <w:rFonts w:ascii="Times New Roman" w:cs="Times New Roman" w:eastAsia="Times New Roman" w:hAnsi="Times New Roman"/>
          <w:sz w:val="18"/>
          <w:szCs w:val="18"/>
          <w:color w:val="auto"/>
        </w:rPr>
      </w:pPr>
    </w:p>
    <w:p>
      <w:pPr>
        <w:jc w:val="both"/>
        <w:ind w:left="460" w:right="479" w:hanging="6"/>
        <w:spacing w:after="0" w:line="261" w:lineRule="auto"/>
        <w:tabs>
          <w:tab w:leader="none" w:pos="7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any Liquidation the assets available for payment of the Liquidation Preference are insufficient to permit the payment of the full preferential amounts described in Section 4(a) to the holders of the Preferred Stock then all the remaining available assets shall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of the then outstanding Preferred Stock in accordance with the respective aggregate Liquidation Preferences.</w:t>
      </w:r>
    </w:p>
    <w:p>
      <w:pPr>
        <w:spacing w:after="0" w:line="98" w:lineRule="exact"/>
        <w:rPr>
          <w:rFonts w:ascii="Times New Roman" w:cs="Times New Roman" w:eastAsia="Times New Roman" w:hAnsi="Times New Roman"/>
          <w:sz w:val="18"/>
          <w:szCs w:val="18"/>
          <w:color w:val="auto"/>
        </w:rPr>
      </w:pPr>
    </w:p>
    <w:p>
      <w:pPr>
        <w:jc w:val="both"/>
        <w:ind w:left="460" w:right="479" w:hanging="6"/>
        <w:spacing w:after="0" w:line="255" w:lineRule="auto"/>
        <w:tabs>
          <w:tab w:leader="none" w:pos="73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consolidation or merger of the Corporation into or with another entity nor the dissolution, liquidation, winding up or reorganization of the Corporation immediately followed by the incorporation of another corporation to which such assets are distributed or transferred, nor the sale, lease, transfer or conveyance of all or substantially all of the assets of the Corporation to another entity shall be deemed a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effective provision is made in the certificate of incorporation of the resulting or surviving entity or otherwise for the preservation and protection of the rights of the Holders on substantially identical terms.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hanging="6"/>
        <w:spacing w:after="0" w:line="267" w:lineRule="auto"/>
        <w:tabs>
          <w:tab w:leader="none" w:pos="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Except to the extent otherwise required by applicable Law or expressly set forth in this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the Holders will vote together with the Common Stock and not as a separate class, except as required by law, on any matters on which any of the holders of Common Stock are entitled to vote.</w:t>
      </w:r>
    </w:p>
    <w:p>
      <w:pPr>
        <w:spacing w:after="0" w:line="92" w:lineRule="exact"/>
        <w:rPr>
          <w:rFonts w:ascii="Times New Roman" w:cs="Times New Roman" w:eastAsia="Times New Roman" w:hAnsi="Times New Roman"/>
          <w:sz w:val="18"/>
          <w:szCs w:val="18"/>
          <w:color w:val="auto"/>
        </w:rPr>
      </w:pPr>
    </w:p>
    <w:p>
      <w:pPr>
        <w:jc w:val="both"/>
        <w:ind w:left="460" w:right="459" w:hanging="6"/>
        <w:spacing w:after="0" w:line="258" w:lineRule="auto"/>
        <w:tabs>
          <w:tab w:leader="none" w:pos="7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Senior Preferred Shares</w:t>
      </w:r>
      <w:r>
        <w:rPr>
          <w:rFonts w:ascii="Times New Roman" w:cs="Times New Roman" w:eastAsia="Times New Roman" w:hAnsi="Times New Roman"/>
          <w:sz w:val="18"/>
          <w:szCs w:val="18"/>
          <w:color w:val="auto"/>
        </w:rPr>
        <w:t>. Notwithstanding Section 5(a) and for so long as any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remain issued and outstanding, without the affirmative vote of the Holders of a majority of the outstanding voting power of the Preferred Stock, voting together as a single class separate from all other classes or series of capital stock of the Corporation, the Corporation shall not and shall not permit any Subsidiary to authorize or issue Senior Preferred Shares.</w:t>
      </w:r>
    </w:p>
    <w:p>
      <w:pPr>
        <w:spacing w:after="0" w:line="115"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or Alteration of Terms of Preferred Stock </w:t>
      </w:r>
      <w:r>
        <w:rPr>
          <w:rFonts w:ascii="Times New Roman" w:cs="Times New Roman" w:eastAsia="Times New Roman" w:hAnsi="Times New Roman"/>
          <w:sz w:val="18"/>
          <w:szCs w:val="18"/>
          <w:color w:val="auto"/>
        </w:rPr>
        <w:t>Notwithstanding Section 5(a),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Holders of a majority of the voting power of the Preferred Stock, voting together as a single class separate from all other classes or series of capital stock of the Corporation, shall be required for the approval of any amendment, alteration or repeal of any provision of this Certificate of Designations (including by merger, operation of Law or otherwise) which adversely affects the rights, preferences, privileges or voting powers of the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contained shall require such vote or approval (i) in connection with any increase in the total number of authorized shares under the Certificate of Incorporation or any authorization, designation or increase of any class or series of shares under the Certificate of Incorporation or (ii) in connection with any consolidation, merger, combination or similar transaction in which the Corporation is the surviving entity which does not adversely affect the rights, preferences, privileges or voting powers of the Preferred Stock.</w:t>
      </w:r>
    </w:p>
    <w:p>
      <w:pPr>
        <w:spacing w:after="0" w:line="124" w:lineRule="exact"/>
        <w:rPr>
          <w:rFonts w:ascii="Times New Roman" w:cs="Times New Roman" w:eastAsia="Times New Roman" w:hAnsi="Times New Roman"/>
          <w:sz w:val="18"/>
          <w:szCs w:val="18"/>
          <w:color w:val="auto"/>
        </w:rPr>
      </w:pPr>
    </w:p>
    <w:p>
      <w:pPr>
        <w:ind w:left="460" w:right="479" w:hanging="6"/>
        <w:spacing w:after="0" w:line="284" w:lineRule="auto"/>
        <w:tabs>
          <w:tab w:leader="none" w:pos="7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One Vote Per Share. </w:t>
      </w:r>
      <w:r>
        <w:rPr>
          <w:rFonts w:ascii="Times New Roman" w:cs="Times New Roman" w:eastAsia="Times New Roman" w:hAnsi="Times New Roman"/>
          <w:sz w:val="18"/>
          <w:szCs w:val="18"/>
          <w:color w:val="auto"/>
        </w:rPr>
        <w:t>On any matter on which Holders are entitled to vote pursuant to this Section 5,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have one (1) vote per share.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hanging="6"/>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Preferred Stock shall be convertible, in whole or in part, at any time and from time to time from and after the Funding Date, at the option of the Holder thereof, at a rate equal to the quotient of (i) $[•], divided by (ii) the volume weighted average price for the 20 trading days during the 30-day period immediately prior to such conversion, provided that in no event shall the denominator be less than $[•] per share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Holders shall effect conversions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by providing the Corporation with the form of conversion notice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such Notice of Conversion to the Corporation (such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 Conversion, the Conversion Date shall be the date such Notice of Conversion to the Corporation is deemed delivered hereunder. Upon delivery of the Notice of Conversion by a Holder, such Holder shall be deemed for all corporate purposes to have become the holder of record of the Conversion Shares with respect to which the Preferred Stock has been converted, irrespective of date of delivery of such Conversion Shares.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Shares of Preferred Stock converted into Common Stock in accordance with the terms hereof shall be canceled and shall not be reissued. In addition, all of the outstanding shares of Preferred Stock shall mandatorily and automatically convert into shares of Common Stock in accordance with this Section 7 upon the affirmative vote of a majority of the issued and outstanding shares of Preferred Stock.</w:t>
      </w:r>
    </w:p>
    <w:p>
      <w:pPr>
        <w:spacing w:after="0" w:line="126" w:lineRule="exact"/>
        <w:rPr>
          <w:sz w:val="20"/>
          <w:szCs w:val="20"/>
          <w:color w:val="auto"/>
        </w:rPr>
      </w:pPr>
    </w:p>
    <w:p>
      <w:pPr>
        <w:ind w:left="700" w:hanging="246"/>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Conversion.</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7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earlier of (i) two (2) Trading Days and (ii) the number of Trading Days comprising the Standard Settlement Period (as defined below) after each Conversion Date (the “</w:t>
      </w:r>
      <w:r>
        <w:rPr>
          <w:rFonts w:ascii="Times New Roman" w:cs="Times New Roman" w:eastAsia="Times New Roman" w:hAnsi="Times New Roman"/>
          <w:sz w:val="18"/>
          <w:szCs w:val="18"/>
          <w:u w:val="single" w:color="auto"/>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Corporation shall deliver, or cause to be delivered, to the converting Holder (A) the number of Conversion Shares being acquired upon the conversion of the Preferred Stock and (B) at the option of the holder</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Dividend Shares or (ii) cash, in each case, in the amount of declared and unpaid dividends on the shares of Preferred Stock subject to conversion. The Corporation shall deliver the Conversion Shares electronically through the Depository Trust Corporation or another established clearing corporation performing similar functions.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Corporation’s primary Trading Market with respect to the Common Stock as in effect on the date of delivery of the Notice of Conversion, but in no event earlier than one</w:t>
      </w:r>
    </w:p>
    <w:p>
      <w:pPr>
        <w:spacing w:after="0" w:line="2" w:lineRule="exact"/>
        <w:rPr>
          <w:rFonts w:ascii="Times New Roman" w:cs="Times New Roman" w:eastAsia="Times New Roman" w:hAnsi="Times New Roman"/>
          <w:sz w:val="18"/>
          <w:szCs w:val="18"/>
          <w:color w:val="auto"/>
        </w:rPr>
      </w:pPr>
    </w:p>
    <w:p>
      <w:pPr>
        <w:jc w:val="both"/>
        <w:ind w:left="46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Trading Day after each Conversion Date. To the extent that the Conversion Shares are subject to an effective registration covering the issuance of such Conversion Shares to, or resale of such Conversion Shares by, the Holder, then such Conversion Shares shall be issued free and clear of any restrictive legends.</w:t>
      </w:r>
    </w:p>
    <w:p>
      <w:pPr>
        <w:spacing w:after="0" w:line="10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Notice of Conversion, such Conversion Shares are not delivered to or as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6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delivery shall not operate as a waiver by the Corporation of any such action that the Corporation may have against such Holder.</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7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covenants that it will at all times reserve and keep available out of its authorized and unissued shares of Common Stock for the sole purpose of issuance upon conversion of the Preferred Stock and payment of dividends on the Preferred Stock, each as provided herein,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and payment of dividends hereunder. The Corporation covenants that all shares of Common Stock that shall be so issuable shall, upon issue, be duly authorized, validly issued, fully paid and nonassessable.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858"/>
        <w:spacing w:after="0" w:line="255" w:lineRule="auto"/>
        <w:tabs>
          <w:tab w:leader="none" w:pos="15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scrip representing fractional shares shall be issued upon the conversion of the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Rate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Corporation (or another established clearing corporation performing similar functions) required for same-day electronic delivery of the Conversion Shares.</w:t>
      </w:r>
    </w:p>
    <w:p>
      <w:pPr>
        <w:spacing w:after="0" w:line="124"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while the Preferred Stock is outstanding, (i) the Corporation, directly or indirectly, in one or more related transactions is a party to any merger or consolidation of the Corporation, (ii) the Corporation, directly or indirectly, effects any sale, lease, license, assignment, transfer, conveyance or other disposition of all or substantially all of its assets in one or a series of related transactions other than in the ordinary course of business, (iii) any, direct or indirect, purchase offer, tender offer or exchange offer (whether by the Corporation or another Person) is completed, (iv) the Corporation, directly or indirectly, in one or more related transactions effects any reclassification, reorganization or recapitalization of the Common Stock or any compulsory share exchange, in each case pursuant to which the Common Stock is converted into, exchanged for or represents solely the right to receive, other securities, cash or property, or any combination thereof (such other securities, cash or property, or combination thereof, the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and the amount and kind of Reference Property that a holder of one share of Common Stock would be entitled to receive on account of such transaction, a “Reference Property Unit”) (each such transaction,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notwithstanding anything to the contrary herein, (I) at the effective time of such Fundamental Transaction, the Conversion Shares due upon conversion of any Preferred Stock shall be determined in the same manner as if each reference to any number of shares of Common Stock in this Certificate of Designation were instead a reference to the same number of Reference Property Units and (II) if such Reference Property Unit consists of any security of a Person other than the Corporation, then such Person (and, as a condition to the Corporation effecting such Fundamental Transaction, the Corporation shall ensure that such Person) shall execute such instruments as shall be necessary to give effect to this Section 7(c). If holders of Common Stock are given any choice as to the securities, cash or property to be received in such Fundamental Transaction, then each Holder shall be given the same choice as to the Reference Property Unit it receives upon any conversion of the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Reference Property Units. The Corporation shall cause any successor entity in a Fundamental Transaction in which the Corporation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Corporation under this Certificate of Designation and the other Transaction Documents in accordance with the provisions of this Section 7(c) pursuant to written agreements in form and substance reasonably satisfactory to the Holders and approved by the Holders (without unreasonable delay) prior to such Fundamental Transaction and shall, at the option of the Holders, deliver to the Holder in exchange for the Preferred Stock a security of the Successor Entity evidenced by a written instrument substantially similar in form and substance to the Preferred Stock which is convertible in accordance with this Section 7(c), and which is reasonably satisfactory in form and substance to the Holders. Upon the occurrence of any such Fundamental Transaction, the Successor Entity shall succeed to, and, except in the case of a lease,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Adjustments; Rights of Holders Upon Certain Dividends, Distributions or Fundamental Transactions.</w:t>
      </w:r>
    </w:p>
    <w:p>
      <w:pPr>
        <w:spacing w:after="0" w:line="169" w:lineRule="exact"/>
        <w:rPr>
          <w:sz w:val="20"/>
          <w:szCs w:val="20"/>
          <w:color w:val="auto"/>
        </w:rPr>
      </w:pPr>
    </w:p>
    <w:p>
      <w:pPr>
        <w:jc w:val="both"/>
        <w:ind w:left="460" w:right="459" w:hanging="6"/>
        <w:spacing w:after="0" w:line="254"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while any Preferred Stock is outstanding: (i) pays a stock dividend or otherwise makes a distribution or distributions payable in shares of Common Stock on shares of Common Stock, (ii) subdivides outstanding shares of Common Stock into a larger number of shares or (iii) combines (including by way of a reverse stock split) outstanding shares of Common Stock into a smaller number of shares, then the Conversion Rate shall be adjusted to equal an amount equal to such Conversion Rate immediately before such adjustment multiplied by a fraction of which the numerator shall be the number of shares of Common Stock outstanding immediately before giving effect to such event, and of which the denominator shall be the number of shares of Common Stock outstanding immediately after giving effect to such event as applicable.</w:t>
      </w:r>
    </w:p>
    <w:p>
      <w:pPr>
        <w:spacing w:after="0" w:line="120"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without duplication of any dividends to be due on Preferred Stock pursuant to Section 3(a), each Holder will be entitled to acquire, upon the terms applicable to such Purchase Rights, the aggregate Purchase Rights which the Holder could have acquired if such Holder had held the number of shares of Common Stock acquirable upon conversion of such Holder’s Preferred Stock (without regard to any limitations on exercise hereof) on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1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8 shall be made to the nearest cent or the nearest 1/100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of a share, as the case may be. For purposes of this Section 8, the number of shares of Common Stock deemed to be issued and outstanding as of a given date shall be the sum of the number of shares of Common Stock (excluding any treasury shares of the Corporation) issued and outstanding.</w:t>
      </w:r>
    </w:p>
    <w:p>
      <w:pPr>
        <w:spacing w:after="0" w:line="123"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Holders.</w:t>
      </w:r>
    </w:p>
    <w:p>
      <w:pPr>
        <w:spacing w:after="0" w:line="157" w:lineRule="exact"/>
        <w:rPr>
          <w:rFonts w:ascii="Times New Roman" w:cs="Times New Roman" w:eastAsia="Times New Roman" w:hAnsi="Times New Roman"/>
          <w:sz w:val="18"/>
          <w:szCs w:val="18"/>
          <w:color w:val="auto"/>
        </w:rPr>
      </w:pPr>
    </w:p>
    <w:p>
      <w:pPr>
        <w:jc w:val="both"/>
        <w:ind w:left="680" w:right="479" w:firstLine="854"/>
        <w:spacing w:after="0" w:line="266" w:lineRule="auto"/>
        <w:tabs>
          <w:tab w:leader="none" w:pos="17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pursuant to any provision of this Section 8, the Corporation shall promptly deliver to each Holder a notice setting forth the Conversion Rate after such adjustment and setting forth a brief statement of the facts requiring such adjustment.</w:t>
      </w:r>
    </w:p>
    <w:p>
      <w:pPr>
        <w:spacing w:after="0" w:line="94" w:lineRule="exact"/>
        <w:rPr>
          <w:rFonts w:ascii="Times New Roman" w:cs="Times New Roman" w:eastAsia="Times New Roman" w:hAnsi="Times New Roman"/>
          <w:sz w:val="18"/>
          <w:szCs w:val="18"/>
          <w:color w:val="auto"/>
        </w:rPr>
      </w:pPr>
    </w:p>
    <w:p>
      <w:pPr>
        <w:jc w:val="both"/>
        <w:ind w:left="680" w:right="459" w:firstLine="854"/>
        <w:spacing w:after="0" w:line="251" w:lineRule="auto"/>
        <w:tabs>
          <w:tab w:leader="none" w:pos="182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share exchange, dissolution, liquidation or winding up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share exchange, dissolution, liquidation or winding up, provided that the failure to deliver such notice or any defect therein or in the delivery thereof shall not affect the validity of the corporate action required to be specified in such notice.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Repurchased or Reacquired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of Preferred Stock that have been repurchased or reacquired by the Corporation shall be restored to the status of authorized, unissued and undesignated shares that shall be available for future issuance.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applicable Law, the Corporation and the Corporation’s transfer agent for the Preferred Stock may deem and treat the Holder of any share of Preferred Stock as the true and lawful owner thereof for all purposes, and neither the Corporation nor such transfer agent shall be affected by any notice to the contrary.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hereunder, all notices and other communications referred to herein shall be in writing and delivered personally or sent by e-mail or by reputable overnight courier service, charges prepaid:</w:t>
      </w:r>
    </w:p>
    <w:p>
      <w:pPr>
        <w:spacing w:after="0" w:line="95" w:lineRule="exact"/>
        <w:rPr>
          <w:sz w:val="20"/>
          <w:szCs w:val="20"/>
          <w:color w:val="auto"/>
        </w:rPr>
      </w:pPr>
    </w:p>
    <w:p>
      <w:pPr>
        <w:ind w:left="460" w:right="479" w:hanging="6"/>
        <w:spacing w:after="0" w:line="282" w:lineRule="auto"/>
        <w:tabs>
          <w:tab w:leader="none" w:pos="7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Corporation as follows, or as otherwise specified in a written notice given to each of the Holders in accordance with this Section 11:</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both"/>
        <w:ind w:left="460" w:right="459" w:hanging="6"/>
        <w:spacing w:after="0" w:line="254" w:lineRule="auto"/>
        <w:tabs>
          <w:tab w:leader="none" w:pos="7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Holder, by e-mail if such Holder has provided an e-mail address to the Corporation or its transfer agent for purposes of notification, or, if no such e-mail address is available, to such Holder’s address as it appears in the stock records of the Corporation or as otherwise specified in a written notice given by such Holder to the Corporation or, at the Corporation’s option with respect to any notice from the Corporation to a Holder, in accordance with customary practices of the Corporation’s transfer agent. Any such notice or communication given as provided above shall be deemed received by the receiving party upon: actual receipt, if delivered personally; actual delivery, if delivered in accordance with customary practices of the Corporation’s transfer agent; on the next Business Day after deposit with an overnight courier, if sent by an overnight courier; or on the next Business Day after transmission, if sent by e-mail.</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Absolute Obligation.</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expressly provided herein, no provision of this Certificate of Designation shall alter or impair the obligation of the Corporation, which is absolute and unconditional, to pay liquidated damages, declared and unpaid dividends and accrued interest, as applicable, on the shares of Preferred Stock at the time, place, and rate, and in the coin or currency, herein prescribed.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Replacement Certificates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 and any other documentation as may be required by the Corporation’s transfer agent.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Waiver.</w:t>
      </w:r>
    </w:p>
    <w:p>
      <w:pPr>
        <w:spacing w:after="0" w:line="15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Whenever any payment or other obligation hereunder shall be due on a day other than a Business Day, such payment shall be made on the next succeeding Business Day.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headings contained herein are for convenience only, do not constitute a part of this Certificate of Designation and shall not be deemed to limit or affect any of the provisions hereof.</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Status of Converted Preferred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Shares of Preferred Stock may only be issued pursuant to the Purchase Agreement. If any shares of Preferred Stock shall be converted or reacquired by the Corporation, such shares shall resume the status of authorized but unissued shares of preferred stock and shall no longer be designated as Series [A] Convertible Preferred Stock.</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shares of Preferred Stock shall not have any rights, preferences, privileges or voting powers or relative, participating, optional or other special rights, or qualifications, limitations or restrictions thereof, other than as set forth herein or in the Certificate of Incorporation or as required by applicable Law.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in this Certificate of Designations shall have their respective meanings as defined below:</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and any day which is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means this Certificate of Designation relating to the Preferred Stock, as it may be amended from time to time.</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Amended and Restated Certificate of Incorporation of the Corporation, as it may be amended from time to time, and shall include this Certificate of Designation.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Corporation, par value $0.0001 per share, and stock of any other class of securities into which such securities may hereafter be reclassified or changed.</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preferred stock, rights, options, warrants or other instrument that is at any time convertible into or exercisable or exchangeable for, or otherwise entitles the holder thereof to receive, Common Stock.</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7(a).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has the meaning set forth in Section 7(a).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Preferred Stock in accordance with the terms hereof.</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shall have the meaning set forth in Section 3(a).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Shares</w:t>
      </w:r>
      <w:r>
        <w:rPr>
          <w:rFonts w:ascii="Times New Roman" w:cs="Times New Roman" w:eastAsia="Times New Roman" w:hAnsi="Times New Roman"/>
          <w:sz w:val="18"/>
          <w:szCs w:val="18"/>
          <w:color w:val="auto"/>
        </w:rPr>
        <w:t>” shall have the meaning set forth in Section 3(a).</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(or any successor legislation which shall be in effect at the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shall have the meaning set forth in Section 7(c).</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shall mean the date on which shares of Preferred Stock are first issued to the initial Holder(s) thereof.</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United States, European Union, national, federal, state, provincial, county, municipal or other local government or governmental department, commission, board, bureau, agency or instrumentality, or any court, in each case whether of the United States of America or any other country applicable to a specified Person.</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holder of record of one (1) or more shares of Preferred Stock, as reflected in the stock records of the Corporation or the transfer agent, which may be treated by the Corporation and the transfer agent as the absolute owner of such shares for all purposes to the fullest extent permitted by applicable Law.</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the Common Stock and any other class or series of equity securities of the Corporation, whether currently issued or issued in the future, which ranks junior to the Preferred Stock either or both as to the payment of dividends and/or as to the distribution of assets on any Liquidation.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rule or regulation of any Governmental Authority.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has the meaning set forth in Section 4(a).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has the meaning set forth in Section 4(a).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7(a).</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estate, trust, common or collective fund, association, private foundation, joint stock company or other entity and includes a group as that term is used for purposes of Section 13(d)(3) of the Exchange Act.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Section 1.</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Preferred Shares</w:t>
      </w:r>
      <w:r>
        <w:rPr>
          <w:rFonts w:ascii="Times New Roman" w:cs="Times New Roman" w:eastAsia="Times New Roman" w:hAnsi="Times New Roman"/>
          <w:sz w:val="18"/>
          <w:szCs w:val="18"/>
          <w:color w:val="auto"/>
        </w:rPr>
        <w:t>” means shares of capital stock that are of senior or pari passu rank to the Preferred Stock in respect of the preferences as to dividends, distributions and payments upon the liquidation, dissolution and winding up of the Corporation.</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7(b)(i).</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shall have the meaning set forth in Section 1.</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means the Subscription Agreement, dated [•] 2026, among the Corporation and the original Holders, as amended, modified or supplemented from time to time in accordance with its terms.</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Corporation and shall, where applicable, also include any direct or indirect subsidiary of the Corporation formed or acquired after the date of the Purchase Agreement.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shall have the meaning set forth in Section 7(c).</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Certificate of Designation, the Subscription Agreement, all exhibits and schedules thereto and hereto and any other documents or agreements executed in connection with the transactions contemplated pursuant to the Subscription Agreement.</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Corporation, the current transfer agent of the Corporation, and any successor transfer agent of the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Certificate of Designation to be executed by its duly authorized officer on this ___ day of [•], 2026.</w:t>
      </w:r>
    </w:p>
    <w:p>
      <w:pPr>
        <w:spacing w:after="0" w:line="1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6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7" w:lineRule="exact"/>
        <w:rPr>
          <w:sz w:val="20"/>
          <w:szCs w:val="20"/>
          <w:color w:val="auto"/>
        </w:rPr>
      </w:pPr>
    </w:p>
    <w:p>
      <w:pPr>
        <w:jc w:val="center"/>
        <w:ind w:left="460" w:right="479"/>
        <w:spacing w:after="0" w:line="260" w:lineRule="auto"/>
        <w:rPr>
          <w:sz w:val="20"/>
          <w:szCs w:val="20"/>
          <w:color w:val="auto"/>
        </w:rPr>
      </w:pPr>
      <w:r>
        <w:rPr>
          <w:rFonts w:ascii="Times New Roman" w:cs="Times New Roman" w:eastAsia="Times New Roman" w:hAnsi="Times New Roman"/>
          <w:sz w:val="18"/>
          <w:szCs w:val="18"/>
          <w:color w:val="auto"/>
        </w:rPr>
        <w:t>(TO BE EXECUTED BY THE REGISTERED HOLDER IN ORDER TO CONVERT SHARES OF SERIES [A] CONVERTIBLE PREFERRED STOCK)</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[A] Convertible Preferred Stock, par value $0.0001 per share (the “Preferred Stock”), of CID HoldCo, Inc., a Delaware corporation (the “Corporation”), indicated below into shares of common stock, par value $0.0001 per share (the “Common Stock”), of the Corporation, in accordance with the Certificate of Designation governing such Preferred Stock,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No fee will be charged to the Holders for any conversion, except for any such transfer taxes.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to Effect Conversion: 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owned prior to Conversion: 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to be Converted: 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Stated  Value  plus  Declared  and  Unpaid  Dividends  of  shares  of  Preferred  Stock  to  be  Converted: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Common Stock to be Issued: 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Conversion Price: 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Preferred Stock subsequent to Conversion: _______________</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for Delivery: _______________</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DWAC Instructions: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Broker no: _______________</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no: _______________</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[HOLDER]</w:t>
      </w:r>
    </w:p>
    <w:p>
      <w:pPr>
        <w:spacing w:after="0" w:line="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7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AMENDMENT TO THE CID HOLDCO, INC. 2024 EQUITY INCENTIVE PLAN</w:t>
      </w:r>
    </w:p>
    <w:p>
      <w:pPr>
        <w:spacing w:after="0" w:line="162"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WHEREAS, CID Holdco, Inc. (the “Company”) maintains the CID Holdco, Inc. 2024 Equity Incentive Plan (the “Plan”); and</w:t>
      </w:r>
    </w:p>
    <w:p>
      <w:pPr>
        <w:spacing w:after="0" w:line="94" w:lineRule="exact"/>
        <w:rPr>
          <w:sz w:val="20"/>
          <w:szCs w:val="20"/>
          <w:color w:val="auto"/>
        </w:rPr>
      </w:pPr>
    </w:p>
    <w:p>
      <w:pPr>
        <w:ind w:left="1100" w:right="839"/>
        <w:spacing w:after="0" w:line="414" w:lineRule="auto"/>
        <w:rPr>
          <w:sz w:val="20"/>
          <w:szCs w:val="20"/>
          <w:color w:val="auto"/>
        </w:rPr>
      </w:pPr>
      <w:r>
        <w:rPr>
          <w:rFonts w:ascii="Times New Roman" w:cs="Times New Roman" w:eastAsia="Times New Roman" w:hAnsi="Times New Roman"/>
          <w:sz w:val="18"/>
          <w:szCs w:val="18"/>
          <w:color w:val="auto"/>
        </w:rPr>
        <w:t>WHEREAS, Section 17 of the Plan provides that the Plan may be amended from time to time; and WHEREAS, the Company desires to amend the Plan in certain respects;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NOW, THEREFORE, the Plan is hereby amended, effective as of the date the stockholders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approve this amendment, in the following respects:</w:t>
      </w:r>
    </w:p>
    <w:p>
      <w:pPr>
        <w:spacing w:after="0" w:line="139" w:lineRule="exact"/>
        <w:rPr>
          <w:sz w:val="20"/>
          <w:szCs w:val="20"/>
          <w:color w:val="auto"/>
        </w:rPr>
      </w:pPr>
    </w:p>
    <w:p>
      <w:pPr>
        <w:ind w:left="1740" w:hanging="638"/>
        <w:spacing w:after="0"/>
        <w:tabs>
          <w:tab w:leader="none" w:pos="1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amended to read in its entirety as follows:</w:t>
      </w:r>
    </w:p>
    <w:p>
      <w:pPr>
        <w:spacing w:after="0" w:line="140" w:lineRule="exact"/>
        <w:rPr>
          <w:sz w:val="20"/>
          <w:szCs w:val="20"/>
          <w:color w:val="auto"/>
        </w:rPr>
      </w:pPr>
    </w:p>
    <w:p>
      <w:pPr>
        <w:jc w:val="both"/>
        <w:ind w:left="1100" w:right="1119"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4.1 Maximum Number of Shares Issuable</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the maximum aggregate number of shares of Stock that may be issued under the Plan shall be equal to 17,032,521 shares, which is the sum of (i) 2,032,521 shares which reflects the shares of Stock authorized for issuance under the Plan as of the Effective Date, plus (ii) 15,000,000 shares which were approved at the Company’s 2026 Annual Meeting of Stockholders (together, the “</w:t>
      </w:r>
      <w:r>
        <w:rPr>
          <w:rFonts w:ascii="Times New Roman" w:cs="Times New Roman" w:eastAsia="Times New Roman" w:hAnsi="Times New Roman"/>
          <w:sz w:val="18"/>
          <w:szCs w:val="18"/>
          <w:b w:val="1"/>
          <w:bCs w:val="1"/>
          <w:color w:val="auto"/>
        </w:rPr>
        <w:t>Base Reserve</w:t>
      </w:r>
      <w:r>
        <w:rPr>
          <w:rFonts w:ascii="Times New Roman" w:cs="Times New Roman" w:eastAsia="Times New Roman" w:hAnsi="Times New Roman"/>
          <w:sz w:val="18"/>
          <w:szCs w:val="18"/>
          <w:color w:val="auto"/>
        </w:rPr>
        <w:t>”) plus an annual increase, effective as of the first day of the Company’s fiscal year beginning in the year following the fiscal year in which the Company’s stockholders initially approved the Plan and the first day of each subsequent fiscal year through and including the first day of the Company’s fiscal year beginning on the tenth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anniversary of the commencement of such annual increase, equal to the lesser of (i) ten percent (10%)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spacing w:after="0" w:line="123"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conflict between the terms and conditions of the Plan and the terms and conditions of this Amendment, the terms and conditions of this Amendment shall prevail and control. If any term or provision of this Amendment or the application thereof to any persons or circumstances shall, to any extent, be invalid or unenforceable, the remainder of this Amendment or the application of such term or provision to persons or circumstances other than those as to which it is held invalid or unenforceable shall not be affected thereby, and each term and provision of this Amendment shall be valid and enforced to the fullest extent permitted by law.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Amendment as of the date first written above on behalf of the Company.</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CID HOLDCO, INC.</w:t>
      </w:r>
    </w:p>
    <w:p>
      <w:pPr>
        <w:spacing w:after="0" w:line="210" w:lineRule="exact"/>
        <w:rPr>
          <w:sz w:val="20"/>
          <w:szCs w:val="20"/>
          <w:color w:val="auto"/>
        </w:rPr>
      </w:pPr>
    </w:p>
    <w:p>
      <w:pPr>
        <w:ind w:left="4780"/>
        <w:spacing w:after="0"/>
        <w:tabs>
          <w:tab w:leader="none" w:pos="5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Edmund Nabrotzky</w:t>
      </w:r>
    </w:p>
    <w:p>
      <w:pPr>
        <w:spacing w:after="0" w:line="6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-119380</wp:posOffset>
            </wp:positionV>
            <wp:extent cx="20148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57" w:lineRule="exact"/>
        <w:rPr>
          <w:sz w:val="20"/>
          <w:szCs w:val="20"/>
          <w:color w:val="auto"/>
        </w:rPr>
      </w:pPr>
    </w:p>
    <w:p>
      <w:pPr>
        <w:ind w:left="4780"/>
        <w:spacing w:after="0"/>
        <w:tabs>
          <w:tab w:leader="none" w:pos="53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18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REVOCABLE PROXY IS SOLICITED BY THE BOARD OF DIRECTORS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undersigned hereby appoints [_____] and [_____], and each of them as proxies, each with full power of substitution, and authorizes</w:t>
      </w:r>
    </w:p>
    <w:p>
      <w:pPr>
        <w:spacing w:after="0" w:line="4" w:lineRule="exact"/>
        <w:rPr>
          <w:sz w:val="20"/>
          <w:szCs w:val="20"/>
          <w:color w:val="auto"/>
        </w:rPr>
      </w:pPr>
    </w:p>
    <w:p>
      <w:pPr>
        <w:ind w:left="460" w:right="479"/>
        <w:spacing w:after="0" w:line="230" w:lineRule="auto"/>
        <w:rPr>
          <w:sz w:val="20"/>
          <w:szCs w:val="20"/>
          <w:color w:val="auto"/>
        </w:rPr>
      </w:pPr>
      <w:r>
        <w:rPr>
          <w:rFonts w:ascii="Times New Roman" w:cs="Times New Roman" w:eastAsia="Times New Roman" w:hAnsi="Times New Roman"/>
          <w:sz w:val="14"/>
          <w:szCs w:val="14"/>
          <w:color w:val="auto"/>
        </w:rPr>
        <w:t>them to represent and to vote all the shares of common stock of CID Holdco, Inc. (the “Company”) which the undersigned is entitled to vote at the Annual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w:t>
      </w:r>
    </w:p>
    <w:p>
      <w:pPr>
        <w:spacing w:after="0" w:line="15" w:lineRule="exact"/>
        <w:rPr>
          <w:sz w:val="20"/>
          <w:szCs w:val="20"/>
          <w:color w:val="auto"/>
        </w:rPr>
      </w:pPr>
    </w:p>
    <w:p>
      <w:pPr>
        <w:ind w:left="460" w:right="479"/>
        <w:spacing w:after="0" w:line="241" w:lineRule="auto"/>
        <w:rPr>
          <w:sz w:val="20"/>
          <w:szCs w:val="20"/>
          <w:color w:val="auto"/>
        </w:rPr>
      </w:pPr>
      <w:r>
        <w:rPr>
          <w:rFonts w:ascii="Times New Roman" w:cs="Times New Roman" w:eastAsia="Times New Roman" w:hAnsi="Times New Roman"/>
          <w:sz w:val="14"/>
          <w:szCs w:val="14"/>
          <w:color w:val="auto"/>
        </w:rPr>
        <w:t>THIS PROXY, IF PROPERLY SIGNED AND DATED, WILL BE VOTED AS DIRECTED, BUT IF NO INSTRUCTIONS ARE SPECIFIED IT WILL BE VOTED “FOR” THE DIRECTOR NOMINEE AND “FOR” PROPOSALS 2, 3, 4, 5, 6, AND 7, AND IN THEIR DISCRETION, UPON SUCH OTHER BUSINESS AS PROPERLY COMES BEFORE THE MEETING.</w:t>
      </w:r>
    </w:p>
    <w:p>
      <w:pPr>
        <w:spacing w:after="0" w:line="15" w:lineRule="exact"/>
        <w:rPr>
          <w:sz w:val="20"/>
          <w:szCs w:val="20"/>
          <w:color w:val="auto"/>
        </w:rPr>
      </w:pPr>
    </w:p>
    <w:p>
      <w:pPr>
        <w:ind w:left="460" w:right="519"/>
        <w:spacing w:after="0" w:line="233" w:lineRule="auto"/>
        <w:rPr>
          <w:sz w:val="20"/>
          <w:szCs w:val="20"/>
          <w:color w:val="auto"/>
        </w:rPr>
      </w:pPr>
      <w:r>
        <w:rPr>
          <w:rFonts w:ascii="Times New Roman" w:cs="Times New Roman" w:eastAsia="Times New Roman" w:hAnsi="Times New Roman"/>
          <w:sz w:val="14"/>
          <w:szCs w:val="14"/>
          <w:color w:val="auto"/>
        </w:rPr>
        <w:t>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w:t>
      </w:r>
    </w:p>
    <w:p>
      <w:pPr>
        <w:spacing w:after="0" w:line="15" w:lineRule="exact"/>
        <w:rPr>
          <w:sz w:val="20"/>
          <w:szCs w:val="20"/>
          <w:color w:val="auto"/>
        </w:rPr>
      </w:pPr>
    </w:p>
    <w:p>
      <w:pPr>
        <w:ind w:left="460" w:right="559"/>
        <w:spacing w:after="0" w:line="260" w:lineRule="auto"/>
        <w:rPr>
          <w:sz w:val="20"/>
          <w:szCs w:val="20"/>
          <w:color w:val="auto"/>
        </w:rPr>
      </w:pPr>
      <w:r>
        <w:rPr>
          <w:rFonts w:ascii="Times New Roman" w:cs="Times New Roman" w:eastAsia="Times New Roman" w:hAnsi="Times New Roman"/>
          <w:sz w:val="14"/>
          <w:szCs w:val="14"/>
          <w:color w:val="auto"/>
        </w:rPr>
        <w:t>The undersigned acknowledges receipt from the Company, prior to the execution of this proxy, of the Notice of Annual Meeting, the Proxy Statement for the Annual Meeting, and the Annual Report on Form 10-K.</w:t>
      </w:r>
    </w:p>
    <w:p>
      <w:pPr>
        <w:ind w:left="1760"/>
        <w:spacing w:after="0"/>
        <w:rPr>
          <w:sz w:val="20"/>
          <w:szCs w:val="20"/>
          <w:color w:val="auto"/>
        </w:rPr>
      </w:pPr>
      <w:r>
        <w:rPr>
          <w:rFonts w:ascii="Times New Roman" w:cs="Times New Roman" w:eastAsia="Times New Roman" w:hAnsi="Times New Roman"/>
          <w:sz w:val="14"/>
          <w:szCs w:val="14"/>
          <w:b w:val="1"/>
          <w:bCs w:val="1"/>
          <w:color w:val="auto"/>
        </w:rPr>
        <w:t>Please complete, sign and date this proxy and return it promptly in the enclosed envelope.</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Board of Directors unanimously recommends a vote “FOR” proposals 1, 2, 3, 4, 5, 6 and 7.</w:t>
      </w:r>
    </w:p>
    <w:p>
      <w:pPr>
        <w:spacing w:after="0" w:line="42" w:lineRule="exact"/>
        <w:rPr>
          <w:sz w:val="20"/>
          <w:szCs w:val="20"/>
          <w:color w:val="auto"/>
        </w:rPr>
      </w:pPr>
    </w:p>
    <w:p>
      <w:pPr>
        <w:ind w:left="880" w:hanging="426"/>
        <w:spacing w:after="0"/>
        <w:tabs>
          <w:tab w:leader="none" w:pos="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 one Class I Director to the board of directors.</w:t>
      </w:r>
    </w:p>
    <w:p>
      <w:pPr>
        <w:spacing w:after="0" w:line="226" w:lineRule="exact"/>
        <w:rPr>
          <w:sz w:val="20"/>
          <w:szCs w:val="20"/>
          <w:color w:val="auto"/>
        </w:rPr>
      </w:pPr>
    </w:p>
    <w:p>
      <w:pPr>
        <w:ind w:left="800"/>
        <w:spacing w:after="0" w:line="161" w:lineRule="exact"/>
        <w:tabs>
          <w:tab w:leader="none" w:pos="3800" w:val="left"/>
          <w:tab w:leader="none" w:pos="4120" w:val="left"/>
          <w:tab w:leader="none" w:pos="7380" w:val="left"/>
          <w:tab w:leader="none" w:pos="7820" w:val="left"/>
        </w:tabs>
        <w:rPr>
          <w:sz w:val="20"/>
          <w:szCs w:val="20"/>
          <w:color w:val="auto"/>
        </w:rPr>
      </w:pPr>
      <w:r>
        <w:rPr>
          <w:rFonts w:ascii="Times New Roman" w:cs="Times New Roman" w:eastAsia="Times New Roman" w:hAnsi="Times New Roman"/>
          <w:sz w:val="14"/>
          <w:szCs w:val="14"/>
          <w:color w:val="auto"/>
        </w:rPr>
        <w:t>1. Phyllis Newhouse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p>
    <w:p>
      <w:pPr>
        <w:spacing w:after="0" w:line="248" w:lineRule="exact"/>
        <w:rPr>
          <w:sz w:val="20"/>
          <w:szCs w:val="20"/>
          <w:color w:val="auto"/>
        </w:rPr>
      </w:pPr>
    </w:p>
    <w:p>
      <w:pPr>
        <w:ind w:left="880" w:right="499" w:hanging="426"/>
        <w:spacing w:after="0" w:line="261" w:lineRule="auto"/>
        <w:tabs>
          <w:tab w:leader="none" w:pos="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the appointment of Carr, Riggs &amp; Ingram, LLC as the Company’s independent registered public accounting firm for the fiscal year ending December 31, 2026.</w:t>
      </w:r>
    </w:p>
    <w:p>
      <w:pPr>
        <w:spacing w:after="0" w:line="172"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62" w:lineRule="exact"/>
        <w:rPr>
          <w:sz w:val="20"/>
          <w:szCs w:val="20"/>
          <w:color w:val="auto"/>
        </w:rPr>
      </w:pPr>
    </w:p>
    <w:p>
      <w:pPr>
        <w:ind w:left="880" w:right="619" w:hanging="426"/>
        <w:spacing w:after="0" w:line="241" w:lineRule="auto"/>
        <w:tabs>
          <w:tab w:leader="none" w:pos="8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on a proposal to approve an amendment to our Amended and Restated Certificate of Incorporation to authorize the Board of Directors of the Company to effect one or more reverse stock splits by a ratio of not less than one-for-ten (1:10) and not more than one-for-twenty-five (1:25).</w:t>
      </w:r>
    </w:p>
    <w:p>
      <w:pPr>
        <w:spacing w:after="0" w:line="186"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48" w:lineRule="exact"/>
        <w:rPr>
          <w:sz w:val="20"/>
          <w:szCs w:val="20"/>
          <w:color w:val="auto"/>
        </w:rPr>
      </w:pPr>
    </w:p>
    <w:p>
      <w:pPr>
        <w:ind w:left="880" w:right="479" w:hanging="426"/>
        <w:spacing w:after="0" w:line="258" w:lineRule="auto"/>
        <w:tabs>
          <w:tab w:leader="none" w:pos="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on a proposal to approve, for purposes of complying with Nasdaq Listing Rules 5635(b) and 5635(d), the issuance of shares of Common Stock and warrants to purchase shares of Common Stock in connection with the following potential financing transactions:</w:t>
      </w:r>
    </w:p>
    <w:p>
      <w:pPr>
        <w:ind w:left="1320" w:right="539" w:hanging="434"/>
        <w:spacing w:after="0" w:line="230" w:lineRule="auto"/>
        <w:tabs>
          <w:tab w:leader="none" w:pos="1334"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Proposal A: Financing documents between the Company and one or more potential financing sources (“</w:t>
      </w:r>
      <w:r>
        <w:rPr>
          <w:rFonts w:ascii="Times New Roman" w:cs="Times New Roman" w:eastAsia="Times New Roman" w:hAnsi="Times New Roman"/>
          <w:sz w:val="14"/>
          <w:szCs w:val="14"/>
          <w:b w:val="1"/>
          <w:bCs w:val="1"/>
          <w:i w:val="1"/>
          <w:iCs w:val="1"/>
          <w:color w:val="auto"/>
        </w:rPr>
        <w:t>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Source A</w:t>
      </w:r>
      <w:r>
        <w:rPr>
          <w:rFonts w:ascii="Times New Roman" w:cs="Times New Roman" w:eastAsia="Times New Roman" w:hAnsi="Times New Roman"/>
          <w:sz w:val="14"/>
          <w:szCs w:val="14"/>
          <w:color w:val="auto"/>
        </w:rPr>
        <w:t>”), including a common stock purchase agreement establishing an equity line of credit, a note purchase agreement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related senior secured convertible promissory note, and a common stock purchase warrant, in order to, among other things, make scheduled monthly payments under that certain Loan Agreement, dated December 4, 2025, between the Company and J.J. Astor &amp; Co. (the “</w:t>
      </w:r>
      <w:r>
        <w:rPr>
          <w:rFonts w:ascii="Times New Roman" w:cs="Times New Roman" w:eastAsia="Times New Roman" w:hAnsi="Times New Roman"/>
          <w:sz w:val="14"/>
          <w:szCs w:val="14"/>
          <w:b w:val="1"/>
          <w:bCs w:val="1"/>
          <w:i w:val="1"/>
          <w:iCs w:val="1"/>
          <w:color w:val="auto"/>
        </w:rPr>
        <w:t>J.J. Astor Loan</w:t>
      </w:r>
      <w:r>
        <w:rPr>
          <w:rFonts w:ascii="Times New Roman" w:cs="Times New Roman" w:eastAsia="Times New Roman" w:hAnsi="Times New Roman"/>
          <w:sz w:val="14"/>
          <w:szCs w:val="14"/>
          <w:color w:val="auto"/>
        </w:rPr>
        <w:t>”) and terminate that certain Share Purchase Agreement (the “</w:t>
      </w:r>
      <w:r>
        <w:rPr>
          <w:rFonts w:ascii="Times New Roman" w:cs="Times New Roman" w:eastAsia="Times New Roman" w:hAnsi="Times New Roman"/>
          <w:sz w:val="14"/>
          <w:szCs w:val="14"/>
          <w:b w:val="1"/>
          <w:bCs w:val="1"/>
          <w:i w:val="1"/>
          <w:iCs w:val="1"/>
          <w:color w:val="auto"/>
        </w:rPr>
        <w:t>Original ELOC</w:t>
      </w:r>
      <w:r>
        <w:rPr>
          <w:rFonts w:ascii="Times New Roman" w:cs="Times New Roman" w:eastAsia="Times New Roman" w:hAnsi="Times New Roman"/>
          <w:sz w:val="14"/>
          <w:szCs w:val="14"/>
          <w:color w:val="auto"/>
        </w:rPr>
        <w:t>”) with New Circle Principal Investments LLC, a Delaware limited liability company (“</w:t>
      </w:r>
      <w:r>
        <w:rPr>
          <w:rFonts w:ascii="Times New Roman" w:cs="Times New Roman" w:eastAsia="Times New Roman" w:hAnsi="Times New Roman"/>
          <w:sz w:val="14"/>
          <w:szCs w:val="14"/>
          <w:b w:val="1"/>
          <w:bCs w:val="1"/>
          <w:i w:val="1"/>
          <w:iCs w:val="1"/>
          <w:color w:val="auto"/>
        </w:rPr>
        <w:t>New Circle</w:t>
      </w:r>
      <w:r>
        <w:rPr>
          <w:rFonts w:ascii="Times New Roman" w:cs="Times New Roman" w:eastAsia="Times New Roman" w:hAnsi="Times New Roman"/>
          <w:sz w:val="14"/>
          <w:szCs w:val="14"/>
          <w:color w:val="auto"/>
        </w:rPr>
        <w:t>”), in an amount that may exceed 20% of the Company’s Common Stock currently outstanding;</w:t>
      </w:r>
    </w:p>
    <w:p>
      <w:pPr>
        <w:spacing w:after="0" w:line="202"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44" w:lineRule="exact"/>
        <w:rPr>
          <w:sz w:val="20"/>
          <w:szCs w:val="20"/>
          <w:color w:val="auto"/>
        </w:rPr>
      </w:pPr>
    </w:p>
    <w:p>
      <w:pPr>
        <w:ind w:left="1320" w:right="619" w:hanging="434"/>
        <w:spacing w:after="0" w:line="237" w:lineRule="auto"/>
        <w:tabs>
          <w:tab w:leader="none" w:pos="133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Proposal B: Financing documents between the Company and one or more potential financing sources (“</w:t>
      </w:r>
      <w:r>
        <w:rPr>
          <w:rFonts w:ascii="Times New Roman" w:cs="Times New Roman" w:eastAsia="Times New Roman" w:hAnsi="Times New Roman"/>
          <w:sz w:val="14"/>
          <w:szCs w:val="14"/>
          <w:b w:val="1"/>
          <w:bCs w:val="1"/>
          <w:i w:val="1"/>
          <w:iCs w:val="1"/>
          <w:color w:val="auto"/>
        </w:rPr>
        <w:t>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Source B</w:t>
      </w:r>
      <w:r>
        <w:rPr>
          <w:rFonts w:ascii="Times New Roman" w:cs="Times New Roman" w:eastAsia="Times New Roman" w:hAnsi="Times New Roman"/>
          <w:sz w:val="14"/>
          <w:szCs w:val="14"/>
          <w:color w:val="auto"/>
        </w:rPr>
        <w:t>”), including a common stock purchase agreement establishing an equity line of credit, a preferred stock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 and a common stock purchase warrant, in order to, among other things, entirely pay off the J.J. Astor Loan and terminate the Original ELOC, in an amount that may exceed 20% of the Company’s Common Stock currently outstanding.</w:t>
      </w:r>
    </w:p>
    <w:p>
      <w:pPr>
        <w:spacing w:after="0" w:line="187"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62" w:lineRule="exact"/>
        <w:rPr>
          <w:sz w:val="20"/>
          <w:szCs w:val="20"/>
          <w:color w:val="auto"/>
        </w:rPr>
      </w:pPr>
    </w:p>
    <w:p>
      <w:pPr>
        <w:jc w:val="both"/>
        <w:ind w:left="880" w:right="479" w:hanging="426"/>
        <w:spacing w:after="0" w:line="241" w:lineRule="auto"/>
        <w:tabs>
          <w:tab w:leader="none" w:pos="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on a proposal to approve, in accordance with Nasdaq Listing Rules 5635(b) and 5635(d), solely if the Company defaults on that certain Loan Agreement, dated December 4, 2025 with J.J. Astor &amp; Co., the issuance of shares of common stock upon conversion of the remaining balance of the senior convertible note pursuant to the terms of such loan.</w:t>
      </w:r>
    </w:p>
    <w:p>
      <w:pPr>
        <w:spacing w:after="0" w:line="186"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48" w:lineRule="exact"/>
        <w:rPr>
          <w:sz w:val="20"/>
          <w:szCs w:val="20"/>
          <w:color w:val="auto"/>
        </w:rPr>
      </w:pPr>
    </w:p>
    <w:p>
      <w:pPr>
        <w:ind w:left="880" w:right="759" w:hanging="426"/>
        <w:spacing w:after="0" w:line="241" w:lineRule="auto"/>
        <w:tabs>
          <w:tab w:leader="none" w:pos="87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on a proposal to approve, in accordance with Nasdaq Listing Rules 5635(b) and 5635(d), the potential issuance of up to 100,000,000 shares of common stock (or securities convertible into or exercisable for common stock) in one or more non-public financing transactions.</w:t>
      </w:r>
    </w:p>
    <w:p>
      <w:pPr>
        <w:spacing w:after="0" w:line="199"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48" w:lineRule="exact"/>
        <w:rPr>
          <w:sz w:val="20"/>
          <w:szCs w:val="20"/>
          <w:color w:val="auto"/>
        </w:rPr>
      </w:pPr>
    </w:p>
    <w:p>
      <w:pPr>
        <w:ind w:left="880" w:right="839" w:hanging="426"/>
        <w:spacing w:after="0" w:line="261" w:lineRule="auto"/>
        <w:tabs>
          <w:tab w:leader="none" w:pos="87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on a proposal to approve an amendment to the Company’s 2024 Equity Incentive Plan to increase the number of shares of common stock available for issuance thereunder to 19,959,853 shares.</w:t>
      </w:r>
    </w:p>
    <w:p>
      <w:pPr>
        <w:spacing w:after="0" w:line="172" w:lineRule="exact"/>
        <w:rPr>
          <w:sz w:val="20"/>
          <w:szCs w:val="20"/>
          <w:color w:val="auto"/>
        </w:rPr>
      </w:pPr>
    </w:p>
    <w:p>
      <w:pPr>
        <w:ind w:left="820"/>
        <w:spacing w:after="0" w:line="161" w:lineRule="exact"/>
        <w:tabs>
          <w:tab w:leader="none" w:pos="1340" w:val="left"/>
          <w:tab w:leader="none" w:pos="3800" w:val="left"/>
          <w:tab w:leader="none" w:pos="4140" w:val="left"/>
          <w:tab w:leader="none" w:pos="7400" w:val="left"/>
          <w:tab w:leader="none" w:pos="78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ABSTAIN</w:t>
      </w:r>
    </w:p>
    <w:p>
      <w:pPr>
        <w:spacing w:after="0" w:line="262" w:lineRule="exact"/>
        <w:rPr>
          <w:sz w:val="20"/>
          <w:szCs w:val="20"/>
          <w:color w:val="auto"/>
        </w:rPr>
      </w:pPr>
    </w:p>
    <w:p>
      <w:pPr>
        <w:ind w:left="460" w:right="799"/>
        <w:spacing w:after="0" w:line="261" w:lineRule="auto"/>
        <w:rPr>
          <w:sz w:val="20"/>
          <w:szCs w:val="20"/>
          <w:color w:val="auto"/>
        </w:rPr>
      </w:pPr>
      <w:r>
        <w:rPr>
          <w:rFonts w:ascii="Times New Roman" w:cs="Times New Roman" w:eastAsia="Times New Roman" w:hAnsi="Times New Roman"/>
          <w:sz w:val="14"/>
          <w:szCs w:val="14"/>
          <w:color w:val="auto"/>
        </w:rPr>
        <w:t>In their discretion, the named proxies are authorized to vote upon such other matters that may properly come before the meeting or any adjournment or postponement thereof.</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Date: ___________________________</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_______________________________</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Signature of Stockholder</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u w:val="single" w:color="auto"/>
          <w:color w:val="auto"/>
        </w:rPr>
        <w:t>______________________________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Signature of Stockholder</w:t>
      </w:r>
    </w:p>
    <w:p>
      <w:pPr>
        <w:spacing w:after="0" w:line="69" w:lineRule="exact"/>
        <w:rPr>
          <w:sz w:val="20"/>
          <w:szCs w:val="20"/>
          <w:color w:val="auto"/>
        </w:rPr>
      </w:pPr>
    </w:p>
    <w:p>
      <w:pPr>
        <w:ind w:left="460" w:right="839"/>
        <w:spacing w:after="0" w:line="261" w:lineRule="auto"/>
        <w:rPr>
          <w:sz w:val="20"/>
          <w:szCs w:val="20"/>
          <w:color w:val="auto"/>
        </w:rPr>
      </w:pPr>
      <w:r>
        <w:rPr>
          <w:rFonts w:ascii="Times New Roman" w:cs="Times New Roman" w:eastAsia="Times New Roman" w:hAnsi="Times New Roman"/>
          <w:sz w:val="14"/>
          <w:szCs w:val="14"/>
          <w:u w:val="single" w:color="auto"/>
          <w:color w:val="auto"/>
        </w:rPr>
        <w:t>NOTE:</w:t>
      </w:r>
      <w:r>
        <w:rPr>
          <w:rFonts w:ascii="Times New Roman" w:cs="Times New Roman" w:eastAsia="Times New Roman" w:hAnsi="Times New Roman"/>
          <w:sz w:val="14"/>
          <w:szCs w:val="14"/>
          <w:color w:val="auto"/>
        </w:rPr>
        <w:t xml:space="preserve"> Please sign exactly as your name appears on this proxy. When signing as attorney, executor, administrator, trustee or guardian, please give full title. If shares are held jointly, </w:t>
      </w:r>
      <w:r>
        <w:rPr>
          <w:rFonts w:ascii="Times New Roman" w:cs="Times New Roman" w:eastAsia="Times New Roman" w:hAnsi="Times New Roman"/>
          <w:sz w:val="14"/>
          <w:szCs w:val="14"/>
          <w:u w:val="single" w:color="auto"/>
          <w:color w:val="auto"/>
        </w:rPr>
        <w:t>each holder should sign</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460" w:right="559" w:hanging="6"/>
        <w:spacing w:after="0" w:line="282" w:lineRule="auto"/>
        <w:tabs>
          <w:tab w:leader="none" w:pos="631" w:val="left"/>
        </w:tabs>
        <w:numPr>
          <w:ilvl w:val="0"/>
          <w:numId w:val="7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 agree to receive all future communications related to these holdings electronically via the email address provided below. I understand I am able to change this selection at any time in the future.</w:t>
      </w:r>
    </w:p>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EMAIL ADDRESS:</w:t>
      </w:r>
    </w:p>
    <w:p>
      <w:pPr>
        <w:sectPr>
          <w:pgSz w:w="11900" w:h="16894" w:orient="portrait"/>
          <w:cols w:equalWidth="0" w:num="1">
            <w:col w:w="9019"/>
          </w:cols>
          <w:pgMar w:left="1440" w:top="270" w:right="1440" w:bottom="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INSTRUCTIONS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u w:val="single" w:color="auto"/>
          <w:color w:val="auto"/>
        </w:rPr>
        <w:t>Voting Instructions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may vote your proxy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137160</wp:posOffset>
            </wp:positionV>
            <wp:extent cx="12001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Via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43180</wp:posOffset>
            </wp:positionV>
            <wp:extent cx="12001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Login to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43180</wp:posOffset>
            </wp:positionV>
            <wp:extent cx="1200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Enter your control number (12 digit number located below)</w:t>
      </w:r>
    </w:p>
    <w:p>
      <w:pPr>
        <w:spacing w:after="0" w:line="3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Via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wp:posOffset>
            </wp:positionV>
            <wp:extent cx="120015"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9398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[___________]</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[___________]</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may vote by Internet 24 hours a day, 7 days a week. Internet voting is available through 11:59 p.m.,</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Eastern Time, on [______], 2026.</w:t>
      </w:r>
    </w:p>
    <w:p>
      <w:pPr>
        <w:spacing w:after="0" w:line="139" w:lineRule="exact"/>
        <w:rPr>
          <w:sz w:val="20"/>
          <w:szCs w:val="20"/>
          <w:color w:val="auto"/>
        </w:rPr>
      </w:pPr>
    </w:p>
    <w:p>
      <w:pPr>
        <w:jc w:val="center"/>
        <w:ind w:left="2160"/>
        <w:spacing w:after="0" w:line="282" w:lineRule="auto"/>
        <w:rPr>
          <w:sz w:val="20"/>
          <w:szCs w:val="20"/>
          <w:color w:val="auto"/>
        </w:rPr>
      </w:pPr>
      <w:r>
        <w:rPr>
          <w:rFonts w:ascii="Times New Roman" w:cs="Times New Roman" w:eastAsia="Times New Roman" w:hAnsi="Times New Roman"/>
          <w:sz w:val="18"/>
          <w:szCs w:val="18"/>
          <w:color w:val="auto"/>
        </w:rPr>
        <w:t>Your Internet vote authorizes the named proxies to vote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lvl w:ilvl="1">
      <w:lvlJc w:val="left"/>
      <w:lvlText w:val="•"/>
      <w:numFmt w:val="bullet"/>
      <w:start w:val="1"/>
    </w:lvl>
  </w:abstractNum>
  <w:abstractNum w:abstractNumId="5">
    <w:nsid w:val="2D517796"/>
    <w:multiLevelType w:val="hybridMultilevel"/>
    <w:lvl w:ilvl="0">
      <w:lvlJc w:val="left"/>
      <w:lvlText w:val="%1."/>
      <w:numFmt w:val="decimal"/>
      <w:start w:val="1"/>
    </w:lvl>
    <w:lvl w:ilvl="1">
      <w:lvlJc w:val="left"/>
      <w:lvlText w:val="•"/>
      <w:numFmt w:val="bullet"/>
      <w:start w:val="1"/>
    </w:lvl>
  </w:abstractNum>
  <w:abstractNum w:abstractNumId="6">
    <w:nsid w:val="580BD78F"/>
    <w:multiLevelType w:val="hybridMultilevel"/>
    <w:lvl w:ilvl="0">
      <w:lvlJc w:val="left"/>
      <w:lvlText w:val="J.%1."/>
      <w:numFmt w:val="upperLetter"/>
      <w:start w:val="10"/>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lowerRoman"/>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1)"/>
      <w:numFmt w:val="lowerRoman"/>
      <w:start w:val="4"/>
    </w:lvl>
  </w:abstractNum>
  <w:abstractNum w:abstractNumId="24">
    <w:nsid w:val="579478FE"/>
    <w:multiLevelType w:val="hybridMultilevel"/>
    <w:lvl w:ilvl="0">
      <w:lvlJc w:val="left"/>
      <w:lvlText w:val="(%1)"/>
      <w:numFmt w:val="lowerRoman"/>
      <w:start w:val="6"/>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lowerRoman"/>
      <w:start w:val="1"/>
    </w:lvl>
  </w:abstractNum>
  <w:abstractNum w:abstractNumId="30">
    <w:nsid w:val="12E685FB"/>
    <w:multiLevelType w:val="hybridMultilevel"/>
    <w:lvl w:ilvl="0">
      <w:lvlJc w:val="left"/>
      <w:lvlText w:val="(%1)"/>
      <w:numFmt w:val="lowerRoman"/>
      <w:start w:val="2"/>
    </w:lvl>
  </w:abstractNum>
  <w:abstractNum w:abstractNumId="31">
    <w:nsid w:val="70C6A529"/>
    <w:multiLevelType w:val="hybridMultilevel"/>
    <w:lvl w:ilvl="0">
      <w:lvlJc w:val="left"/>
      <w:lvlText w:val="(%1)"/>
      <w:numFmt w:val="lowerRoman"/>
      <w:start w:val="1"/>
    </w:lvl>
  </w:abstractNum>
  <w:abstractNum w:abstractNumId="32">
    <w:nsid w:val="520EEDD1"/>
    <w:multiLevelType w:val="hybridMultilevel"/>
    <w:lvl w:ilvl="0">
      <w:lvlJc w:val="left"/>
      <w:lvlText w:val="(%1)"/>
      <w:numFmt w:val="lowerRoman"/>
      <w:start w:val="3"/>
    </w:lvl>
  </w:abstractNum>
  <w:abstractNum w:abstractNumId="33">
    <w:nsid w:val="374A3FE6"/>
    <w:multiLevelType w:val="hybridMultilevel"/>
    <w:lvl w:ilvl="0">
      <w:lvlJc w:val="left"/>
      <w:lvlText w:val="J.%1."/>
      <w:numFmt w:val="upperLetter"/>
      <w:start w:val="10"/>
    </w:lvl>
  </w:abstractNum>
  <w:abstractNum w:abstractNumId="34">
    <w:nsid w:val="4F4EF005"/>
    <w:multiLevelType w:val="hybridMultilevel"/>
    <w:lvl w:ilvl="0">
      <w:lvlJc w:val="left"/>
      <w:lvlText w:val="(%1)"/>
      <w:numFmt w:val="lowerRoman"/>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lowerRoman"/>
      <w:start w:val="2"/>
    </w:lvl>
  </w:abstractNum>
  <w:abstractNum w:abstractNumId="38">
    <w:nsid w:val="39386575"/>
    <w:multiLevelType w:val="hybridMultilevel"/>
    <w:lvl w:ilvl="0">
      <w:lvlJc w:val="left"/>
      <w:lvlText w:val="(%1)"/>
      <w:numFmt w:val="lowerRoman"/>
      <w:start w:val="13"/>
    </w:lvl>
  </w:abstractNum>
  <w:abstractNum w:abstractNumId="39">
    <w:nsid w:val="1CF10FD8"/>
    <w:multiLevelType w:val="hybridMultilevel"/>
    <w:lvl w:ilvl="0">
      <w:lvlJc w:val="left"/>
      <w:lvlText w:val="(%1)"/>
      <w:numFmt w:val="lowerRoman"/>
      <w:start w:val="16"/>
    </w:lvl>
  </w:abstractNum>
  <w:abstractNum w:abstractNumId="40">
    <w:nsid w:val="180115BE"/>
    <w:multiLevelType w:val="hybridMultilevel"/>
    <w:lvl w:ilvl="0">
      <w:lvlJc w:val="left"/>
      <w:lvlText w:val="(%1)"/>
      <w:numFmt w:val="lowerRoman"/>
      <w:start w:val="20"/>
    </w:lvl>
  </w:abstractNum>
  <w:abstractNum w:abstractNumId="41">
    <w:nsid w:val="235BA861"/>
    <w:multiLevelType w:val="hybridMultilevel"/>
    <w:lvl w:ilvl="0">
      <w:lvlJc w:val="left"/>
      <w:lvlText w:val="(%1)"/>
      <w:numFmt w:val="lowerLetter"/>
      <w:start w:val="6"/>
    </w:lvl>
  </w:abstractNum>
  <w:abstractNum w:abstractNumId="42">
    <w:nsid w:val="47398C89"/>
    <w:multiLevelType w:val="hybridMultilevel"/>
    <w:lvl w:ilvl="0">
      <w:lvlJc w:val="left"/>
      <w:lvlText w:val="(%1)"/>
      <w:numFmt w:val="lowerRoman"/>
      <w:start w:val="2"/>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lowerRoman"/>
      <w:start w:val="2"/>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lowerLetter"/>
      <w:start w:val="1"/>
    </w:lvl>
    <w:lvl w:ilvl="1">
      <w:lvlJc w:val="left"/>
      <w:lvlText w:val="[•]"/>
      <w:numFmt w:val="bullet"/>
      <w:start w:val="1"/>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Letter"/>
      <w:start w:val="1"/>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2"/>
    </w:lvl>
    <w:lvl w:ilvl="1">
      <w:lvlJc w:val="left"/>
      <w:lvlText w:val="(%2)"/>
      <w:numFmt w:val="lowerRoman"/>
      <w:start w:val="1"/>
    </w:lvl>
  </w:abstractNum>
  <w:abstractNum w:abstractNumId="58">
    <w:nsid w:val="4AD084E9"/>
    <w:multiLevelType w:val="hybridMultilevel"/>
    <w:lvl w:ilvl="0">
      <w:lvlJc w:val="left"/>
      <w:lvlText w:val="(%1)"/>
      <w:numFmt w:val="lowerLetter"/>
      <w:start w:val="9"/>
    </w:lvl>
    <w:lvl w:ilvl="1">
      <w:lvlJc w:val="left"/>
      <w:lvlText w:val="(%2)"/>
      <w:numFmt w:val="lowerRoman"/>
      <w:start w:val="2"/>
    </w:lvl>
  </w:abstractNum>
  <w:abstractNum w:abstractNumId="59">
    <w:nsid w:val="1F48EAA1"/>
    <w:multiLevelType w:val="hybridMultilevel"/>
    <w:lvl w:ilvl="0">
      <w:lvlJc w:val="left"/>
      <w:lvlText w:val="%1"/>
      <w:numFmt w:val="lowerLetter"/>
      <w:start w:val="1"/>
    </w:lvl>
    <w:lvl w:ilvl="1">
      <w:lvlJc w:val="left"/>
      <w:lvlText w:val="(%2)"/>
      <w:numFmt w:val="lowerRoman"/>
      <w:start w:val="5"/>
    </w:lvl>
  </w:abstractNum>
  <w:abstractNum w:abstractNumId="60">
    <w:nsid w:val="1381823A"/>
    <w:multiLevelType w:val="hybridMultilevel"/>
    <w:lvl w:ilvl="0">
      <w:lvlJc w:val="left"/>
      <w:lvlText w:val="(%1)"/>
      <w:numFmt w:val="lowerLetter"/>
      <w:start w:val="3"/>
    </w:lvl>
    <w:lvl w:ilvl="1">
      <w:lvlJc w:val="left"/>
      <w:lvlText w:val="%2"/>
      <w:numFmt w:val="lowerRoman"/>
      <w:start w:val="1"/>
    </w:lvl>
  </w:abstractNum>
  <w:abstractNum w:abstractNumId="61">
    <w:nsid w:val="5DB70AE5"/>
    <w:multiLevelType w:val="hybridMultilevel"/>
    <w:lvl w:ilvl="0">
      <w:lvlJc w:val="left"/>
      <w:lvlText w:val="(%1)"/>
      <w:numFmt w:val="lowerLetter"/>
      <w:start w:val="1"/>
    </w:lvl>
    <w:lvl w:ilvl="1">
      <w:lvlJc w:val="left"/>
      <w:lvlText w:val="(%2)"/>
      <w:numFmt w:val="lowerRoman"/>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lowerLetter"/>
      <w:start w:val="2"/>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2"/>
    </w:lvl>
  </w:abstractNum>
  <w:abstractNum w:abstractNumId="67">
    <w:nsid w:val="799D0247"/>
    <w:multiLevelType w:val="hybridMultilevel"/>
    <w:lvl w:ilvl="0">
      <w:lvlJc w:val="left"/>
      <w:lvlText w:val="%1."/>
      <w:numFmt w:val="decimal"/>
      <w:start w:val="3"/>
    </w:lvl>
  </w:abstractNum>
  <w:abstractNum w:abstractNumId="68">
    <w:nsid w:val="6B94764"/>
    <w:multiLevelType w:val="hybridMultilevel"/>
    <w:lvl w:ilvl="0">
      <w:lvlJc w:val="left"/>
      <w:lvlText w:val="%1."/>
      <w:numFmt w:val="decimal"/>
      <w:start w:val="4"/>
    </w:lvl>
    <w:lvl w:ilvl="1">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decimal"/>
      <w:start w:val="6"/>
    </w:lvl>
  </w:abstractNum>
  <w:abstractNum w:abstractNumId="72">
    <w:nsid w:val="661E3F1E"/>
    <w:multiLevelType w:val="hybridMultilevel"/>
    <w:lvl w:ilvl="0">
      <w:lvlJc w:val="left"/>
      <w:lvlText w:val="%1."/>
      <w:numFmt w:val="decimal"/>
      <w:start w:val="7"/>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2026-04-03T15:08:56Z</dcterms:created>
  <dcterms:modified xsi:type="dcterms:W3CDTF">2026-04-03T15:08:56Z</dcterms:modified>
</cp:coreProperties>
</file>