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25"/>
          <w:szCs w:val="25"/>
          <w:b w:val="1"/>
          <w:bCs w:val="1"/>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191770</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t>UNITED STATES</w:t>
      </w:r>
    </w:p>
    <w:p>
      <w:pPr>
        <w:spacing w:after="0" w:line="4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SECURITIES AND EXCHANGE COMMISSION</w:t>
      </w:r>
    </w:p>
    <w:p>
      <w:pPr>
        <w:spacing w:after="0" w:line="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141605</wp:posOffset>
            </wp:positionV>
            <wp:extent cx="713232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4"/>
          <w:szCs w:val="24"/>
          <w:color w:val="auto"/>
        </w:rPr>
      </w:pPr>
    </w:p>
    <w:p>
      <w:pPr>
        <w:spacing w:after="0" w:line="2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FORM 8-A</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161290</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4"/>
          <w:szCs w:val="24"/>
          <w:color w:val="auto"/>
        </w:rPr>
      </w:pPr>
    </w:p>
    <w:p>
      <w:pPr>
        <w:spacing w:after="0" w:line="26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 REGISTRATION OF CERTAIN CLASSES OF SECURITIES</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SECTION 12(b) OR 12(g) OF</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THE SECURITIES EXCHANGE ACT OF 1934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142875</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4"/>
          <w:szCs w:val="24"/>
          <w:color w:val="auto"/>
        </w:rPr>
      </w:pPr>
    </w:p>
    <w:p>
      <w:pPr>
        <w:spacing w:after="0" w:line="23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CID HOLDCO, INC.</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142875</wp:posOffset>
            </wp:positionV>
            <wp:extent cx="71323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4"/>
          <w:szCs w:val="24"/>
          <w:color w:val="auto"/>
        </w:rPr>
      </w:pPr>
    </w:p>
    <w:p>
      <w:pPr>
        <w:spacing w:after="0" w:line="239" w:lineRule="exact"/>
        <w:rPr>
          <w:sz w:val="24"/>
          <w:szCs w:val="24"/>
          <w:color w:val="auto"/>
        </w:rPr>
      </w:pPr>
    </w:p>
    <w:tbl>
      <w:tblPr>
        <w:tblLayout w:type="fixed"/>
        <w:tblInd w:w="0" w:type="dxa"/>
        <w:tblCellMar>
          <w:top w:w="0" w:type="dxa"/>
          <w:left w:w="0" w:type="dxa"/>
          <w:bottom w:w="0" w:type="dxa"/>
          <w:right w:w="0" w:type="dxa"/>
        </w:tblCellMar>
      </w:tblPr>
      <w:tr>
        <w:trPr>
          <w:trHeight w:val="245"/>
        </w:trPr>
        <w:tc>
          <w:tcPr>
            <w:tcW w:w="574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8"/>
              </w:rPr>
              <w:t>Delaware</w:t>
            </w:r>
          </w:p>
        </w:tc>
        <w:tc>
          <w:tcPr>
            <w:tcW w:w="5500" w:type="dxa"/>
            <w:vAlign w:val="bottom"/>
          </w:tcPr>
          <w:p>
            <w:pPr>
              <w:jc w:val="right"/>
              <w:ind w:right="2230"/>
              <w:spacing w:after="0"/>
              <w:rPr>
                <w:sz w:val="20"/>
                <w:szCs w:val="20"/>
                <w:color w:val="auto"/>
              </w:rPr>
            </w:pPr>
            <w:r>
              <w:rPr>
                <w:rFonts w:ascii="Times New Roman" w:cs="Times New Roman" w:eastAsia="Times New Roman" w:hAnsi="Times New Roman"/>
                <w:sz w:val="18"/>
                <w:szCs w:val="18"/>
                <w:b w:val="1"/>
                <w:bCs w:val="1"/>
                <w:color w:val="auto"/>
              </w:rPr>
              <w:t>99-2578850</w:t>
            </w:r>
          </w:p>
        </w:tc>
      </w:tr>
      <w:tr>
        <w:trPr>
          <w:trHeight w:val="234"/>
        </w:trPr>
        <w:tc>
          <w:tcPr>
            <w:tcW w:w="552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(Jurisdiction of Incorporation or Organization)</w:t>
            </w:r>
          </w:p>
        </w:tc>
        <w:tc>
          <w:tcPr>
            <w:tcW w:w="220" w:type="dxa"/>
            <w:vAlign w:val="bottom"/>
          </w:tcPr>
          <w:p>
            <w:pPr>
              <w:spacing w:after="0"/>
              <w:rPr>
                <w:sz w:val="20"/>
                <w:szCs w:val="20"/>
                <w:color w:val="auto"/>
              </w:rPr>
            </w:pPr>
          </w:p>
        </w:tc>
        <w:tc>
          <w:tcPr>
            <w:tcW w:w="550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(I.R.S. Employer Identification No.)</w:t>
            </w:r>
          </w:p>
        </w:tc>
      </w:tr>
    </w:tbl>
    <w:p>
      <w:pPr>
        <w:spacing w:after="0" w:line="17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7500 Old Georgetown Road, Suite 901</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Bethesda, Maryland 20814</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(Address of Principal Executive Offices, including Zip Code)</w:t>
      </w:r>
    </w:p>
    <w:p>
      <w:pPr>
        <w:spacing w:after="0" w:line="20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Securities to be registered pursuant to Section 12(b) of the Act:</w:t>
      </w:r>
    </w:p>
    <w:p>
      <w:pPr>
        <w:spacing w:after="0" w:line="229" w:lineRule="exact"/>
        <w:rPr>
          <w:sz w:val="24"/>
          <w:szCs w:val="24"/>
          <w:color w:val="auto"/>
        </w:rPr>
      </w:pPr>
    </w:p>
    <w:tbl>
      <w:tblPr>
        <w:tblLayout w:type="fixed"/>
        <w:tblInd w:w="0" w:type="dxa"/>
        <w:tblCellMar>
          <w:top w:w="0" w:type="dxa"/>
          <w:left w:w="0" w:type="dxa"/>
          <w:bottom w:w="0" w:type="dxa"/>
          <w:right w:w="0" w:type="dxa"/>
        </w:tblCellMar>
      </w:tblPr>
      <w:tr>
        <w:trPr>
          <w:trHeight w:val="216"/>
        </w:trPr>
        <w:tc>
          <w:tcPr>
            <w:tcW w:w="55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5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Name of Each Exchange on Which</w:t>
            </w:r>
          </w:p>
        </w:tc>
      </w:tr>
      <w:tr>
        <w:trPr>
          <w:trHeight w:val="241"/>
        </w:trPr>
        <w:tc>
          <w:tcPr>
            <w:tcW w:w="55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Title of Each Class to be Registered</w:t>
            </w:r>
          </w:p>
        </w:tc>
        <w:tc>
          <w:tcPr>
            <w:tcW w:w="220" w:type="dxa"/>
            <w:vAlign w:val="bottom"/>
          </w:tcPr>
          <w:p>
            <w:pPr>
              <w:spacing w:after="0"/>
              <w:rPr>
                <w:sz w:val="20"/>
                <w:szCs w:val="20"/>
                <w:color w:val="auto"/>
              </w:rPr>
            </w:pPr>
          </w:p>
        </w:tc>
        <w:tc>
          <w:tcPr>
            <w:tcW w:w="55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Each Class is to be Registered</w:t>
            </w:r>
          </w:p>
        </w:tc>
      </w:tr>
      <w:tr>
        <w:trPr>
          <w:trHeight w:val="216"/>
        </w:trPr>
        <w:tc>
          <w:tcPr>
            <w:tcW w:w="55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Common Stock, par value $0.0001 per share</w:t>
            </w:r>
          </w:p>
        </w:tc>
        <w:tc>
          <w:tcPr>
            <w:tcW w:w="220" w:type="dxa"/>
            <w:vAlign w:val="bottom"/>
            <w:shd w:val="clear" w:color="auto" w:fill="CCEEFF"/>
          </w:tcPr>
          <w:p>
            <w:pPr>
              <w:spacing w:after="0"/>
              <w:rPr>
                <w:sz w:val="18"/>
                <w:szCs w:val="18"/>
                <w:color w:val="auto"/>
              </w:rPr>
            </w:pPr>
          </w:p>
        </w:tc>
        <w:tc>
          <w:tcPr>
            <w:tcW w:w="55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The Nasdaq Stock Market LLC</w:t>
            </w:r>
          </w:p>
        </w:tc>
      </w:tr>
      <w:tr>
        <w:trPr>
          <w:trHeight w:val="194"/>
        </w:trPr>
        <w:tc>
          <w:tcPr>
            <w:tcW w:w="5520" w:type="dxa"/>
            <w:vAlign w:val="bottom"/>
          </w:tcPr>
          <w:p>
            <w:pPr>
              <w:jc w:val="center"/>
              <w:spacing w:after="0" w:line="194" w:lineRule="exact"/>
              <w:rPr>
                <w:sz w:val="20"/>
                <w:szCs w:val="20"/>
                <w:color w:val="auto"/>
              </w:rPr>
            </w:pPr>
            <w:r>
              <w:rPr>
                <w:rFonts w:ascii="Times New Roman" w:cs="Times New Roman" w:eastAsia="Times New Roman" w:hAnsi="Times New Roman"/>
                <w:sz w:val="18"/>
                <w:szCs w:val="18"/>
                <w:b w:val="1"/>
                <w:bCs w:val="1"/>
                <w:color w:val="auto"/>
                <w:w w:val="99"/>
              </w:rPr>
              <w:t>Warrants, each exercisable for one share of Common Stock at an</w:t>
            </w:r>
          </w:p>
        </w:tc>
        <w:tc>
          <w:tcPr>
            <w:tcW w:w="220" w:type="dxa"/>
            <w:vAlign w:val="bottom"/>
          </w:tcPr>
          <w:p>
            <w:pPr>
              <w:spacing w:after="0"/>
              <w:rPr>
                <w:sz w:val="16"/>
                <w:szCs w:val="16"/>
                <w:color w:val="auto"/>
              </w:rPr>
            </w:pPr>
          </w:p>
        </w:tc>
        <w:tc>
          <w:tcPr>
            <w:tcW w:w="5500" w:type="dxa"/>
            <w:vAlign w:val="bottom"/>
          </w:tcPr>
          <w:p>
            <w:pPr>
              <w:jc w:val="center"/>
              <w:spacing w:after="0" w:line="194" w:lineRule="exact"/>
              <w:rPr>
                <w:sz w:val="20"/>
                <w:szCs w:val="20"/>
                <w:color w:val="auto"/>
              </w:rPr>
            </w:pPr>
            <w:r>
              <w:rPr>
                <w:rFonts w:ascii="Times New Roman" w:cs="Times New Roman" w:eastAsia="Times New Roman" w:hAnsi="Times New Roman"/>
                <w:sz w:val="18"/>
                <w:szCs w:val="18"/>
                <w:b w:val="1"/>
                <w:bCs w:val="1"/>
                <w:color w:val="auto"/>
                <w:w w:val="99"/>
              </w:rPr>
              <w:t>The Nasdaq Stock Market LLC</w:t>
            </w:r>
          </w:p>
        </w:tc>
      </w:tr>
      <w:tr>
        <w:trPr>
          <w:trHeight w:val="238"/>
        </w:trPr>
        <w:tc>
          <w:tcPr>
            <w:tcW w:w="55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exercise price of $11.50 per share</w:t>
            </w:r>
          </w:p>
        </w:tc>
        <w:tc>
          <w:tcPr>
            <w:tcW w:w="220" w:type="dxa"/>
            <w:vAlign w:val="bottom"/>
          </w:tcPr>
          <w:p>
            <w:pPr>
              <w:spacing w:after="0"/>
              <w:rPr>
                <w:sz w:val="20"/>
                <w:szCs w:val="20"/>
                <w:color w:val="auto"/>
              </w:rPr>
            </w:pPr>
          </w:p>
        </w:tc>
        <w:tc>
          <w:tcPr>
            <w:tcW w:w="5500" w:type="dxa"/>
            <w:vAlign w:val="bottom"/>
          </w:tcPr>
          <w:p>
            <w:pPr>
              <w:spacing w:after="0"/>
              <w:rPr>
                <w:sz w:val="20"/>
                <w:szCs w:val="20"/>
                <w:color w:val="auto"/>
              </w:rPr>
            </w:pPr>
          </w:p>
        </w:tc>
      </w:tr>
    </w:tbl>
    <w:p>
      <w:pPr>
        <w:spacing w:after="0" w:line="198" w:lineRule="exact"/>
        <w:rPr>
          <w:sz w:val="24"/>
          <w:szCs w:val="24"/>
          <w:color w:val="auto"/>
        </w:rPr>
      </w:pPr>
    </w:p>
    <w:p>
      <w:pPr>
        <w:ind w:right="140"/>
        <w:spacing w:after="0" w:line="239" w:lineRule="exact"/>
        <w:rPr>
          <w:sz w:val="20"/>
          <w:szCs w:val="20"/>
          <w:color w:val="auto"/>
        </w:rPr>
      </w:pPr>
      <w:r>
        <w:rPr>
          <w:rFonts w:ascii="Times New Roman" w:cs="Times New Roman" w:eastAsia="Times New Roman" w:hAnsi="Times New Roman"/>
          <w:sz w:val="18"/>
          <w:szCs w:val="18"/>
          <w:color w:val="auto"/>
        </w:rPr>
        <w:t xml:space="preserve">If this form relates to the registration of a class of securities pursuant to Section 12(b) of the Exchange Act and is effective pursuant to General Instruction A.(c) or (e), please check the following box. </w:t>
      </w:r>
      <w:r>
        <w:rPr>
          <w:rFonts w:ascii="MS PGothic" w:cs="MS PGothic" w:eastAsia="MS PGothic" w:hAnsi="MS PGothic"/>
          <w:sz w:val="18"/>
          <w:szCs w:val="18"/>
          <w:color w:val="auto"/>
        </w:rPr>
        <w:t>☒</w:t>
      </w:r>
    </w:p>
    <w:p>
      <w:pPr>
        <w:spacing w:after="0" w:line="170" w:lineRule="exact"/>
        <w:rPr>
          <w:sz w:val="24"/>
          <w:szCs w:val="24"/>
          <w:color w:val="auto"/>
        </w:rPr>
      </w:pPr>
    </w:p>
    <w:p>
      <w:pPr>
        <w:ind w:right="140"/>
        <w:spacing w:after="0" w:line="239" w:lineRule="exact"/>
        <w:rPr>
          <w:sz w:val="20"/>
          <w:szCs w:val="20"/>
          <w:color w:val="auto"/>
        </w:rPr>
      </w:pPr>
      <w:r>
        <w:rPr>
          <w:rFonts w:ascii="Times New Roman" w:cs="Times New Roman" w:eastAsia="Times New Roman" w:hAnsi="Times New Roman"/>
          <w:sz w:val="18"/>
          <w:szCs w:val="18"/>
          <w:color w:val="auto"/>
        </w:rPr>
        <w:t xml:space="preserve">If this form relates to the registration of a class of securities pursuant to Section 12(g) of the Exchange Act and is effective pursuant to General Instruction A.(d) or (e), please check the following box. </w:t>
      </w:r>
      <w:r>
        <w:rPr>
          <w:rFonts w:ascii="MS PGothic" w:cs="MS PGothic" w:eastAsia="MS PGothic" w:hAnsi="MS PGothic"/>
          <w:sz w:val="18"/>
          <w:szCs w:val="18"/>
          <w:color w:val="auto"/>
        </w:rPr>
        <w:t>☐</w:t>
      </w:r>
    </w:p>
    <w:p>
      <w:pPr>
        <w:spacing w:after="0" w:line="130"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If this form relates to the registration of a class of securities concurrently with a Regulation A offering, check the following box. </w:t>
      </w:r>
      <w:r>
        <w:rPr>
          <w:rFonts w:ascii="MS PGothic" w:cs="MS PGothic" w:eastAsia="MS PGothic" w:hAnsi="MS PGothic"/>
          <w:sz w:val="18"/>
          <w:szCs w:val="18"/>
          <w:color w:val="auto"/>
        </w:rPr>
        <w:t>☐</w:t>
      </w:r>
    </w:p>
    <w:p>
      <w:pPr>
        <w:spacing w:after="0" w:line="26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Securities Act registration statement or Regulation A offering statement file number to which this form relates:</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333-282600</w:t>
      </w:r>
    </w:p>
    <w:p>
      <w:pPr>
        <w:spacing w:after="0" w:line="20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Securities to be registered pursuant to Section 12(g) of the Act:</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None.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142875</wp:posOffset>
            </wp:positionV>
            <wp:extent cx="713232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168910</wp:posOffset>
            </wp:positionV>
            <wp:extent cx="71323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614680</wp:posOffset>
            </wp:positionV>
            <wp:extent cx="71323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02" w:right="33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color w:val="auto"/>
        </w:rPr>
        <w:t>Item 1. Description of Registrant’s Securities to be Registered.</w:t>
      </w:r>
    </w:p>
    <w:p>
      <w:pPr>
        <w:spacing w:after="0" w:line="229" w:lineRule="exact"/>
        <w:rPr>
          <w:sz w:val="20"/>
          <w:szCs w:val="20"/>
          <w:color w:val="auto"/>
        </w:rPr>
      </w:pPr>
    </w:p>
    <w:p>
      <w:pPr>
        <w:ind w:right="40"/>
        <w:spacing w:after="0" w:line="282" w:lineRule="auto"/>
        <w:rPr>
          <w:sz w:val="20"/>
          <w:szCs w:val="20"/>
          <w:color w:val="auto"/>
        </w:rPr>
      </w:pPr>
      <w:r>
        <w:rPr>
          <w:rFonts w:ascii="Times New Roman" w:cs="Times New Roman" w:eastAsia="Times New Roman" w:hAnsi="Times New Roman"/>
          <w:sz w:val="18"/>
          <w:szCs w:val="18"/>
          <w:color w:val="auto"/>
        </w:rPr>
        <w:t>The securities to be registered hereby are shares of Common Stock, par value $0.0001 per share (the “Common Stock”), and warrants to purchase shares of Common Stock (the “Warrants”) of CID HoldCo, Inc. (the “Registrant”).</w:t>
      </w:r>
    </w:p>
    <w:p>
      <w:pPr>
        <w:spacing w:after="0" w:line="160" w:lineRule="exact"/>
        <w:rPr>
          <w:sz w:val="20"/>
          <w:szCs w:val="20"/>
          <w:color w:val="auto"/>
        </w:rPr>
      </w:pPr>
    </w:p>
    <w:p>
      <w:pPr>
        <w:spacing w:after="0" w:line="281" w:lineRule="auto"/>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description of the Common Stock and Warrants contained in the section entitled “</w:t>
      </w:r>
      <w:r>
        <w:rPr>
          <w:rFonts w:ascii="Times New Roman" w:cs="Times New Roman" w:eastAsia="Times New Roman" w:hAnsi="Times New Roman"/>
          <w:sz w:val="17"/>
          <w:szCs w:val="17"/>
          <w:i w:val="1"/>
          <w:iCs w:val="1"/>
          <w:color w:val="auto"/>
        </w:rPr>
        <w:t>Description of Securities</w:t>
      </w:r>
      <w:r>
        <w:rPr>
          <w:rFonts w:ascii="Times New Roman" w:cs="Times New Roman" w:eastAsia="Times New Roman" w:hAnsi="Times New Roman"/>
          <w:sz w:val="17"/>
          <w:szCs w:val="17"/>
          <w:color w:val="auto"/>
        </w:rPr>
        <w:t xml:space="preserve">” in the proxy statement/prospectus included in the Registration Statement on </w:t>
      </w:r>
      <w:hyperlink r:id="rId17">
        <w:r>
          <w:rPr>
            <w:rFonts w:ascii="Times New Roman" w:cs="Times New Roman" w:eastAsia="Times New Roman" w:hAnsi="Times New Roman"/>
            <w:sz w:val="17"/>
            <w:szCs w:val="17"/>
            <w:u w:val="single" w:color="auto"/>
            <w:color w:val="0000EE"/>
          </w:rPr>
          <w:t>Form S-4</w:t>
        </w:r>
        <w:r>
          <w:rPr>
            <w:rFonts w:ascii="Times New Roman" w:cs="Times New Roman" w:eastAsia="Times New Roman" w:hAnsi="Times New Roman"/>
            <w:sz w:val="17"/>
            <w:szCs w:val="17"/>
            <w:u w:val="single" w:color="auto"/>
            <w:color w:val="auto"/>
          </w:rPr>
          <w:t xml:space="preserve"> </w:t>
        </w:r>
      </w:hyperlink>
      <w:r>
        <w:rPr>
          <w:rFonts w:ascii="Times New Roman" w:cs="Times New Roman" w:eastAsia="Times New Roman" w:hAnsi="Times New Roman"/>
          <w:sz w:val="17"/>
          <w:szCs w:val="17"/>
          <w:color w:val="auto"/>
        </w:rPr>
        <w:t>(File No. 333-282600), as originally filed with the Securities and Exchange Commission on October 11, 2024, as amended from time to time (the “Registration Statement”), to which this Form 8-A relates, is incorporated herein by reference. Any form of prospectus or prospectus supplement to the Registration Statement that includes such descriptions and that is subsequently filed is also incorporated by reference herein.</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Exhibits.</w:t>
      </w:r>
    </w:p>
    <w:p>
      <w:pPr>
        <w:spacing w:after="0" w:line="229" w:lineRule="exact"/>
        <w:rPr>
          <w:sz w:val="20"/>
          <w:szCs w:val="20"/>
          <w:color w:val="auto"/>
        </w:rPr>
      </w:pPr>
    </w:p>
    <w:p>
      <w:pPr>
        <w:ind w:right="60"/>
        <w:spacing w:after="0" w:line="266" w:lineRule="auto"/>
        <w:rPr>
          <w:sz w:val="20"/>
          <w:szCs w:val="20"/>
          <w:color w:val="auto"/>
        </w:rPr>
      </w:pPr>
      <w:r>
        <w:rPr>
          <w:rFonts w:ascii="Times New Roman" w:cs="Times New Roman" w:eastAsia="Times New Roman" w:hAnsi="Times New Roman"/>
          <w:sz w:val="18"/>
          <w:szCs w:val="18"/>
          <w:color w:val="auto"/>
        </w:rPr>
        <w:t>Pursuant to the Instructions as to Exhibits for Form 8-A, no exhibits are required to be filed herewith or incorporated by reference, because no other securities of the Registrant are registered on the Nasdaq Stock Market LLC and the securities registered hereby are not being registered pursuant to Section 12(g) of the Exchange Act of 1934, as amended.</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2" w:name="page3"/>
    <w:bookmarkEnd w:id="2"/>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SIGNATURE</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Section 12 of the Securities Exchange Act of 1934, the Registrant has duly caused this Registration Statement to be signed on its behalf by the undersigned, thereto duly authorized.</w:t>
      </w:r>
    </w:p>
    <w:p>
      <w:pPr>
        <w:spacing w:after="0" w:line="158"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b w:val="1"/>
          <w:bCs w:val="1"/>
          <w:color w:val="auto"/>
        </w:rPr>
        <w:t>CID HOLDCO, INC.</w:t>
      </w:r>
    </w:p>
    <w:p>
      <w:pPr>
        <w:spacing w:after="0" w:line="229" w:lineRule="exact"/>
        <w:rPr>
          <w:sz w:val="20"/>
          <w:szCs w:val="20"/>
          <w:color w:val="auto"/>
        </w:rPr>
      </w:pPr>
    </w:p>
    <w:p>
      <w:pPr>
        <w:ind w:left="6760"/>
        <w:spacing w:after="0"/>
        <w:tabs>
          <w:tab w:leader="none" w:pos="7180" w:val="left"/>
        </w:tabs>
        <w:rPr>
          <w:sz w:val="20"/>
          <w:szCs w:val="20"/>
          <w:color w:val="auto"/>
        </w:rPr>
      </w:pPr>
      <w:r>
        <w:rPr>
          <w:rFonts w:ascii="Times New Roman" w:cs="Times New Roman" w:eastAsia="Times New Roman" w:hAnsi="Times New Roman"/>
          <w:sz w:val="18"/>
          <w:szCs w:val="18"/>
          <w:color w:val="auto"/>
        </w:rPr>
        <w:t>By:</w:t>
        <w:tab/>
        <w:t>/s/ Edmund Nabrotzky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4573905</wp:posOffset>
            </wp:positionH>
            <wp:positionV relativeFrom="paragraph">
              <wp:posOffset>17145</wp:posOffset>
            </wp:positionV>
            <wp:extent cx="256286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9">
                      <a:extLst>
                        <a:ext uri="{28A0092B-C50C-407E-A947-70E740481C1C}"/>
                      </a:extLst>
                    </a:blip>
                    <a:srcRect/>
                    <a:stretch>
                      <a:fillRect/>
                    </a:stretch>
                  </pic:blipFill>
                  <pic:spPr bwMode="auto">
                    <a:xfrm>
                      <a:off x="0" y="0"/>
                      <a:ext cx="2562860" cy="17145"/>
                    </a:xfrm>
                    <a:prstGeom prst="rect">
                      <a:avLst/>
                    </a:prstGeom>
                    <a:noFill/>
                  </pic:spPr>
                </pic:pic>
              </a:graphicData>
            </a:graphic>
          </wp:anchor>
        </w:drawing>
      </w:r>
    </w:p>
    <w:p>
      <w:pPr>
        <w:spacing w:after="0" w:line="16" w:lineRule="exact"/>
        <w:rPr>
          <w:sz w:val="20"/>
          <w:szCs w:val="20"/>
          <w:color w:val="auto"/>
        </w:rPr>
      </w:pPr>
    </w:p>
    <w:p>
      <w:pPr>
        <w:ind w:left="7200"/>
        <w:spacing w:after="0"/>
        <w:rPr>
          <w:sz w:val="20"/>
          <w:szCs w:val="20"/>
          <w:color w:val="auto"/>
        </w:rPr>
      </w:pPr>
      <w:r>
        <w:rPr>
          <w:rFonts w:ascii="Times New Roman" w:cs="Times New Roman" w:eastAsia="Times New Roman" w:hAnsi="Times New Roman"/>
          <w:sz w:val="18"/>
          <w:szCs w:val="18"/>
          <w:color w:val="auto"/>
        </w:rPr>
        <w:t>Edmund Nabrotzky</w:t>
      </w:r>
    </w:p>
    <w:p>
      <w:pPr>
        <w:spacing w:after="0" w:line="27" w:lineRule="exact"/>
        <w:rPr>
          <w:sz w:val="20"/>
          <w:szCs w:val="20"/>
          <w:color w:val="auto"/>
        </w:rPr>
      </w:pPr>
    </w:p>
    <w:p>
      <w:pPr>
        <w:ind w:left="7200"/>
        <w:spacing w:after="0"/>
        <w:rPr>
          <w:sz w:val="20"/>
          <w:szCs w:val="20"/>
          <w:color w:val="auto"/>
        </w:rPr>
      </w:pPr>
      <w:r>
        <w:rPr>
          <w:rFonts w:ascii="Times New Roman" w:cs="Times New Roman" w:eastAsia="Times New Roman" w:hAnsi="Times New Roman"/>
          <w:sz w:val="18"/>
          <w:szCs w:val="18"/>
          <w:color w:val="auto"/>
        </w:rPr>
        <w:t>Chief Executive Officer and Director</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June 18, 2025</w:t>
      </w:r>
    </w:p>
    <w:p>
      <w:pPr>
        <w:spacing w:after="0" w:line="225"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sectPr>
      <w:pgSz w:w="11900" w:h="16838" w:orient="portrait"/>
      <w:cols w:equalWidth="0" w:num="1">
        <w:col w:w="11140"/>
      </w:cols>
      <w:pgMar w:left="320" w:top="900" w:right="4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8" Type="http://schemas.openxmlformats.org/officeDocument/2006/relationships/image" Target="media/image10.png"/><Relationship Id="rId19" Type="http://schemas.openxmlformats.org/officeDocument/2006/relationships/image" Target="media/image11.png"/><Relationship Id="rId20" Type="http://schemas.openxmlformats.org/officeDocument/2006/relationships/image" Target="media/image12.png"/><Relationship Id="rId17" Type="http://schemas.openxmlformats.org/officeDocument/2006/relationships/hyperlink" Target="http://www.sec.gov/Archives/edgar/data/2033770/000121390024087113/ea0208059-02.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2025-06-20T05:06:16Z</dcterms:created>
  <dcterms:modified xsi:type="dcterms:W3CDTF">2025-06-20T05:06:16Z</dcterms:modified>
</cp:coreProperties>
</file>