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CID Holdco,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White Lion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NEVADA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128,879.00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128,879.00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128,879.00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Items 5, 7, and 9: Consists of the deemed ownership of 128,879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par value $0.0001 per share, of the Issuer (the "Common Stock") issued pursuant to a purchase agreement. With regard to Item 11: Percentage calculated based on 1,441,286 shares of Common Stock outstanding as of April 23, 2026, as reported by the Issuer.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CID Holdco,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5661 S Cameron St, Suite 100, Las Vegas, NEVADA, 89118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White Lion Capital LLC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17631 Ventura Blvd., Suite 1008 Encino, California 91316</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Nevada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ind w:left="960" w:hanging="912"/>
        <w:spacing w:after="0" w:line="180" w:lineRule="auto"/>
        <w:tabs>
          <w:tab w:leader="none" w:pos="960" w:val="left"/>
        </w:tabs>
        <w:numPr>
          <w:ilvl w:val="0"/>
          <w:numId w:val="3"/>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980"/>
          </w:cols>
          <w:pgMar w:left="320" w:top="102" w:right="59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contained in rows 5 through and including row 11 on the cover page of this Schedule 13G, including the footnote thereto, is incorporated by reference in this Item 4.</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contained in rows 5 through and including row 11 on the cover page of this Schedule 13G, including the footnote thereto, is incorporated by reference in this Item 4.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rows 5 through and including row 11 on the cover page of this Schedule 13G, including the footnote thereto, is incorporated by reference in this Item 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rows 5 through and including row 11 on the cover page of this Schedule 13G, including the footnote thereto, is incorporated by reference in this Item 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rows 5 through and including row 11 on the cover page of this Schedule 13G, including the footnote thereto, is incorporated by reference in this Item 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rows 5 through and including row 11 on the cover page of this Schedule 13G, including the footnote thereto, is incorporated by reference in this Item 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White Lion Capital LLC</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Yash Thukral</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1"/>
          <w:szCs w:val="21"/>
          <w:color w:val="auto"/>
        </w:rPr>
        <w:t>Name/Title: Yash Thukral, Managing Partner</w:t>
      </w:r>
    </w:p>
    <w:p>
      <w:pPr>
        <w:spacing w:after="0" w:line="56"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sectPr>
      <w:pgSz w:w="11900" w:h="16838" w:orient="portrait"/>
      <w:cols w:equalWidth="0" w:num="1">
        <w:col w:w="9019"/>
      </w:cols>
      <w:pgMar w:left="144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5"/>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2026-06-15T06:07:13Z</dcterms:created>
  <dcterms:modified xsi:type="dcterms:W3CDTF">2026-06-15T06:07:13Z</dcterms:modified>
</cp:coreProperties>
</file>