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621-8k_cidhold.htm"/>
      <w:bookmarkStart w:id="1" w:name="ksea0299621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7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3_edei--EntityFileNumber_c20260727"/>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0_edei--EntityTaxIdentificationNum"/>
            <w:bookmarkEnd w:id="7"/>
            <w:r>
              <w:rPr>
                <w:b/>
                <w:sz w:val="20"/>
              </w:rPr>
              <w:t>99-2578850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bookmarkStart w:id="8" w:name="xdx_90A_edei--EntityAddressAddressLine1_"/>
            <w:bookmarkEnd w:id="8"/>
            <w:r>
              <w:rPr>
                <w:b/>
                <w:sz w:val="20"/>
              </w:rPr>
              <w:t xml:space="preserve">5661 S Cameron St, </w:t>
            </w:r>
            <w:bookmarkStart w:id="9" w:name="xdx_90C_edei--EntityAddressAddressLine2_"/>
            <w:bookmarkEnd w:id="9"/>
            <w:r>
              <w:rPr>
                <w:b/>
                <w:sz w:val="20"/>
              </w:rPr>
              <w:t>Suite 100,</w:t>
              <w:br/>
            </w:r>
            <w:bookmarkStart w:id="10" w:name="xdx_90C_edei--EntityAddressCityOrTown_c2"/>
            <w:bookmarkEnd w:id="10"/>
            <w:r>
              <w:rPr>
                <w:b/>
                <w:sz w:val="20"/>
              </w:rPr>
              <w:t xml:space="preserve">Las Vegas, </w:t>
            </w:r>
            <w:bookmarkStart w:id="11" w:name="xdx_900_edei--EntityAddressStateOrProvin"/>
            <w:bookmarkEnd w:id="11"/>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89118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727__20"/>
      <w:bookmarkEnd w:id="13"/>
      <w:r>
        <w:rPr>
          <w:rFonts w:ascii="Times New Roman;Times;Serif" w:hAnsi="Times New Roman;Times;Serif"/>
          <w:b/>
          <w:i w:val="false"/>
          <w:caps w:val="false"/>
          <w:smallCaps w:val="false"/>
          <w:sz w:val="20"/>
        </w:rPr>
        <w:t>303)-</w:t>
      </w:r>
      <w:bookmarkStart w:id="14" w:name="xdx_904_edei--LocalPhoneNumber_c20260727"/>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6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3_edei--SolicitingMaterial_c202607"/>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8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9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99"/>
        <w:gridCol w:w="60"/>
        <w:gridCol w:w="1385"/>
        <w:gridCol w:w="60"/>
        <w:gridCol w:w="2801"/>
      </w:tblGrid>
      <w:tr>
        <w:trPr/>
        <w:tc>
          <w:tcPr>
            <w:tcW w:w="5899"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2801"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5899" w:type="dxa"/>
            <w:tcBorders/>
            <w:shd w:fill="CCEEFF" w:val="clear"/>
            <w:tcMar>
              <w:bottom w:w="0" w:type="dxa"/>
            </w:tcMar>
            <w:vAlign w:val="center"/>
          </w:tcPr>
          <w:p>
            <w:pPr>
              <w:pStyle w:val="TableContents"/>
              <w:bidi w:val="0"/>
              <w:spacing w:before="0" w:after="283"/>
              <w:jc w:val="center"/>
              <w:rPr/>
            </w:pPr>
            <w:bookmarkStart w:id="19" w:name="xdx_90B_edei--Security12bTitle_c20260727"/>
            <w:bookmarkEnd w:id="19"/>
            <w:r>
              <w:rPr/>
              <w:t>Common Stock, par value of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85" w:type="dxa"/>
            <w:tcBorders/>
            <w:shd w:fill="CCEEFF" w:val="clear"/>
            <w:tcMar>
              <w:bottom w:w="0" w:type="dxa"/>
            </w:tcMar>
            <w:vAlign w:val="center"/>
          </w:tcPr>
          <w:p>
            <w:pPr>
              <w:pStyle w:val="TableContents"/>
              <w:bidi w:val="0"/>
              <w:spacing w:before="0" w:after="283"/>
              <w:jc w:val="center"/>
              <w:rPr/>
            </w:pPr>
            <w:bookmarkStart w:id="20" w:name="xdx_902_edei--TradingSymbol_c20260727__2"/>
            <w:bookmarkEnd w:id="20"/>
            <w:r>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01" w:type="dxa"/>
            <w:tcBorders/>
            <w:shd w:fill="CCEEFF" w:val="clear"/>
            <w:tcMar>
              <w:bottom w:w="0" w:type="dxa"/>
            </w:tcMar>
            <w:vAlign w:val="center"/>
          </w:tcPr>
          <w:p>
            <w:pPr>
              <w:pStyle w:val="TableContents"/>
              <w:bidi w:val="0"/>
              <w:spacing w:before="0" w:after="283"/>
              <w:jc w:val="center"/>
              <w:rPr/>
            </w:pPr>
            <w:r>
              <w:rPr/>
              <w:t xml:space="preserve">The </w:t>
            </w:r>
            <w:bookmarkStart w:id="21" w:name="xdx_902_edei--SecurityExchangeName_c2026"/>
            <w:bookmarkEnd w:id="21"/>
            <w:r>
              <w:rPr/>
              <w:t>Nasdaq Stock Market LLC</w:t>
            </w:r>
          </w:p>
        </w:tc>
      </w:tr>
      <w:tr>
        <w:trPr/>
        <w:tc>
          <w:tcPr>
            <w:tcW w:w="5899" w:type="dxa"/>
            <w:tcBorders/>
            <w:shd w:fill="FFFFFF" w:val="clear"/>
            <w:tcMar>
              <w:bottom w:w="0" w:type="dxa"/>
            </w:tcMar>
            <w:vAlign w:val="center"/>
          </w:tcPr>
          <w:p>
            <w:pPr>
              <w:pStyle w:val="TableContents"/>
              <w:bidi w:val="0"/>
              <w:spacing w:before="0" w:after="283"/>
              <w:jc w:val="center"/>
              <w:rPr/>
            </w:pPr>
            <w:bookmarkStart w:id="22" w:name="xdx_90B_edei--Security12bTitle_c20260727"/>
            <w:bookmarkEnd w:id="22"/>
            <w:r>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85" w:type="dxa"/>
            <w:tcBorders/>
            <w:shd w:fill="FFFFFF" w:val="clear"/>
            <w:tcMar>
              <w:bottom w:w="0" w:type="dxa"/>
            </w:tcMar>
            <w:vAlign w:val="center"/>
          </w:tcPr>
          <w:p>
            <w:pPr>
              <w:pStyle w:val="TableContents"/>
              <w:bidi w:val="0"/>
              <w:spacing w:before="0" w:after="283"/>
              <w:jc w:val="center"/>
              <w:rPr/>
            </w:pPr>
            <w:bookmarkStart w:id="23" w:name="xdx_90C_edei--TradingSymbol_c20260727__2"/>
            <w:bookmarkEnd w:id="23"/>
            <w:r>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01" w:type="dxa"/>
            <w:tcBorders/>
            <w:shd w:fill="FFFFFF" w:val="clear"/>
            <w:tcMar>
              <w:bottom w:w="0" w:type="dxa"/>
            </w:tcMar>
            <w:vAlign w:val="center"/>
          </w:tcPr>
          <w:p>
            <w:pPr>
              <w:pStyle w:val="TableContents"/>
              <w:bidi w:val="0"/>
              <w:spacing w:before="0" w:after="283"/>
              <w:jc w:val="center"/>
              <w:rPr/>
            </w:pPr>
            <w:r>
              <w:rPr/>
              <w:t xml:space="preserve">The </w:t>
            </w:r>
            <w:bookmarkStart w:id="24" w:name="xdx_90E_edei--SecurityExchangeName_c2026"/>
            <w:bookmarkEnd w:id="24"/>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CID HoldCo, Inc., a Delaware corporation (the “Company”), entered into a Securities Purchase Agreement (the “Purchase Agreement”) with certain investors (collectively, the “Investors”), pursuant to which the Company agreed to issue and sell, and the Investors agreed to purchase, shares of the Company’s Series AA Convertible Non-Redeemable Preferred Stock and Series B Convertible Preferred Stock, as more fully described in the Company’s Current Report on Form 8-K filed with the Securities and Exchange Commission on July 22,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lead Investor delivered a notice of termination (the “Termination Notice”) to the Company stating that the lead Investor had determined to terminate the Purchase Agreement due to alleged failures of conditions to closing under the Purchase Agreement, including purported breaches of the Company’s closing conditions and representations and warranties. As a result of the Termination Notice, the transactions contemplated by the Purchase Agreement, including the issuance and sale of the Series AA Preferred Stock and the Series B Preferred Stock and the related agreements described in the Company’s prior Current Report on Form 8-K, including the Registration Rights Agreement, the Voting Agreement and the Employment Agreement, will not be consummated unless the parties otherwise agree.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 was and remains ready, willing and able to close the transactions under the Purchase Agreement and disputes the lead Investor’s allegations and that the lead Investor properly terminated the Purchase Agreement. The Company is currently evaluating its rights and remedies under the Purchase Agreement in light of the Termination Notice, including with respect to the circumstances giving rise to the purported termination, and has not yet determined what actions, if any, it will take in response. Additionally, the Company is exploring its options for its creditors.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a copy of which was filed as Exhibit 10.1 to the Company’s Current Report on Form 8-K filed with the Securities and Exchange Commission on July 22,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status and outcome of the transactions contemplated by the Purchase Agreement, the Company’s rights and remedies under the Purchase Agreement, and the outcome of any disputes arising from the Termination Notice. These forward-looking statements are subject to risks and uncertainties that could cause actual results to differ materially from the statements made. These risks and uncertainties include, but are not limited to, the outcome of any legal proceedings or other disputes relating to the termination of the Purchase Agreement. Other factors that could cause results to differ are described in the filings made from time to time by the Company with the U.S. Securities and Exchange Commission and include the risk factors and other risks and uncertainties described in the Company’s Annual Report on Form 10-K for the fiscal year ended December 31, 2025, its Quarterly Reports on Form 10-Q and its Current Reports on Form 8-K. Except as required by law, the Company does not undertake any obligation to release publicly any revisions to forward-looking statements made by it to reflect events or circumstances occurring after the date hereof or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sz w:val="20"/>
              </w:rPr>
            </w:pPr>
            <w:r>
              <w:rPr>
                <w:b/>
                <w:sz w:val="20"/>
              </w:rPr>
              <w:t>Description</w:t>
            </w:r>
            <w:r>
              <w:rPr>
                <w:sz w:val="20"/>
              </w:rPr>
              <w:t xml:space="preserve">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r:id="rId2">
              <w:r>
                <w:rPr>
                  <w:rStyle w:val="InternetLink"/>
                  <w:sz w:val="20"/>
                </w:rPr>
                <w:t>Securities Purchase Agreement dated as of July 22, 2026 by and between the Company and each of the purchasers identified on Annex A thereto (incorporated by reference to Exhibit 10.1 to the Company’s Current Report on Form 8-K filed with the Securities and Exchange Commission on July 22, 2026).</w:t>
              </w:r>
            </w:hyperlink>
            <w:r>
              <w:rPr>
                <w:sz w:val="20"/>
              </w:rPr>
              <w:t xml:space="preserve"> </w:t>
            </w:r>
          </w:p>
        </w:tc>
      </w:tr>
      <w:tr>
        <w:trPr/>
        <w:tc>
          <w:tcPr>
            <w:tcW w:w="89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Certain exhibits and schedules to this Exhibit have been omitted in accordance with Regulation S-K Item 601(a)(5). The Company agrees to furnish supplementally a copy of any omitted exhibit or schedule to the U.S. Securities and Exchange Commission upon its request; however, the Company may request confidential treatment of omitted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1895"/>
        <w:gridCol w:w="425"/>
        <w:gridCol w:w="2300"/>
      </w:tblGrid>
      <w:tr>
        <w:trPr/>
        <w:tc>
          <w:tcPr>
            <w:tcW w:w="189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b/>
              </w:rPr>
            </w:pPr>
            <w:r>
              <w:rPr>
                <w:b/>
              </w:rPr>
              <w:t>CID HoldCo, Inc.</w:t>
            </w:r>
          </w:p>
        </w:tc>
      </w:tr>
      <w:tr>
        <w:trPr/>
        <w:tc>
          <w:tcPr>
            <w:tcW w:w="189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xml:space="preserve">Date: </w:t>
            </w:r>
            <w:r>
              <w:rPr>
                <w:u w:val="single"/>
              </w:rPr>
              <w:t>July 29, 2026</w:t>
            </w:r>
          </w:p>
        </w:tc>
        <w:tc>
          <w:tcPr>
            <w:tcW w:w="425" w:type="dxa"/>
            <w:tcBorders/>
            <w:vAlign w:val="center"/>
          </w:tcPr>
          <w:p>
            <w:pPr>
              <w:pStyle w:val="TableContents"/>
              <w:bidi w:val="0"/>
              <w:spacing w:before="0" w:after="283"/>
              <w:jc w:val="left"/>
              <w:rPr/>
            </w:pPr>
            <w:r>
              <w:rPr/>
              <w:t>By: </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6080208/ea029882601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1161</Words>
  <Characters>6305</Characters>
  <CharactersWithSpaces>7469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