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u w:val="single" w:color="auto"/>
          <w:color w:val="auto"/>
        </w:rPr>
        <w:t>January 13,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(303)-332-4122</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DAICW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Inc., a Delaware corporation (the “Company”), was notified that Carr, Riggs &amp; Ingram, LLC (“CRI”) acquired, effective as of January 1, 2026, certain assets related to the capital markets practice of Berkowitz Pollack Brant Advisors + CPAs, LLP (“BPB”). On January 13, 2026, the Audit Committee of the Company’s Board of Directors simultaneously dismissed BPB as the Company’s independent registered public accounting firm and approved the appointment of CRI as the Company’s new independent registered public accounting firm.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BPB’s audit report on SEE ID, Inc. dba Dot Ai’s (“SEE ID”) consolidated financial statements for the fiscal year ended December 31, 2024 (the only year for which BPB issued such a report) contained no adverse opinion or disclaimer of opinion and was not qualified or modified as to uncertainty, audit scope, or accounting principles, except that the report on the consolidated financial statements of SEE ID for the fiscal year ended December 31, 2024 included an explanatory paragraph indicating that there was substantial doubt as to SEE ID’s ability to continue as a going concern.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a Nevada corporation . As a result, the audit report referenced above relates solely to the historical audited consolidated financial statements of SEE ID for the fiscal year ended December 31, 2024 prior to the business combination.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fiscal years ended December 31, 2024 and 2025 and the subsequent interim period through the date of this Current Report on Form 8-K, there were (i) no disagreements with BPB on any matter of accounting principles or practices, consolidated financial statement disclosure or auditing scope or procedure, which disagreements if not resolved to the satisfaction of BPB would have caused them to make reference thereto in connection with their reports on the financial statements for such years and (ii) no reportable events (as defined in Item 304(a)(1)(v) of Regulation S-K), except that, as originally reported in the Company’s Quarterly Report on Form 10-Q for the period ended June 30, 2025, there were material weaknesses in its internal control over financial reporting relating to the failure to properly design and implement adequate controls over financial reporting for costs of goods sold to ensure proper categorization of expenses on purchase orders generated by our operating departments and to ensure the finance department management analyzed the increases in costs of goods sold period over period aligned with budgeted and actual level of production; inadequate staffing in the Company’s accounting department and design and implementation of the appropriate processes and internal controls to support accurate and timely financial reporting, and inadequate controls in the design of internal controls related to the review of the fair value calculation of SAFE notes performed by a third-party valuation specialist.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material weaknesses resulted in cost of goods sold in the Company’s condensed consolidated financial statements being overstated by $310,160 for the three months ended March 31, 2025, with a corresponding understatement of total operating expenses, and by $137,204 for the three and nine months ended September 30, 2024, also with a corresponding understatement of total operating expenses. The Audit Committee has discussed this matter with BPB and has authorized BPB to respond fully to any inquiries of the Company’s successor independent registered public accounting firm concerning this material weakness.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2024 and 2025 and the subsequent interim period through the date of this Current Report on Form 8-K, the Company did not consult with CRI with regard to (a) the application of accounting principles to a specified transaction, either completed or proposed, or the type of audit opinion that might be rendered on the Company’s consolidated financial statements, and no written report was provided to the Company or oral advice provided to the Company by CRI that CRI concluded was an important factor considered by the Company in reaching a decision as to any accounting, auditing or financial reporting issue, or (b) any matter that was subject to any disagreement (as defined in Item 304(a)(1)(iv) of Regulation S-K and the related instructions thereto) or a reportable event (as defined in Item 304(a)(1)(v) of Regulation S-K).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requested that BPB furnish it with a letter addressed to the SEC stating whether or not it agrees with the above statements. A copy of such letter, dated January 20, 2026, is filed as Exhibit 16.1 to this Current Report on Form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January 20, 2026, the Company issued a press release relating to the Company’s preliminary and unaudited revenue results for the fourth quarter and full year 2025 and expected revenue for the full year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from Berkowitz Pollack Brant Advisors + CPAs, LLP, dated as of January 20, 2026, addressed to the Securities and Exchange</w:t>
            </w: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Commission</w:t>
            </w:r>
          </w:p>
        </w:tc>
        <w:tc>
          <w:tcPr>
            <w:tcW w:w="862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January 20, 2026</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Exhibit 99.1 to this Current Report on Form 8-K is being furnished and shall not be deemed “filed” for the purposes of Section 18 of the Securities Exchange Act of 1934, as amended, or otherwise subject to the liabilities of that Section. Such information in this Current Report on Form 8-K shall not be incorporated by reference into any registration statement or other document pursuant to the Securities Act of 1933, as amended, except as shall be expressly set forth by specific reference in any such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January 20, 2026</w:t>
      </w:r>
      <w:r>
        <w:rPr>
          <w:sz w:val="20"/>
          <w:szCs w:val="20"/>
          <w:color w:val="auto"/>
        </w:rPr>
        <w:tab/>
      </w:r>
      <w:r>
        <w:rPr>
          <w:rFonts w:ascii="Times New Roman" w:cs="Times New Roman" w:eastAsia="Times New Roman" w:hAnsi="Times New Roman"/>
          <w:sz w:val="18"/>
          <w:szCs w:val="18"/>
          <w:color w:val="auto"/>
        </w:rPr>
        <w:t>By: /s/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Charles Maddox</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the former independent registered public accounting firm for CID Holdco, Inc.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the Company’s disclosure set forth in Item 4.01 “Changes in Registrant’s Certifying Accountant” of the Company’s Current Report on Form 8-K dated January 20, 2026 (the “Current Report”), and are in agreement with the statements in the Current Report, insofar as they pertain to our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Berkowitz Pollack Brant Advisors + CPAs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Berkowitz Pollack Brant Advisors + CPAs</w:t>
      </w:r>
    </w:p>
    <w:p>
      <w:pPr>
        <w:sectPr>
          <w:pgSz w:w="11900" w:h="16838" w:orient="portrait"/>
          <w:cols w:equalWidth="0" w:num="1">
            <w:col w:w="11240"/>
          </w:cols>
          <w:pgMar w:left="320" w:top="117"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8867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Dot Ai Announces Preliminary Revenue for Fourth Quarter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Full Year 2025; Provides Revenue Range for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Preliminary, unaudited revenue for the full year 2025 of approximately $5.6 to $5.9 million</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LAS VEGAS, Nevada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20, 2026 </w:t>
      </w:r>
      <w:r>
        <w:rPr>
          <w:rFonts w:ascii="Times New Roman" w:cs="Times New Roman" w:eastAsia="Times New Roman" w:hAnsi="Times New Roman"/>
          <w:sz w:val="18"/>
          <w:szCs w:val="18"/>
          <w:color w:val="auto"/>
        </w:rPr>
        <w:t>– CID Holdco, Inc. d/b/a Dot Ai (Nasdaq: DAIC) (“Dot Ai” or the “Company”), an IoT and AI-based SaaS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at the forefront of Asset Intelligence, today announced preliminary and unaudited revenue results for the fourth quarter and full year 2025. Dot Ai expects revenue of approximately $4.3 to $4.6 million in the fourth quarter of 2025. For the full year 2025, the Company expects revenue of approximately $5.6 to $5.9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2026, the Company expects revenue of approximately $15 to $25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2025 performance, particularly our growth to new revenue highs in Q3 and Q4, reflect the acquisition of some key customers and the shipment of initial hardware platform orders for their programs,” said Ed Nabrotzky, CEO of Dot Ai. “Looking to 2026, we believe we have the right pieces in place to accelerate pipeline conversion and drive additional subscriber acquisition and material revenue contribution from annual recurring revenue. During 2026, we are taking targeted actions to sharpen our operating model and strengthen this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Dot Ai plans to report its unaudited fourth quarter and audited full year 2025 financial results later this quarter, at which time the Company will discuss its financial results in greater detail and provide an update on its expectations for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Dot Ai’s unaudited, preliminary revenue results for the fourth quarter and full year 2025 are based on current expectations, the audit of which is underway by Dot Ai’s external independent certified public accounting firm under Public Company Accounting Oversight Board standards, and may be adjusted as a result of, among other things, completion of annual audit procedures. This financial information does not represent a comprehensive statement of the Company’s financial results for the fourth quarter or full year 2025 and remains subject to the completion of financial closing procedures, internal reviews and completion of the audit.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heart of the technological revolution in asset management and security lies Dot Ai, a trailblazing SaaS company that is defining Asset Intelligence for smart supply chain operations. By harnessing the power of real-time IoT tracking technology and AI-enhanced analytics, Dot Ai stands at the forefront of innovation, offering patented solutions that are not just advanced, but transformative. Through relentless research and development, Dot Ai has engineered a suite of technologies that empower organizations to not only streamline their logistics and supply chain processes, but also bolster operational security to unprecedented levels. Leveraging state-of-the-art AI engines, cutting-edge 5G RF and BLE technology, and seamless API integrations, Dot Ai transcends traditional boundaries, offering real-time asset visibility and predictive analytics that integrate effortlessly with existing infrastructure. This is not just technology; it’s a vision for a more secure, efficient, and connected world. Discover more about how Dot Ai is leading the charge in Asset Intelligence by visiting https://daic.ai.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statements regarding its expected revenue results for the fourth quarter and full year 2025, projected revenue for the full year 2026, and anticipated production capacity increases, facility expansion plans, expected order fulfillment, and future business growth.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 Ai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and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dotai@icrinc.com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2026-01-20T17:20:32Z</dcterms:created>
  <dcterms:modified xsi:type="dcterms:W3CDTF">2026-01-20T17:20:32Z</dcterms:modified>
</cp:coreProperties>
</file>