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 2025</w:t>
      </w:r>
    </w:p>
    <w:p>
      <w:pPr>
        <w:spacing w:after="0" w:line="31" w:lineRule="exact"/>
        <w:rPr>
          <w:sz w:val="24"/>
          <w:szCs w:val="24"/>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24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8"/>
              </w:rPr>
              <w:t>99-2578850</w:t>
            </w:r>
          </w:p>
        </w:tc>
      </w:tr>
      <w:tr>
        <w:trPr>
          <w:trHeight w:val="194"/>
        </w:trPr>
        <w:tc>
          <w:tcPr>
            <w:tcW w:w="4000" w:type="dxa"/>
            <w:vAlign w:val="bottom"/>
            <w:tcBorders>
              <w:top w:val="single" w:sz="8" w:color="auto"/>
            </w:tcBorders>
          </w:tcPr>
          <w:p>
            <w:pPr>
              <w:jc w:val="center"/>
              <w:ind w:left="14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4000" w:type="dxa"/>
            <w:vAlign w:val="bottom"/>
          </w:tcPr>
          <w:p>
            <w:pPr>
              <w:spacing w:after="0"/>
              <w:rPr>
                <w:sz w:val="24"/>
                <w:szCs w:val="24"/>
                <w:color w:val="auto"/>
              </w:rPr>
            </w:pPr>
          </w:p>
        </w:tc>
        <w:tc>
          <w:tcPr>
            <w:tcW w:w="724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9"/>
              </w:rPr>
              <w:t>SEE ID, Inc. 2021 Equity Incentive Plan</w:t>
            </w:r>
          </w:p>
        </w:tc>
      </w:tr>
      <w:tr>
        <w:trPr>
          <w:trHeight w:val="238"/>
        </w:trPr>
        <w:tc>
          <w:tcPr>
            <w:tcW w:w="4000" w:type="dxa"/>
            <w:vAlign w:val="bottom"/>
          </w:tcPr>
          <w:p>
            <w:pPr>
              <w:spacing w:after="0"/>
              <w:rPr>
                <w:sz w:val="20"/>
                <w:szCs w:val="20"/>
                <w:color w:val="auto"/>
              </w:rPr>
            </w:pPr>
          </w:p>
        </w:tc>
        <w:tc>
          <w:tcPr>
            <w:tcW w:w="7240" w:type="dxa"/>
            <w:vAlign w:val="bottom"/>
            <w:gridSpan w:val="3"/>
          </w:tcPr>
          <w:p>
            <w:pPr>
              <w:jc w:val="center"/>
              <w:ind w:right="391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Edmund Nabrotzky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S Cameron St., Suite100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Nevada 89118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332-4122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J.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Atlantic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West Peachtree Street, Suite 2900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736-7891</w:t>
      </w:r>
    </w:p>
    <w:p>
      <w:pPr>
        <w:spacing w:after="0" w:line="20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00" w:type="dxa"/>
        <w:tblCellMar>
          <w:top w:w="0" w:type="dxa"/>
          <w:left w:w="0" w:type="dxa"/>
          <w:bottom w:w="0" w:type="dxa"/>
          <w:right w:w="0" w:type="dxa"/>
        </w:tblCellMar>
      </w:tblP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filed</w:t>
            </w:r>
          </w:p>
        </w:tc>
        <w:tc>
          <w:tcPr>
            <w:tcW w:w="19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This Registration Statement on Form S-8 is being filed by CID HoldCo,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 for the purpose of registering 2,032,521 shares of the Company’s common stock, par value of $0.001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that may be issued pursuant to awards outstanding under the under the SEE ID, Inc. 2021 Equity Incentive Plan (the “</w:t>
      </w:r>
      <w:r>
        <w:rPr>
          <w:rFonts w:ascii="Times New Roman" w:cs="Times New Roman" w:eastAsia="Times New Roman" w:hAnsi="Times New Roman"/>
          <w:sz w:val="18"/>
          <w:szCs w:val="18"/>
          <w:i w:val="1"/>
          <w:iCs w:val="1"/>
          <w:color w:val="auto"/>
        </w:rPr>
        <w:t>SEE ID Plan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18, 2025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the Company consummated the transactions contemplated by that certain Business Combination Agreement, dated March 18, 2024 (the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by and among the Company, ShoulderUp Technology Acquisition Corp, a Delaware corporation (“</w:t>
      </w:r>
      <w:r>
        <w:rPr>
          <w:rFonts w:ascii="Times New Roman" w:cs="Times New Roman" w:eastAsia="Times New Roman" w:hAnsi="Times New Roman"/>
          <w:sz w:val="18"/>
          <w:szCs w:val="18"/>
          <w:i w:val="1"/>
          <w:iCs w:val="1"/>
          <w:color w:val="auto"/>
        </w:rPr>
        <w:t>SUAC</w:t>
      </w:r>
      <w:r>
        <w:rPr>
          <w:rFonts w:ascii="Times New Roman" w:cs="Times New Roman" w:eastAsia="Times New Roman" w:hAnsi="Times New Roman"/>
          <w:sz w:val="18"/>
          <w:szCs w:val="18"/>
          <w:color w:val="auto"/>
        </w:rPr>
        <w:t>”), ShoulderUp Merger Sub, Inc., a Delaware corporation (“</w:t>
      </w:r>
      <w:r>
        <w:rPr>
          <w:rFonts w:ascii="Times New Roman" w:cs="Times New Roman" w:eastAsia="Times New Roman" w:hAnsi="Times New Roman"/>
          <w:sz w:val="18"/>
          <w:szCs w:val="18"/>
          <w:i w:val="1"/>
          <w:iCs w:val="1"/>
          <w:color w:val="auto"/>
        </w:rPr>
        <w:t>ShoulderUp Merger Sub</w:t>
      </w:r>
      <w:r>
        <w:rPr>
          <w:rFonts w:ascii="Times New Roman" w:cs="Times New Roman" w:eastAsia="Times New Roman" w:hAnsi="Times New Roman"/>
          <w:sz w:val="18"/>
          <w:szCs w:val="18"/>
          <w:color w:val="auto"/>
        </w:rPr>
        <w:t>”), SEI Merger Sub, Inc., a Delaware Corporation (“</w:t>
      </w:r>
      <w:r>
        <w:rPr>
          <w:rFonts w:ascii="Times New Roman" w:cs="Times New Roman" w:eastAsia="Times New Roman" w:hAnsi="Times New Roman"/>
          <w:sz w:val="18"/>
          <w:szCs w:val="18"/>
          <w:i w:val="1"/>
          <w:iCs w:val="1"/>
          <w:color w:val="auto"/>
        </w:rPr>
        <w:t>SEI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and SEE ID, Inc., a Nevada corporation (“SEE ID”). Pursuant to the Business Combination Agreement, on the Closing Date, (i) ShoulderUp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Sub merged with and into SUAC (the “</w:t>
      </w:r>
      <w:r>
        <w:rPr>
          <w:rFonts w:ascii="Times New Roman" w:cs="Times New Roman" w:eastAsia="Times New Roman" w:hAnsi="Times New Roman"/>
          <w:sz w:val="18"/>
          <w:szCs w:val="18"/>
          <w:i w:val="1"/>
          <w:iCs w:val="1"/>
          <w:color w:val="auto"/>
        </w:rPr>
        <w:t>ShoulderUp Merger</w:t>
      </w:r>
      <w:r>
        <w:rPr>
          <w:rFonts w:ascii="Times New Roman" w:cs="Times New Roman" w:eastAsia="Times New Roman" w:hAnsi="Times New Roman"/>
          <w:sz w:val="18"/>
          <w:szCs w:val="18"/>
          <w:color w:val="auto"/>
        </w:rPr>
        <w:t>”), with SUAC surviving the ShoulderUp Merger as a wholly-owned subsidiary of the Company; and (ii) simultaneously with the ShoulderUp Merger, SEI Merger Sub merged with and into SEE ID (the “</w:t>
      </w:r>
      <w:r>
        <w:rPr>
          <w:rFonts w:ascii="Times New Roman" w:cs="Times New Roman" w:eastAsia="Times New Roman" w:hAnsi="Times New Roman"/>
          <w:sz w:val="18"/>
          <w:szCs w:val="18"/>
          <w:i w:val="1"/>
          <w:iCs w:val="1"/>
          <w:color w:val="auto"/>
        </w:rPr>
        <w:t>SEE ID Merger</w:t>
      </w:r>
      <w:r>
        <w:rPr>
          <w:rFonts w:ascii="Times New Roman" w:cs="Times New Roman" w:eastAsia="Times New Roman" w:hAnsi="Times New Roman"/>
          <w:sz w:val="18"/>
          <w:szCs w:val="18"/>
          <w:color w:val="auto"/>
        </w:rPr>
        <w:t>”), with SEE ID surviving the SEE ID Merger as a wholly-owned subsidiary of the Company (the “</w:t>
      </w:r>
      <w:r>
        <w:rPr>
          <w:rFonts w:ascii="Times New Roman" w:cs="Times New Roman" w:eastAsia="Times New Roman" w:hAnsi="Times New Roman"/>
          <w:sz w:val="18"/>
          <w:szCs w:val="18"/>
          <w:i w:val="1"/>
          <w:iCs w:val="1"/>
          <w:color w:val="auto"/>
        </w:rPr>
        <w:t>Surviving Company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and upon the consummation of the transactions contemplated by the Business Combination Agreement and in accordance with the Business Combination Agreement, the SEE ID Plan was assumed by the Company. This Registration Statement is being filed by the Company to register 2,032,521 shares of Common Stock which may be issuable pursuant to outstanding stock options, which were assumed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ind w:left="380" w:hanging="318"/>
        <w:spacing w:after="0" w:line="258"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Part I will be delivered in accordance with Rule 428(b)(1) under the Securities Act. Such documents are not required to be, and are not, filed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either as part of this Registration Statement or as prospectuses or prospectus supplements pursuant to Rule 424 under the Securities Act.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39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documents previously filed by the Company with the Commission under the Securities and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are incorporated by reference into this Registration Statement:</w:t>
      </w:r>
    </w:p>
    <w:p>
      <w:pPr>
        <w:spacing w:after="0" w:line="162" w:lineRule="exact"/>
        <w:rPr>
          <w:sz w:val="20"/>
          <w:szCs w:val="20"/>
          <w:color w:val="auto"/>
        </w:rPr>
      </w:pPr>
    </w:p>
    <w:p>
      <w:pPr>
        <w:ind w:left="340" w:right="22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report on </w:t>
      </w:r>
      <w:hyperlink r:id="rId15">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by the Company with the Commission on June 26, 2025 (File No. 001-42711), which contains the Registrant’s audited consolidated financial statements for the years ended December 31, 2024 and December 31, 2023 and the condensed consolidated financial statements (unaudited) for the quarter ended March 31, 2025, for which such statements have been filed;</w:t>
      </w:r>
    </w:p>
    <w:p>
      <w:pPr>
        <w:spacing w:after="0" w:line="175" w:lineRule="exact"/>
        <w:rPr>
          <w:rFonts w:ascii="Times New Roman" w:cs="Times New Roman" w:eastAsia="Times New Roman" w:hAnsi="Times New Roman"/>
          <w:sz w:val="18"/>
          <w:szCs w:val="18"/>
          <w:color w:val="auto"/>
        </w:rPr>
      </w:pPr>
    </w:p>
    <w:p>
      <w:pPr>
        <w:ind w:left="340" w:hanging="328"/>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reports on Form 10-Q filed by the Company with the Commission on </w:t>
      </w:r>
      <w:hyperlink r:id="rId16">
        <w:r>
          <w:rPr>
            <w:rFonts w:ascii="Times New Roman" w:cs="Times New Roman" w:eastAsia="Times New Roman" w:hAnsi="Times New Roman"/>
            <w:sz w:val="18"/>
            <w:szCs w:val="18"/>
            <w:u w:val="single" w:color="auto"/>
            <w:color w:val="0000EE"/>
          </w:rPr>
          <w:t>August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001-42711) and </w:t>
      </w:r>
      <w:hyperlink r:id="rId17">
        <w:r>
          <w:rPr>
            <w:rFonts w:ascii="Times New Roman" w:cs="Times New Roman" w:eastAsia="Times New Roman" w:hAnsi="Times New Roman"/>
            <w:sz w:val="18"/>
            <w:szCs w:val="18"/>
            <w:u w:val="single" w:color="auto"/>
            <w:color w:val="0000EE"/>
          </w:rPr>
          <w:t>November 13, 2025</w:t>
        </w:r>
      </w:hyperlink>
      <w:r>
        <w:rPr>
          <w:rFonts w:ascii="Times New Roman" w:cs="Times New Roman" w:eastAsia="Times New Roman" w:hAnsi="Times New Roman"/>
          <w:sz w:val="18"/>
          <w:szCs w:val="18"/>
          <w:color w:val="auto"/>
        </w:rPr>
        <w:t xml:space="preserve"> (File No. 001-42711), which contains the Registrant’s condensed consolidated financial statements (unaudited) for the quarter ended June 30, 2025 and September 30, 2025, respectively;</w:t>
      </w:r>
    </w:p>
    <w:p>
      <w:pPr>
        <w:spacing w:after="0" w:line="175" w:lineRule="exact"/>
        <w:rPr>
          <w:rFonts w:ascii="Times New Roman" w:cs="Times New Roman" w:eastAsia="Times New Roman" w:hAnsi="Times New Roman"/>
          <w:sz w:val="18"/>
          <w:szCs w:val="18"/>
          <w:color w:val="auto"/>
        </w:rPr>
      </w:pPr>
    </w:p>
    <w:p>
      <w:pPr>
        <w:ind w:left="340" w:right="660" w:hanging="328"/>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document referred to in (1) above; and</w:t>
      </w:r>
    </w:p>
    <w:p>
      <w:pPr>
        <w:spacing w:after="0" w:line="161" w:lineRule="exact"/>
        <w:rPr>
          <w:rFonts w:ascii="Times New Roman" w:cs="Times New Roman" w:eastAsia="Times New Roman" w:hAnsi="Times New Roman"/>
          <w:sz w:val="18"/>
          <w:szCs w:val="18"/>
          <w:color w:val="auto"/>
        </w:rPr>
      </w:pPr>
    </w:p>
    <w:p>
      <w:pPr>
        <w:ind w:left="340" w:right="220" w:hanging="328"/>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which is contained in a registration statement on </w:t>
      </w:r>
      <w:hyperlink r:id="rId1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June 20, 2025 (File No. 001-42711) under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76" w:lineRule="exact"/>
        <w:rPr>
          <w:rFonts w:ascii="Times New Roman" w:cs="Times New Roman" w:eastAsia="Times New Roman" w:hAnsi="Times New Roman"/>
          <w:sz w:val="18"/>
          <w:szCs w:val="18"/>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provides that a corporation may indemnify any person, including an officer or director, who was or is,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best interests of such corporation, and, with respect to any criminal actions and proceedings, had no reasonable cause to believe that his or her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that such officer or director actually and reasonably incurred in connection therewith.</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rights provided in Section 145 of the DGCL are not exclusive, and the corporation may also provide for indemnification under bylaw, agreement, vote of stockholders or disinterested directors or otherwise.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and our Amended and Restated Bylaws provide that the Company, to the full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permitted by Delaware law shall indemnify and hold harmless each person who is or was made a party or is threatened to be made a party to or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involved in any threatened, pending or completed action, suit or proceeding, whether civil, criminal, administrative or investigative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proceeding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reason of the fact that he or she is or was a director or officer of the Company or, while a director or officer of the Company, is or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serving at the request of the Company as a director, officer, employee or agent of another corporation or of a partnership, joint venture, trust,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 or nonprofit entity, including service with respect to an employee benefit plan (an “</w:t>
      </w:r>
      <w:r>
        <w:rPr>
          <w:rFonts w:ascii="Times New Roman" w:cs="Times New Roman" w:eastAsia="Times New Roman" w:hAnsi="Times New Roman"/>
          <w:sz w:val="18"/>
          <w:szCs w:val="18"/>
          <w:i w:val="1"/>
          <w:iCs w:val="1"/>
          <w:color w:val="auto"/>
        </w:rPr>
        <w:t>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against all liability and loss suffered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(including, without limitation, attorneys’ fees, judgments, fines, ERISA excise taxes and penalties and amounts paid in settlement)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by such indemnitee in connection with such proceeding. The Company may to the fullest extent not prohibited by applicable law pay the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attorneys’ fees) incurred by an indemnitee in defending or otherwise participating in any proceeding in advance of its final disposition;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that such payment of expenses in advance of the final disposition of the proceeding shall be made only upon receipt of an undertaking,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indemnitee, to repay all amounts so advanced if it shall ultimately be determined that the indemnitee is not entitled to be indemnified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or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attached Exhibit Index, which is incorporated by reference herein.</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340" w:hanging="328"/>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225" w:lineRule="exact"/>
        <w:rPr>
          <w:rFonts w:ascii="Times New Roman" w:cs="Times New Roman" w:eastAsia="Times New Roman" w:hAnsi="Times New Roman"/>
          <w:sz w:val="18"/>
          <w:szCs w:val="18"/>
          <w:color w:val="auto"/>
        </w:rPr>
      </w:pPr>
    </w:p>
    <w:p>
      <w:pPr>
        <w:ind w:left="660" w:hanging="324"/>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80" w:right="220" w:hanging="320"/>
        <w:spacing w:after="0" w:line="266" w:lineRule="auto"/>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Times New Roman" w:cs="Times New Roman" w:eastAsia="Times New Roman" w:hAnsi="Times New Roman"/>
          <w:sz w:val="18"/>
          <w:szCs w:val="18"/>
          <w:color w:val="auto"/>
        </w:rPr>
      </w:pPr>
    </w:p>
    <w:p>
      <w:pPr>
        <w:ind w:left="980" w:right="500" w:hanging="320"/>
        <w:spacing w:after="0" w:line="282" w:lineRule="auto"/>
        <w:tabs>
          <w:tab w:leader="none" w:pos="9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paragraphs (i) and (ii)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left="660" w:right="20" w:hanging="324"/>
        <w:spacing w:after="0" w:line="26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Times New Roman" w:cs="Times New Roman" w:eastAsia="Times New Roman" w:hAnsi="Times New Roman"/>
          <w:sz w:val="18"/>
          <w:szCs w:val="18"/>
          <w:color w:val="auto"/>
        </w:rPr>
      </w:pPr>
    </w:p>
    <w:p>
      <w:pPr>
        <w:ind w:left="660" w:hanging="324"/>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40" w:hanging="328"/>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340" w:hanging="328"/>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provisions set forth above,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16"/>
        </w:trPr>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Certificate of Incorporation of CID HoldCo, Inc. (incorporated by reference to Exhibit 3.1 to CID HoldCo, Inc.’s</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Current Report on Form 8-K filed with the SEC on June 25, 2025)</w:t>
              </w:r>
            </w:hyperlink>
          </w:p>
        </w:tc>
        <w:tc>
          <w:tcPr>
            <w:tcW w:w="26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982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Bylaws of CID HoldCo, Inc. (incorporated by reference to Exhibit 3.2 to CID HoldCo, Inc.’s Current Report on Form 8-K filed with the</w:t>
              </w:r>
            </w:hyperlink>
          </w:p>
        </w:tc>
        <w:tc>
          <w:tcPr>
            <w:tcW w:w="280" w:type="dxa"/>
            <w:vAlign w:val="bottom"/>
            <w:gridSpan w:val="2"/>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12"/>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SEC on June 25, 2025)</w:t>
              </w:r>
            </w:hyperlink>
          </w:p>
        </w:tc>
      </w:tr>
      <w:tr>
        <w:trPr>
          <w:trHeight w:val="20"/>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DLA Piper (US).</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Consent of DLA Piper (US) (contained in Exhibit 5.1).</w:t>
            </w:r>
          </w:p>
        </w:tc>
      </w:tr>
      <w:tr>
        <w:trPr>
          <w:trHeight w:val="20"/>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Berkowitz Pollack Brant Advisors + CPAs.</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39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Consent of Wolf &amp; Company, P.C.</w:t>
            </w:r>
          </w:p>
        </w:tc>
        <w:tc>
          <w:tcPr>
            <w:tcW w:w="6160" w:type="dxa"/>
            <w:vAlign w:val="bottom"/>
            <w:tcBorders>
              <w:top w:val="single" w:sz="8" w:color="CCEEFF"/>
            </w:tcBorders>
            <w:gridSpan w:val="5"/>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34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SEE ID, Inc. 2021 Equity Incentive Plan</w:t>
            </w:r>
          </w:p>
        </w:tc>
        <w:tc>
          <w:tcPr>
            <w:tcW w:w="6620" w:type="dxa"/>
            <w:vAlign w:val="bottom"/>
            <w:tcBorders>
              <w:top w:val="single" w:sz="8" w:color="CCEEFF"/>
            </w:tcBorders>
            <w:gridSpan w:val="6"/>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840" w:hanging="319"/>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this December 2, 2025.</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Edmund Nabrotzky</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Edmund Nabrotzky</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Edmund Nabrotzky, his true and lawful attorney-in-fact and agent, with full power of substitution and resubstitution, for him and in his name, place and stead, in any and all capacities, to sign any and all amendments to this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registration statement on Form S-8 has been signed below by the following persons on behalf of the Company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428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Edmund Nabrotzky</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Edmund Nabrotzky</w:t>
            </w: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Maddox</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Charles Maddox</w:t>
            </w: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 Saling</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Jeff Saling</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Carlson</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David Carlson</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Sheldon Paul</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Sheldon Paul</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Phyllis Newhouse</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Phyllis Newhouse</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Janice Bryant Howroyd</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Janice Bryant Howroyd</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Walter Skowronski</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2025</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Walter Skowronski</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3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650 South Exeter Street</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Suite 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-79375</wp:posOffset>
            </wp:positionV>
            <wp:extent cx="102870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ind w:left="8320"/>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9"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3" w:lineRule="exact"/>
        <w:rPr>
          <w:sz w:val="20"/>
          <w:szCs w:val="20"/>
          <w:color w:val="auto"/>
        </w:rPr>
      </w:pPr>
    </w:p>
    <w:p>
      <w:pPr>
        <w:ind w:left="83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T</w:t>
      </w:r>
      <w:r>
        <w:rPr>
          <w:sz w:val="20"/>
          <w:szCs w:val="20"/>
          <w:color w:val="auto"/>
        </w:rPr>
        <w:tab/>
      </w:r>
      <w:r>
        <w:rPr>
          <w:rFonts w:ascii="Times New Roman" w:cs="Times New Roman" w:eastAsia="Times New Roman" w:hAnsi="Times New Roman"/>
          <w:sz w:val="18"/>
          <w:szCs w:val="18"/>
          <w:color w:val="auto"/>
        </w:rPr>
        <w:t>410.580.3000</w:t>
      </w:r>
    </w:p>
    <w:p>
      <w:pPr>
        <w:spacing w:after="0" w:line="31" w:lineRule="exact"/>
        <w:rPr>
          <w:sz w:val="20"/>
          <w:szCs w:val="20"/>
          <w:color w:val="auto"/>
        </w:rPr>
      </w:pPr>
    </w:p>
    <w:p>
      <w:pPr>
        <w:ind w:left="8320"/>
        <w:spacing w:after="0"/>
        <w:tabs>
          <w:tab w:leader="none" w:pos="8600" w:val="left"/>
        </w:tabs>
        <w:rPr>
          <w:sz w:val="20"/>
          <w:szCs w:val="20"/>
          <w:color w:val="auto"/>
        </w:rPr>
      </w:pPr>
      <w:r>
        <w:rPr>
          <w:rFonts w:ascii="Times New Roman" w:cs="Times New Roman" w:eastAsia="Times New Roman" w:hAnsi="Times New Roman"/>
          <w:sz w:val="18"/>
          <w:szCs w:val="18"/>
          <w:b w:val="1"/>
          <w:bCs w:val="1"/>
          <w:color w:val="auto"/>
        </w:rPr>
        <w:t>F</w:t>
      </w:r>
      <w:r>
        <w:rPr>
          <w:sz w:val="20"/>
          <w:szCs w:val="20"/>
          <w:color w:val="auto"/>
        </w:rPr>
        <w:tab/>
      </w:r>
      <w:r>
        <w:rPr>
          <w:rFonts w:ascii="Times New Roman" w:cs="Times New Roman" w:eastAsia="Times New Roman" w:hAnsi="Times New Roman"/>
          <w:sz w:val="17"/>
          <w:szCs w:val="17"/>
          <w:color w:val="auto"/>
        </w:rPr>
        <w:t>410.580.3001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CID HoldCo,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5661 S Cameron St,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serve as counsel to CID HoldCo,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have been requested to render this opinion in connection with the preparation and filing of the Company’s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registration of up to 2,032,521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that may be issued pursuant to options (the “SEE ID Options”) initially issued pursuant to the SEE ID, Inc.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assumed by the Company pursuant to the terms of the Business Combination Agreement, dated March 18, 2024 (the “Business Combination Agreement”), by and among the Company, ShoulderUp Technology Acquisition Corp, ShoulderUp Merger Sub, Inc., SEI Merger Sub, Inc., and SEE ID, Inc., a Nevada corporation (“SEE ID”).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capacity as the Company’s counsel, we have reviewed the following documents:</w:t>
      </w:r>
    </w:p>
    <w:p>
      <w:pPr>
        <w:spacing w:after="0" w:line="225" w:lineRule="exact"/>
        <w:rPr>
          <w:sz w:val="20"/>
          <w:szCs w:val="20"/>
          <w:color w:val="auto"/>
        </w:rPr>
      </w:pPr>
    </w:p>
    <w:p>
      <w:pPr>
        <w:ind w:left="980" w:right="5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 of CID HoldCo, Inc. (in the form attached to the Secretary’s Certificate (as defined below));</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CID HoldCo, Inc.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as amended to the date hereof and as in effect on the date hereof (in the form attached to the Secretary’s Certificate);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resolutions adopted by the Board of Directors of the Company and SEE ID relating to the approval of the Business Combination Agreement and the transactions contemplated thereby, including the assumption of the SEE ID Options under the Plan, the authorization and approval of the preparation and filing of the Registration Statement, and the issuance of the Shares (in the form attached to the Secretary’s Certificate);</w:t>
      </w:r>
    </w:p>
    <w:p>
      <w:pPr>
        <w:spacing w:after="0" w:line="184"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 the form to be filed with the Commission;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standing certificate for the Company, dated as of a recent date, issued by the Delaware Secretary of State; and</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Secretary of the Company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dated as of the date hereof, as to certain factual matters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600075"/>
                    </a:xfrm>
                    <a:prstGeom prst="rect">
                      <a:avLst/>
                    </a:prstGeom>
                    <a:noFill/>
                  </pic:spPr>
                </pic:pic>
              </a:graphicData>
            </a:graphic>
          </wp:anchor>
        </w:drawing>
        <w:t>CID HoldCo,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this opinion letter, we have not examined any documents other than the documents listed in (a) through (g) above (exclusive of all schedules, appendixes, annexes and exhibits attached thereto). In particular, we have not examined any document (other than the documents listed in (a) through (g) above) that is referred to or incorporated by reference into the documents examined by us (including all schedules, appendixes, annexes, and/or exhibits attached thereto). We have assumed that there exists no provision in any document that we have not examined that is inconsistent with or that would otherwise alter any of the opinion stated herein.</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addition, we have conducted no independent factual investigation of our own but rather have relied solely on the foregoing documents, the statements and information set forth therein and the additional matters related thereto or assumed therein, all of which we have assumed to be true, complete and accurate.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also assumed that the appropriate action will be taken, prior to the offer and sale of the Shares in accordance with the Plan, including, without limitation, collection of any required payment for the Shares, to register and qualify the Shares for sale under all applicable state securities or “blue sky” laws. We have further assumed that there will be no changes to the documents we have examined and that, at all times prior to the issuance of the Shares, the Company will maintain a sufficient number of authorized but unissued shares of common stock, par value $0.001 per share, available for such issuance.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examination and in reliance thereon, and subject to the qualifications, assumptions and limitations stated herein and in reliance on statements of fact contained in the documents that we have examined or reviewed, we are of the opinion that, upon the issuance and delivery of the Shares in the manner contemplated by the Plan and the Registration Statement, the Shares will be validly issued, duly authorized, fully paid and nonassessable.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qualifications set forth above, the foregoing opinion is further qualified as follows:</w:t>
      </w:r>
    </w:p>
    <w:p>
      <w:pPr>
        <w:spacing w:after="0" w:line="225" w:lineRule="exact"/>
        <w:rPr>
          <w:sz w:val="20"/>
          <w:szCs w:val="20"/>
          <w:color w:val="auto"/>
        </w:rPr>
      </w:pPr>
    </w:p>
    <w:p>
      <w:pPr>
        <w:ind w:left="980" w:right="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opinion is rendered as of the date hereof. We assume no obligation to update such opinion to reflect any facts or circumstances that may hereafter come to our attention or changes in the law which may hereafter occur.</w:t>
      </w:r>
    </w:p>
    <w:p>
      <w:pPr>
        <w:spacing w:after="0" w:line="161" w:lineRule="exact"/>
        <w:rPr>
          <w:rFonts w:ascii="Times New Roman" w:cs="Times New Roman" w:eastAsia="Times New Roman" w:hAnsi="Times New Roman"/>
          <w:sz w:val="18"/>
          <w:szCs w:val="18"/>
          <w:color w:val="auto"/>
        </w:rPr>
      </w:pPr>
    </w:p>
    <w:p>
      <w:pPr>
        <w:ind w:left="980" w:right="700" w:hanging="324"/>
        <w:spacing w:after="0" w:line="312" w:lineRule="auto"/>
        <w:tabs>
          <w:tab w:leader="none" w:pos="9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express any opinion herein concerning any law other than the Delaware General Corporation Law (including the statutory provisions, all applicable provisions of the Delaware Constitution and the reported judicial decisions interpreting the foregoing).</w:t>
      </w:r>
    </w:p>
    <w:p>
      <w:pPr>
        <w:spacing w:after="0" w:line="139" w:lineRule="exact"/>
        <w:rPr>
          <w:rFonts w:ascii="Times New Roman" w:cs="Times New Roman" w:eastAsia="Times New Roman" w:hAnsi="Times New Roman"/>
          <w:sz w:val="17"/>
          <w:szCs w:val="17"/>
          <w:color w:val="auto"/>
        </w:rPr>
      </w:pPr>
    </w:p>
    <w:p>
      <w:pPr>
        <w:ind w:left="980" w:right="20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 herein with respect to the qualification of the Shares under the securities or blue sky laws of any state or any foreign jurisdiction.</w:t>
      </w:r>
    </w:p>
    <w:p>
      <w:pPr>
        <w:spacing w:after="0" w:line="161" w:lineRule="exact"/>
        <w:rPr>
          <w:rFonts w:ascii="Times New Roman" w:cs="Times New Roman" w:eastAsia="Times New Roman" w:hAnsi="Times New Roman"/>
          <w:sz w:val="18"/>
          <w:szCs w:val="18"/>
          <w:color w:val="auto"/>
        </w:rPr>
      </w:pPr>
    </w:p>
    <w:p>
      <w:pPr>
        <w:ind w:left="980" w:right="16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exercise of the SEE ID Options under the Plan. We have also assumed that the offer and sale of the Shares complies and will comply in all respects with the terms, conditions and restrictions set forth in the Registration Statement and the Plan.</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limited to the matters set forth herein, and no other opinion should be inferred beyond the matters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2870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700" cy="600075"/>
                    </a:xfrm>
                    <a:prstGeom prst="rect">
                      <a:avLst/>
                    </a:prstGeom>
                    <a:noFill/>
                  </pic:spPr>
                </pic:pic>
              </a:graphicData>
            </a:graphic>
          </wp:anchor>
        </w:drawing>
        <w:t>CID HoldCo,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1, 2025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8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and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156845</wp:posOffset>
            </wp:positionV>
            <wp:extent cx="5006340" cy="87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0634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REGISTERED INDEPENDENT PUBLIC ACCOUNTING FIRM</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CID Holdco, Inc. (the “Company”) of our report dated June 25, 2025, which included an explanatory paragraph as to the Company's ability to continue as a going concern, with respect to our audit of the consolidated financial statements of See ID, Inc. dba Dot Ai, Inc. as of December 31, 2024 and for the year then 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Berkowitz Pollack Brant, Advisors + CPAs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142875</wp:posOffset>
            </wp:positionV>
            <wp:extent cx="492887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928870" cy="1797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CID HoldCo, Inc. of our report dated May 15, 2024, except for Note 10, as to which the date is July 1, 2024, relating to the financial statements of SEE ID, Inc., appearing in the June 26, 2025 Form 8-K of CID HoldCo,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 2025</w:t>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SEE ID, INC.</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1408430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addition to other terms defined herein, the following terms shall have the meanings given below:</w:t>
      </w:r>
    </w:p>
    <w:p>
      <w:pPr>
        <w:spacing w:after="0" w:line="225" w:lineRule="exact"/>
        <w:rPr>
          <w:rFonts w:ascii="Times New Roman" w:cs="Times New Roman" w:eastAsia="Times New Roman" w:hAnsi="Times New Roman"/>
          <w:sz w:val="18"/>
          <w:szCs w:val="18"/>
          <w:b w:val="1"/>
          <w:bCs w:val="1"/>
          <w:i w:val="1"/>
          <w:iCs w:val="1"/>
          <w:color w:val="auto"/>
        </w:rPr>
      </w:pPr>
    </w:p>
    <w:p>
      <w:pPr>
        <w:ind w:left="900" w:hanging="244"/>
        <w:spacing w:after="0"/>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and, upon its delegation of all or part of its authority to administer the Plan to the Committee,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w:t>
      </w:r>
    </w:p>
    <w:p>
      <w:pPr>
        <w:spacing w:after="0" w:line="206"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Parent or Subsidiary of the Corporation, and also includes any other business entity which is controlled by, under common control with or controls the Corporation; provided, however, that the term “Affiliate” shall be construed in a manner in accordance with the registration provisions of applicable federal securities laws and as permitted under Code Section 409A (if and to the extent applicable).</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8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any applicable laws, rules or regulations (or similar guidance), including, without limitation, the Securities Act, the Exchange Act and the Code.</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an Option (including an Incentive Option or a Nonqualified Option); a Restricted Stock Award; or any other award granted under the Plan.</w:t>
      </w:r>
    </w:p>
    <w:p>
      <w:pPr>
        <w:spacing w:after="0" w:line="161" w:lineRule="exact"/>
        <w:rPr>
          <w:rFonts w:ascii="Times New Roman" w:cs="Times New Roman" w:eastAsia="Times New Roman" w:hAnsi="Times New Roman"/>
          <w:sz w:val="18"/>
          <w:szCs w:val="18"/>
          <w:color w:val="auto"/>
        </w:rPr>
      </w:pPr>
    </w:p>
    <w:p>
      <w:pPr>
        <w:ind w:right="160" w:firstLine="656"/>
        <w:spacing w:after="0" w:line="261" w:lineRule="auto"/>
        <w:tabs>
          <w:tab w:leader="none" w:pos="8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 agreement (including any amendment or supplement thereto) between the Corporation and a Participant specifying the terms, conditions and restrictions of an Award granted to the Participant. An Award Agreement may also state such other terms, conditions and restrictions, including, but not limited to, terms, conditions and restrictions applicable to shares or any other benefit underlying an Award, as may be established by the Administrator.</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Corporation.</w:t>
      </w:r>
    </w:p>
    <w:p>
      <w:pPr>
        <w:spacing w:after="0" w:line="225" w:lineRule="exact"/>
        <w:rPr>
          <w:rFonts w:ascii="Times New Roman" w:cs="Times New Roman" w:eastAsia="Times New Roman" w:hAnsi="Times New Roman"/>
          <w:sz w:val="18"/>
          <w:szCs w:val="18"/>
          <w:color w:val="auto"/>
        </w:rPr>
      </w:pPr>
    </w:p>
    <w:p>
      <w:pPr>
        <w:ind w:firstLine="656"/>
        <w:spacing w:after="0" w:line="252" w:lineRule="auto"/>
        <w:tabs>
          <w:tab w:leader="none" w:pos="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unless the Administrator determines otherwise, a Participant’s termination of employment or service resulting from the Participant’s (i) termination for “cause” as defined under the Participant’s employment, consulting, confidentiality, non-competition, or other agreement with the Corporation or an Affiliate, if any, or (ii) if the Participant has not entered into any such agreement (or if any such agreement does not define a “cause” termination), then the Participant’s termination shall be for “Cause” if termination results due to the Participant’s (A) gross incompetence (to the extent that such gross incompetence continues for more than 30 days’ after written notice by the Corporation), (B) breach of a fiduciary duty owed by Participant to the Corporation, (C) refusal or failure by Participant to perform his or her duties for the Corporation or an Affiliate (to the extent that such refusal or failure continues for more than thirty (30) days after written notice by the Corporation), (D) engaging in fraudulent conduct or any other negligent conduct that could be materially damaging to the Corporation (including to its business or reputation) without a reasonable good faith belief by Participant that such conduct was in the best interest of the Corporation, or (F) violation of any non-competition, non-solicitation, confidentiality or conflict of interest provision under the Participant’s employment, consulting or other agreement (in the event such violation is not expressly defined as “cause”). The determination of “Cause” shall be made by the Administrator, in good faith, and its reasonable discretion. Without in any way limiting the effect of the foregoing, for purposes of the Plan and an Award, a Participant’s employment or service shall be deemed to have terminated for Cause if, after the Participant’s employment or service has terminated, facts and circumstances are discovered that would have justified, in the opinion of the Administrator, in its reasonable discretion, a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5" w:name="page16"/>
    <w:bookmarkEnd w:id="15"/>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right="220" w:firstLine="644"/>
        <w:spacing w:after="0" w:line="284" w:lineRule="auto"/>
        <w:tabs>
          <w:tab w:leader="none" w:pos="152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Except as may be otherwise required in order to comply with Code Section 409A,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occurred upon the earliest of the following dates:</w:t>
      </w:r>
    </w:p>
    <w:p>
      <w:pPr>
        <w:spacing w:after="0" w:line="160" w:lineRule="exact"/>
        <w:rPr>
          <w:rFonts w:ascii="Times New Roman" w:cs="Times New Roman" w:eastAsia="Times New Roman" w:hAnsi="Times New Roman"/>
          <w:sz w:val="18"/>
          <w:szCs w:val="18"/>
          <w:color w:val="auto"/>
        </w:rPr>
      </w:pPr>
    </w:p>
    <w:p>
      <w:pPr>
        <w:ind w:left="1300" w:right="20" w:firstLine="652"/>
        <w:spacing w:after="0" w:line="266" w:lineRule="auto"/>
        <w:tabs>
          <w:tab w:leader="none" w:pos="224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any one person, or more than one person acting as a group, acquires ownership of stock of the Corporation that, together with stock held by such person or group, constitutes more than 50 percent of the total fair market value or total voting power of the stock of the Corporation; or</w:t>
      </w:r>
    </w:p>
    <w:p>
      <w:pPr>
        <w:spacing w:after="0" w:line="175" w:lineRule="exact"/>
        <w:rPr>
          <w:rFonts w:ascii="Times New Roman" w:cs="Times New Roman" w:eastAsia="Times New Roman" w:hAnsi="Times New Roman"/>
          <w:sz w:val="18"/>
          <w:szCs w:val="18"/>
          <w:color w:val="auto"/>
        </w:rPr>
      </w:pPr>
    </w:p>
    <w:p>
      <w:pPr>
        <w:ind w:left="1300" w:right="80" w:firstLine="652"/>
        <w:spacing w:after="0" w:line="266" w:lineRule="auto"/>
        <w:tabs>
          <w:tab w:leader="none" w:pos="223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any one person, or more than one person acting as a group, acquires (or has acquired during the 12-month period ending on the date of the most recent acquisition by such person or persons) ownership of stock of the corporation possessing 50 percent or more of the total voting power of the stock of such corporation; or</w:t>
      </w:r>
    </w:p>
    <w:p>
      <w:pPr>
        <w:spacing w:after="0" w:line="175" w:lineRule="exact"/>
        <w:rPr>
          <w:rFonts w:ascii="Times New Roman" w:cs="Times New Roman" w:eastAsia="Times New Roman" w:hAnsi="Times New Roman"/>
          <w:sz w:val="18"/>
          <w:szCs w:val="18"/>
          <w:color w:val="auto"/>
        </w:rPr>
      </w:pPr>
    </w:p>
    <w:p>
      <w:pPr>
        <w:ind w:left="1300" w:firstLine="652"/>
        <w:spacing w:after="0" w:line="266" w:lineRule="auto"/>
        <w:tabs>
          <w:tab w:leader="none" w:pos="223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majority of members of the Corporation’s board of directors is replaced during any 12-month period by directors whose appointment or election is not endorsed by a majority of the members of the Corporation’s board of directors before the date of the appointment or election; or</w:t>
      </w:r>
    </w:p>
    <w:p>
      <w:pPr>
        <w:spacing w:after="0" w:line="175" w:lineRule="exact"/>
        <w:rPr>
          <w:rFonts w:ascii="Times New Roman" w:cs="Times New Roman" w:eastAsia="Times New Roman" w:hAnsi="Times New Roman"/>
          <w:sz w:val="18"/>
          <w:szCs w:val="18"/>
          <w:color w:val="auto"/>
        </w:rPr>
      </w:pPr>
    </w:p>
    <w:p>
      <w:pPr>
        <w:ind w:left="1300" w:firstLine="652"/>
        <w:spacing w:after="0" w:line="258" w:lineRule="auto"/>
        <w:tabs>
          <w:tab w:leader="none" w:pos="2243"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any one person, or more than one person acting as a group, acquires (or has acquired during the 12-month period ending on the date of the most recent acquisition by such person or persons) assets from the Corporation that have a total gross fair market value equal to or more than 75 percent of the total gross fair market value of all of the assets of the Corporation immediately before such acquisition or acquisitions. For this purpose, gross fair market value means the value of the assets of the Corporation, or the value of the assets being disposed of, determined without regard to any liabilities associated with such assets.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purposes herein, the term “beneficial owner” shall have the meaning given the term in Rule 13d-3 under the Exchange Act. This definition shall be interpreted in accordance with the Treasury Regulations under Section 409A of the Code.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ind w:left="660" w:right="60" w:firstLine="644"/>
        <w:spacing w:after="0" w:line="267" w:lineRule="auto"/>
        <w:tabs>
          <w:tab w:leader="none" w:pos="157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Determinations: </w:t>
      </w:r>
      <w:r>
        <w:rPr>
          <w:rFonts w:ascii="Times New Roman" w:cs="Times New Roman" w:eastAsia="Times New Roman" w:hAnsi="Times New Roman"/>
          <w:sz w:val="18"/>
          <w:szCs w:val="18"/>
          <w:color w:val="auto"/>
        </w:rPr>
        <w:t>The Administrator shall have the authority, in its reasonable discretion, to determine whether a Change of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Corporation has occurred pursuant to </w:t>
      </w:r>
      <w:r>
        <w:rPr>
          <w:rFonts w:ascii="Times New Roman" w:cs="Times New Roman" w:eastAsia="Times New Roman" w:hAnsi="Times New Roman"/>
          <w:sz w:val="18"/>
          <w:szCs w:val="18"/>
          <w:u w:val="single" w:color="auto"/>
          <w:color w:val="auto"/>
        </w:rPr>
        <w:t>Section 1(h)</w:t>
      </w:r>
      <w:r>
        <w:rPr>
          <w:rFonts w:ascii="Times New Roman" w:cs="Times New Roman" w:eastAsia="Times New Roman" w:hAnsi="Times New Roman"/>
          <w:sz w:val="18"/>
          <w:szCs w:val="18"/>
          <w:color w:val="auto"/>
        </w:rPr>
        <w:t xml:space="preserve"> herein, the date of the occurrence of such Change of Control and any incidental matters relating thereto.</w:t>
      </w:r>
    </w:p>
    <w:p>
      <w:pPr>
        <w:spacing w:after="0" w:line="175" w:lineRule="exact"/>
        <w:rPr>
          <w:rFonts w:ascii="Times New Roman" w:cs="Times New Roman" w:eastAsia="Times New Roman" w:hAnsi="Times New Roman"/>
          <w:sz w:val="18"/>
          <w:szCs w:val="18"/>
          <w:color w:val="auto"/>
        </w:rPr>
      </w:pPr>
    </w:p>
    <w:p>
      <w:pPr>
        <w:ind w:right="140" w:firstLine="656"/>
        <w:spacing w:after="0" w:line="282" w:lineRule="auto"/>
        <w:tabs>
          <w:tab w:leader="none" w:pos="8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Any reference herein to a specific Code section shall be deemed to include all related regulations or other guidance with respect to such Code section.</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of the Board, which may be appointed to administer the Plan in whole or in part.</w:t>
      </w:r>
    </w:p>
    <w:p>
      <w:pPr>
        <w:spacing w:after="0" w:line="225" w:lineRule="exact"/>
        <w:rPr>
          <w:rFonts w:ascii="Times New Roman" w:cs="Times New Roman" w:eastAsia="Times New Roman" w:hAnsi="Times New Roman"/>
          <w:sz w:val="18"/>
          <w:szCs w:val="18"/>
          <w:color w:val="auto"/>
        </w:rPr>
      </w:pPr>
    </w:p>
    <w:p>
      <w:pPr>
        <w:ind w:right="340" w:firstLine="656"/>
        <w:spacing w:after="0" w:line="282"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voting or non-voting Common Stock of SEE ID, Inc., as specified in the applicable Award Agreement, or any successor securities thereto.</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means SEE ID, Inc., a Nevada corporation, together with any successor thereto.</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right="40" w:firstLine="656"/>
        <w:spacing w:after="0" w:line="254"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except as may be otherwise determined by the Administrator (taking into account any Code Section 409A considerations), as applied to any Participant, have the meaning given in any employment agreement, consulting agreement or other similar agreement, if any, to which a Participant is a party, or, if there is no such agreement (or if any such agreement does not define disability),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such Participant’s incapacity due to physical or mental illness that: (a) shall have prevented such Participant from performing his or her duties for the Corporation or any Affiliate on a full-time basis for more than ninety (90) consecutive days or an aggregate of one hundred twenty (120) days in any 365-day period; or (b)(i) the Administrator determines, in compliance with applicable law, is likely to prevent such Participant from performing such duties for such period of time and (ii) thirty (30) days have elapsed since delivery to such service provider of the determination of the Administrator and such Participant has not resumed such performance (in which case the date of termination in the case of a termination for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pursuant to this clause (b) shall be deemed to be the last day of such 30-day period).</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effective date of the Plan,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00" w:firstLine="656"/>
        <w:spacing w:after="0" w:line="257"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who is an employee of the Corporation or any Affiliate (including entities which become Affiliates after the Effective Date of the Plan). For this purpose, an individual shall be considered to be an Employee only if there exists between the individual and the Corporation or an Affiliate the legal and bona fide relationship of employer and employee (subject to any requirements imposed under Code Section</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409A); provided, however, that, with respect to Incentive Options, “Employee” means any person who is considered an employee of the Corporation or any Parent or Subsidiary for purposes of Treas. Reg. Section 1.421-1(h) (or any successor provision related thereto).</w:t>
      </w:r>
    </w:p>
    <w:p>
      <w:pPr>
        <w:spacing w:after="0" w:line="18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ind w:right="80" w:firstLine="656"/>
        <w:spacing w:after="0" w:line="252" w:lineRule="auto"/>
        <w:tabs>
          <w:tab w:leader="none" w:pos="8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per share of the Common Stock shall be established in good faith by the Administrator and, unless otherwise determined by the Administrator, the Fair Market Value shall be determined in accordance with the following provisions: (A) if the shares of Common Stock are listed for trading on the New York Stock Exchange, the American Stock Exchange or the Nasdaq Stock Market, the Fair Market Value shall be the closing sales price per share of the shares on the New York Stock Exchange, the American Stock Exchange or the Nasdaq Stock Market (as applicable) on the date an Option is granted or other determination is made (such date of determination being referred to herein as a “</w:t>
      </w:r>
      <w:r>
        <w:rPr>
          <w:rFonts w:ascii="Times New Roman" w:cs="Times New Roman" w:eastAsia="Times New Roman" w:hAnsi="Times New Roman"/>
          <w:sz w:val="18"/>
          <w:szCs w:val="18"/>
          <w:u w:val="single" w:color="auto"/>
          <w:color w:val="auto"/>
        </w:rPr>
        <w:t>valuation date</w:t>
      </w:r>
      <w:r>
        <w:rPr>
          <w:rFonts w:ascii="Times New Roman" w:cs="Times New Roman" w:eastAsia="Times New Roman" w:hAnsi="Times New Roman"/>
          <w:sz w:val="18"/>
          <w:szCs w:val="18"/>
          <w:color w:val="auto"/>
        </w:rPr>
        <w:t>”), or, if there is no transaction on such date, then on the trading date nearest preceding the valuation date for which closing price information is available, and, provided further, if the shares are not listed for trading on the New York Stock Exchange, the American Stock Exchange or the Nasdaq Stock Market, the Fair Market Value shall be the average between the highest bid and lowest asked prices for such stock on the date of grant or other valuation date as reported on the OTC Bulletin Board Service, Pink OTC Markets Inc. (commonly known as the “pink sheets”), or by a comparable inter-dealer quotation service; or (B) if the shares of Common Stock are not listed or reported in any of the foregoing, then the Fair Market Value shall be determined by the Administrator based on such valuation measures or other factors as it deems appropriate. Notwithstanding the foregoing, (i) with respect to the grant of Incentive Options, the Fair Market Value shall be determined by the Administrator in accordance with the applicable provisions of Section 20.2031-2 of the Federal Estate Tax Regulations, or in any other manner consistent with the Code Section 422; and (ii) Fair Market Value shall be determined in accordance with Code Section 409A if and to the extent required.</w:t>
      </w:r>
    </w:p>
    <w:p>
      <w:pPr>
        <w:spacing w:after="0" w:line="197" w:lineRule="exact"/>
        <w:rPr>
          <w:rFonts w:ascii="Times New Roman" w:cs="Times New Roman" w:eastAsia="Times New Roman" w:hAnsi="Times New Roman"/>
          <w:sz w:val="18"/>
          <w:szCs w:val="18"/>
          <w:color w:val="auto"/>
        </w:rPr>
      </w:pPr>
    </w:p>
    <w:p>
      <w:pPr>
        <w:ind w:right="80" w:firstLine="656"/>
        <w:spacing w:after="0" w:line="282" w:lineRule="auto"/>
        <w:tabs>
          <w:tab w:leader="none" w:pos="8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Option</w:t>
      </w:r>
      <w:r>
        <w:rPr>
          <w:rFonts w:ascii="Times New Roman" w:cs="Times New Roman" w:eastAsia="Times New Roman" w:hAnsi="Times New Roman"/>
          <w:sz w:val="18"/>
          <w:szCs w:val="18"/>
          <w:color w:val="auto"/>
        </w:rPr>
        <w:t xml:space="preserve">” means an Option that is designated by the Administrator as an Incentive Option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intended to meet the requirements of incentive stock options under Code Section 422.</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Contractor</w:t>
      </w:r>
      <w:r>
        <w:rPr>
          <w:rFonts w:ascii="Times New Roman" w:cs="Times New Roman" w:eastAsia="Times New Roman" w:hAnsi="Times New Roman"/>
          <w:sz w:val="18"/>
          <w:szCs w:val="18"/>
          <w:color w:val="auto"/>
        </w:rPr>
        <w:t>” means an independent contractor, consultant or advisor providing services to the Corporation or an Affiliate.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Option</w:t>
      </w:r>
      <w:r>
        <w:rPr>
          <w:rFonts w:ascii="Times New Roman" w:cs="Times New Roman" w:eastAsia="Times New Roman" w:hAnsi="Times New Roman"/>
          <w:sz w:val="17"/>
          <w:szCs w:val="17"/>
          <w:color w:val="auto"/>
        </w:rPr>
        <w:t xml:space="preserve">” means an Option granted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that is not intended to qualify as an Incentive Option under Code Section 422.</w:t>
      </w:r>
    </w:p>
    <w:p>
      <w:pPr>
        <w:spacing w:after="0" w:line="236" w:lineRule="exact"/>
        <w:rPr>
          <w:rFonts w:ascii="Times New Roman" w:cs="Times New Roman" w:eastAsia="Times New Roman" w:hAnsi="Times New Roman"/>
          <w:sz w:val="17"/>
          <w:szCs w:val="17"/>
          <w:color w:val="auto"/>
        </w:rPr>
      </w:pPr>
    </w:p>
    <w:p>
      <w:pPr>
        <w:ind w:right="200" w:firstLine="656"/>
        <w:spacing w:after="0" w:line="282" w:lineRule="auto"/>
        <w:tabs>
          <w:tab w:leader="none" w:pos="9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 stock option granted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entitles the holder to purchase from the Corporation a stated number of shares of Common Stock at the price set forth in an Award Agreement.</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means the term of an Option, as provided in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xml:space="preserve">” means the price at which an Option may be exercised, as provided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right="140" w:firstLine="656"/>
        <w:spacing w:after="0" w:line="282" w:lineRule="auto"/>
        <w:tabs>
          <w:tab w:leader="none" w:pos="8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an Employee employed by, or a Director or Independent Contractor providing services to, the Corporation or an Affiliate who satisfies the requirements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is selected by the Administrator to receive an Award under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partnership, limited partnership, limited liability partnership, limited liability company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entity.</w:t>
      </w:r>
    </w:p>
    <w:p>
      <w:pPr>
        <w:spacing w:after="0" w:line="206"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SEE ID, Inc. 2021 Equity Incentive Plan, as it may be hereafter amended and/or amended and restated.</w:t>
      </w:r>
    </w:p>
    <w:p>
      <w:pPr>
        <w:spacing w:after="0" w:line="225" w:lineRule="exact"/>
        <w:rPr>
          <w:rFonts w:ascii="Times New Roman" w:cs="Times New Roman" w:eastAsia="Times New Roman" w:hAnsi="Times New Roman"/>
          <w:sz w:val="18"/>
          <w:szCs w:val="18"/>
          <w:color w:val="auto"/>
        </w:rPr>
      </w:pPr>
    </w:p>
    <w:p>
      <w:pPr>
        <w:ind w:right="260" w:firstLine="656"/>
        <w:spacing w:after="0" w:line="266"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xml:space="preserve">” means shares of Common Stock awarded to a Participant under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Shares of Common Stock subject to a Restricted Stock Award shall cease to be restricted when, in accordance with the terms of the Plan and Award Agreement and the terms and conditions established by the Administrator, the shares vest and become transferable and free of substantial risk of forfeiture.</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right="100" w:firstLine="656"/>
        <w:spacing w:after="0" w:line="261"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xml:space="preserve">” means the right pursuant to an Award granted under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79" w:lineRule="exact"/>
        <w:rPr>
          <w:rFonts w:ascii="Times New Roman" w:cs="Times New Roman" w:eastAsia="Times New Roman" w:hAnsi="Times New Roman"/>
          <w:sz w:val="18"/>
          <w:szCs w:val="18"/>
          <w:color w:val="auto"/>
        </w:rPr>
      </w:pPr>
    </w:p>
    <w:p>
      <w:pPr>
        <w:ind w:right="240" w:firstLine="656"/>
        <w:spacing w:after="0" w:line="282" w:lineRule="auto"/>
        <w:tabs>
          <w:tab w:leader="none" w:pos="92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means any stockholders’ agreement which may at any time be entered into between the Corporation and one or more stockholders of the Corporation.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right="1000" w:firstLine="656"/>
        <w:spacing w:after="0" w:line="282" w:lineRule="auto"/>
        <w:tabs>
          <w:tab w:leader="none" w:pos="99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date of termination of a Participant’s employment or service for any reason, as determined by the Administrator in its reasonable discretion.</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Purpose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the Plan is to encourage and enable selected Employees, Directors, and Independent Contractors of the Corporation and its Affiliates to acquire or to increase their holdings of Common Stock of the Corporation and other equity-based interests in the Corporation in order to promote a closer identification of their interests with those of the Corporation and its shareholders, thereby further stimulating their efforts to enhance the efficiency, soundness, profitability, growth and shareholder value of the Corporation. This purpose will be carried out through the granting of Awards to selected Employees, Directors, and Independent Contractors, including the granting to selected Participants of Options in the form of Incentive Options and Nonqualified Options; and/or Restricted Stock Awards.</w:t>
      </w:r>
    </w:p>
    <w:p>
      <w:pPr>
        <w:spacing w:after="0" w:line="183"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Administration of the Plan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right="60" w:firstLine="656"/>
        <w:spacing w:after="0" w:line="266" w:lineRule="auto"/>
        <w:tabs>
          <w:tab w:leader="none" w:pos="8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Board of Directors of the Corporation or, upon its delegation, by the Committee. For the purposes of the Plan, the term “Administrator” shall refer to the Board and, upon its delegation to the Committee of all or part of its authority to administer the Plan, to the Committee.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left="-40" w:firstLine="656"/>
        <w:spacing w:after="0" w:line="251" w:lineRule="auto"/>
        <w:tabs>
          <w:tab w:leader="none" w:pos="8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Plan, the Administrator shall have the authority to take any action with respect to the Plan including, without limitation, the authority (i) to determine all matters relating to Awards, including selection of individuals to be granted Awards, the types of Awards, the number of shares of the Common Stock, if any, subject to an Award, and all terms, conditions, restrictions and limitations of an Award; (ii) to prescribe the form or forms of Award Agreements evidencing any Awards granted under the Plan; (iii) to establish, amend and rescind rules and regulations for the administration of the Plan; and (iv) to construe and interpret the Plan, Awards and Award Agreements made under the Plan, to interpret rules and regulations for administering the Plan and to make all other determinations deemed necessary or advisable for administering the Plan. Except to the extent otherwise required under Code Section 409A, (i) the Administrator shall have the authority, in its reasonable discretion, to accelerate the date that any Award which was not otherwise exercisable, vested or earned shall become exercisable, vested or earned in whole or in part without any obligation to accelerate such date with respect to any other Award granted to any recipient; and (ii) the Administrator also may in its reasonable discretion modify or extend the terms and conditions for exercise, vesting, or earning of an Award. The Administrator may determine that a Participant’s rights, payments and/or benefits with respect to an Award (including but not limited to any shares issued or issuable and/or cash paid or payable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or service for Cause, violation of policies of the Corporation or an Affiliate, breach of non-solicitation, noncompetition, confidentiality or other restrictive covenants that may apply to the Participant, or other conduct by the Participant that is determined by the Administrator, in its reasonable discretion, to be detrimental to the business or reputation of the Corporation or any Affiliate. In addition, the Administrator shall have the authority and discretion to establish terms and conditions of Awards (including but not limited to the establishment of subplans) as the Administrator determines to be necessary or appropriate to conform to the applicable requirements or practices of jurisdictions outside of the United States. In addition to action by meeting in accordance with Applicable Law, any action of the Administrator with respect to the Plan may be taken by a written instrument signed by all of the members of the Board or Committee, as appropriate, in accordance with Applicable Law, and any such action so taken by written consent shall be as fully effective as if it had been taken by a majority of the members at a meeting duly held and called. All determinations of the Administrator with respect to the Plan and any Award Agreement shall be final and binding on the Corporation and all persons having or claiming an interest in any Award granted under the Plan. No member of the Board or Committee, as applicable, shall be liable while acting as Administrator for any action or determination made in good faith with respect to the Plan, an Award or an Award Agreement. The members of the Board or Committee, as applicable, shall be entitled to indemnification and reimbursement in the manner provided in the Corporation’s articles of incorporation, bylaws and/or under Applicable Laws.</w:t>
      </w:r>
    </w:p>
    <w:p>
      <w:pPr>
        <w:spacing w:after="0" w:line="204" w:lineRule="exact"/>
        <w:rPr>
          <w:rFonts w:ascii="Times New Roman" w:cs="Times New Roman" w:eastAsia="Times New Roman" w:hAnsi="Times New Roman"/>
          <w:sz w:val="18"/>
          <w:szCs w:val="18"/>
          <w:color w:val="auto"/>
        </w:rPr>
      </w:pPr>
    </w:p>
    <w:p>
      <w:pPr>
        <w:ind w:left="-40" w:right="40" w:firstLine="656"/>
        <w:spacing w:after="0" w:line="256" w:lineRule="auto"/>
        <w:tabs>
          <w:tab w:leader="none" w:pos="8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other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Administrator may delegate to one or more officers of the Corporation the authority to grant Awards to eligible Participants, and to make any or all of the determinations reserved for the Administrator in the Plan and summarized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3(b)</w:t>
      </w:r>
      <w:r>
        <w:rPr>
          <w:rFonts w:ascii="Times New Roman" w:cs="Times New Roman" w:eastAsia="Times New Roman" w:hAnsi="Times New Roman"/>
          <w:sz w:val="18"/>
          <w:szCs w:val="18"/>
          <w:color w:val="auto"/>
        </w:rPr>
        <w:t xml:space="preserve"> with respect to such Awards (subject to any restrictions imposed by Applicable Laws and such terms and conditions as may be established by the Administrator). To the extent that the Administrator has delegated authority to grant Awards pursuant to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to one or more officers of the Corporation, references to the Administrator shall include references to such officer or officers, subject, however, to the requirements of the Plan and other Applicable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20" w:name="page21"/>
    <w:bookmarkEnd w:id="20"/>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Effective Date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Effective Date of the Plan shall be January 4, 2021. Awards may be granted under the Plan on and after the Effective Date, but not after December (+1 from prior date), 2031. Awards that are outstanding at the end of the Plan term (or such earlier termination date as may be established by the Board pursuant to the terms herein) shall continue in accordance with their terms, unless otherwise determined by the Administrator or provided in an Award Agreement.</w:t>
      </w: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Shares of Stock Subject to the Plan; Award Limitations</w:t>
      </w:r>
    </w:p>
    <w:p>
      <w:pPr>
        <w:spacing w:after="0" w:line="227" w:lineRule="exact"/>
        <w:rPr>
          <w:rFonts w:ascii="Times New Roman" w:cs="Times New Roman" w:eastAsia="Times New Roman" w:hAnsi="Times New Roman"/>
          <w:sz w:val="18"/>
          <w:szCs w:val="18"/>
          <w:b w:val="1"/>
          <w:bCs w:val="1"/>
          <w:i w:val="1"/>
          <w:iCs w:val="1"/>
          <w:color w:val="auto"/>
        </w:rPr>
      </w:pPr>
    </w:p>
    <w:p>
      <w:pPr>
        <w:ind w:right="40" w:firstLine="656"/>
        <w:spacing w:after="0" w:line="257" w:lineRule="auto"/>
        <w:tabs>
          <w:tab w:leader="none" w:pos="8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of Stock Subject to the Plan</w:t>
      </w:r>
      <w:r>
        <w:rPr>
          <w:rFonts w:ascii="Times New Roman" w:cs="Times New Roman" w:eastAsia="Times New Roman" w:hAnsi="Times New Roman"/>
          <w:sz w:val="18"/>
          <w:szCs w:val="18"/>
          <w:color w:val="auto"/>
        </w:rPr>
        <w:t>: Subject to adjustments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the aggregate number of shares of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issued under the Plan shall not exceed Forty Four Million Six Hundred Twenty Five Thousand (44,625,000) shares (the “</w:t>
      </w:r>
      <w:r>
        <w:rPr>
          <w:rFonts w:ascii="Times New Roman" w:cs="Times New Roman" w:eastAsia="Times New Roman" w:hAnsi="Times New Roman"/>
          <w:sz w:val="18"/>
          <w:szCs w:val="18"/>
          <w:u w:val="single" w:color="auto"/>
          <w:color w:val="auto"/>
        </w:rPr>
        <w:t>Aggregate Set-Aside</w:t>
      </w:r>
      <w:r>
        <w:rPr>
          <w:rFonts w:ascii="Times New Roman" w:cs="Times New Roman" w:eastAsia="Times New Roman" w:hAnsi="Times New Roman"/>
          <w:sz w:val="18"/>
          <w:szCs w:val="18"/>
          <w:color w:val="auto"/>
        </w:rPr>
        <w:t>”), and, of this Aggregate Set-Aside, the aggregate number of shares of Common Stock that may be issued pursuant to Incentive Stock Options shall not exceed Forty Four Million Six Hundred Twenty Five Thousand (44,625,000) shares. Shares delivered under the Plan shall be authorized but unissued shares, treasury shares, or shares acquired on the open market or in private transactions. The Corporation hereby reserves sufficient authorized shares of Common Stock to meet the grant of Awards hereunder.</w:t>
      </w:r>
    </w:p>
    <w:p>
      <w:pPr>
        <w:spacing w:after="0" w:line="182" w:lineRule="exact"/>
        <w:rPr>
          <w:rFonts w:ascii="Times New Roman" w:cs="Times New Roman" w:eastAsia="Times New Roman" w:hAnsi="Times New Roman"/>
          <w:sz w:val="18"/>
          <w:szCs w:val="18"/>
          <w:color w:val="auto"/>
        </w:rPr>
      </w:pPr>
    </w:p>
    <w:p>
      <w:pPr>
        <w:ind w:firstLine="656"/>
        <w:spacing w:after="0" w:line="255" w:lineRule="auto"/>
        <w:tabs>
          <w:tab w:leader="none" w:pos="9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 Not Subject to Limitations</w:t>
      </w:r>
      <w:r>
        <w:rPr>
          <w:rFonts w:ascii="Times New Roman" w:cs="Times New Roman" w:eastAsia="Times New Roman" w:hAnsi="Times New Roman"/>
          <w:sz w:val="18"/>
          <w:szCs w:val="18"/>
          <w:color w:val="auto"/>
        </w:rPr>
        <w:t>: The following will not be applied to the share limitations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(i) dividends,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in shares, or dividend equivalents paid in cash in connection with outstanding Awards; (ii) Awards which by their terms are settled in cash rather than the issuance of shares; (iii) any shares subject to an Award under the Plan which Award is forfeited, cancelled, terminated, expires or lapses for any reason without the issuance of shares or any shares subject to an Award which shares are forfeited to, or repurchased or reacquired by, the Corporation; and (iv) any shares surrendered by a Participant or withheld by the Corporation to pay the Option Price or purchase price for an Award or shares used to satisfy any tax withholding requirement in connection with the exercise or vesting of an Award if, in accordance with the terms of the Plan, a Participant pays such Option Price or purchase price or satisfies such tax withholding by either tendering previously owned shares or having the Corporation withhold shares.</w:t>
      </w:r>
    </w:p>
    <w:p>
      <w:pPr>
        <w:spacing w:after="0" w:line="184" w:lineRule="exact"/>
        <w:rPr>
          <w:rFonts w:ascii="Times New Roman" w:cs="Times New Roman" w:eastAsia="Times New Roman" w:hAnsi="Times New Roman"/>
          <w:sz w:val="18"/>
          <w:szCs w:val="18"/>
          <w:color w:val="auto"/>
        </w:rPr>
      </w:pPr>
    </w:p>
    <w:p>
      <w:pPr>
        <w:ind w:right="20" w:firstLine="656"/>
        <w:spacing w:after="0" w:line="257" w:lineRule="auto"/>
        <w:tabs>
          <w:tab w:leader="none" w:pos="8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If there is any change in the outstanding shares of Common Stock because of a merger, consolidation or reorganization involving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Corporation or an Affiliate, or if the Board of Directors of the Corporation declares a stock dividend, stock split distributable in shares of Common Stock, reverse stock split, combination or reclassification of the Common Stock, or if there is a similar change in the capital stock structure of the Corporation or an Affiliate affecting the Common Stock, the number of shares of Common Stock reserved for issuance under the Plan shall be correspondingly adjusted, and the Administrator shall make such adjustments to Awards and to any provisions of this Plan as the Administrator deems equitable to prevent dilution or enlargement of Awards or as may be otherwise advisable.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1" w:name="page22"/>
    <w:bookmarkEnd w:id="21"/>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Award may be granted only to an individual who satisfies all of the following eligibility requirements on the date the Award is granted:</w:t>
      </w:r>
    </w:p>
    <w:p>
      <w:pPr>
        <w:spacing w:after="0" w:line="225" w:lineRule="exact"/>
        <w:rPr>
          <w:rFonts w:ascii="Times New Roman" w:cs="Times New Roman" w:eastAsia="Times New Roman" w:hAnsi="Times New Roman"/>
          <w:sz w:val="18"/>
          <w:szCs w:val="18"/>
          <w:b w:val="1"/>
          <w:bCs w:val="1"/>
          <w:i w:val="1"/>
          <w:iCs w:val="1"/>
          <w:color w:val="auto"/>
        </w:rPr>
      </w:pPr>
    </w:p>
    <w:p>
      <w:pPr>
        <w:ind w:left="900" w:hanging="244"/>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either (i) an Employee (ii) a Director, or (iii) an Independent Contractor.</w:t>
      </w:r>
    </w:p>
    <w:p>
      <w:pPr>
        <w:spacing w:after="0" w:line="225" w:lineRule="exact"/>
        <w:rPr>
          <w:rFonts w:ascii="Times New Roman" w:cs="Times New Roman" w:eastAsia="Times New Roman" w:hAnsi="Times New Roman"/>
          <w:sz w:val="18"/>
          <w:szCs w:val="18"/>
          <w:color w:val="auto"/>
        </w:rPr>
      </w:pPr>
    </w:p>
    <w:p>
      <w:pPr>
        <w:ind w:firstLine="656"/>
        <w:spacing w:after="0" w:line="256" w:lineRule="auto"/>
        <w:tabs>
          <w:tab w:leader="none" w:pos="9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grant of Incentive Options, the individual is otherwise eligible to participate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is an Employee of the Corporation or a Parent or Subsidiary and does not own, immediately before the time that the Incentive Option is granted, stock possessing more than 10% of the total combined voting power of all classes of stock of the Corporation or a Parent or Subsidiary. Notwithstanding the foregoing, an Employee who owns more than 10% of the total combined voting power of the Corporation or a Parent or Subsidiary may be granted an Incentive Option if the Option Price is at least 110% of the Fair Market Value of the Common Stock, and the Option Period does not exceed five years. For this purpose, an individual will be deemed to own stock which is attributable to such individual under Code Section 424(d).</w:t>
      </w:r>
    </w:p>
    <w:p>
      <w:pPr>
        <w:spacing w:after="0" w:line="187" w:lineRule="exact"/>
        <w:rPr>
          <w:rFonts w:ascii="Times New Roman" w:cs="Times New Roman" w:eastAsia="Times New Roman" w:hAnsi="Times New Roman"/>
          <w:sz w:val="18"/>
          <w:szCs w:val="18"/>
          <w:color w:val="auto"/>
        </w:rPr>
      </w:pPr>
    </w:p>
    <w:p>
      <w:pPr>
        <w:ind w:right="140" w:firstLine="656"/>
        <w:spacing w:after="0" w:line="261" w:lineRule="auto"/>
        <w:tabs>
          <w:tab w:leader="none" w:pos="8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grant of substitute awards or assumption of awards in connection with a merger, consolidation, acquisition, reorganization or similar business combination involving the Corporation or an Affiliate, the recipient is otherwise eligible to receive the Award and the terms of the award are consistent with the Plan and Applicable Laws (including, to the extent deemed applicable, the federal securities laws registration provisions, Code Section 424(a), and Code Section 409A).</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individual, being otherwise eligible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is selected by the Administrator as an individual to whom an Award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w:t>
      </w:r>
    </w:p>
    <w:p>
      <w:pPr>
        <w:spacing w:after="0" w:line="20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Option Period shall be determined by the Administrator at the time the Option is granted, shall be stated in the Award Agreement, and</w:t>
      </w:r>
      <w:r>
        <w:rPr>
          <w:rFonts w:ascii="Times New Roman" w:cs="Times New Roman" w:eastAsia="Times New Roman" w:hAnsi="Times New Roman"/>
          <w:sz w:val="18"/>
          <w:szCs w:val="18"/>
          <w:b w:val="1"/>
          <w:bCs w:val="1"/>
          <w:u w:val="single" w:color="auto"/>
          <w:color w:val="auto"/>
        </w:rPr>
        <w:t>, unless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otherwise provided in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extend more than 10 years from the date on which the Option is granted (or five years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Incentive Options granted to an Employee who owns stock possessing more than 10% of the total combined voting power of all classes of stock of the Corporation or a Parent or Subsidiary, as provided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Any Option or portion thereof not exercised before expiration of the Option Period shall terminate. The period or periods during which, and the terms and conditions pursuant to which, an Option may vest and become exercisable shall be determined by the Administrator in its discretion, subject to the terms of the Plan.</w:t>
      </w:r>
    </w:p>
    <w:p>
      <w:pPr>
        <w:spacing w:after="0" w:line="18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Options</w:t>
      </w:r>
    </w:p>
    <w:p>
      <w:pPr>
        <w:spacing w:after="0" w:line="227" w:lineRule="exact"/>
        <w:rPr>
          <w:rFonts w:ascii="Times New Roman" w:cs="Times New Roman" w:eastAsia="Times New Roman" w:hAnsi="Times New Roman"/>
          <w:sz w:val="18"/>
          <w:szCs w:val="18"/>
          <w:b w:val="1"/>
          <w:bCs w:val="1"/>
          <w:i w:val="1"/>
          <w:iCs w:val="1"/>
          <w:color w:val="auto"/>
        </w:rPr>
      </w:pPr>
    </w:p>
    <w:p>
      <w:pPr>
        <w:ind w:right="100" w:firstLine="656"/>
        <w:spacing w:after="0" w:line="271" w:lineRule="auto"/>
        <w:tabs>
          <w:tab w:leader="none" w:pos="89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Grant of Options</w:t>
      </w:r>
      <w:r>
        <w:rPr>
          <w:rFonts w:ascii="Times New Roman" w:cs="Times New Roman" w:eastAsia="Times New Roman" w:hAnsi="Times New Roman"/>
          <w:sz w:val="17"/>
          <w:szCs w:val="17"/>
          <w:color w:val="auto"/>
        </w:rPr>
        <w:t>: Subject to the limitations of the Plan, the Administrator may in its discretion grant Options to such eligible individuals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numbers, subject to such terms and conditions, and at such times as the Administrator shall determine. Both Incentive Options and Nonqualified Options may be granted under the Plan, as determined by the Administrator; provided, however, that Incentive Options may only be granted to Employees of the Corporation or a Parent or Subsidiary. To the extent that an Option is designated as an Incentive Option but does not qualify as such under Section</w:t>
      </w:r>
    </w:p>
    <w:p>
      <w:pPr>
        <w:spacing w:after="0" w:line="1"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the Option (or portion thereof) shall be treated as a Nonqualified Option.</w:t>
      </w:r>
    </w:p>
    <w:p>
      <w:pPr>
        <w:spacing w:after="0" w:line="204"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Price</w:t>
      </w:r>
      <w:r>
        <w:rPr>
          <w:rFonts w:ascii="Times New Roman" w:cs="Times New Roman" w:eastAsia="Times New Roman" w:hAnsi="Times New Roman"/>
          <w:sz w:val="18"/>
          <w:szCs w:val="18"/>
          <w:color w:val="auto"/>
        </w:rPr>
        <w:t>: The Option Price shall be established by the Administrator and stated in the Award Agreement evidencing the grant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Option; provided that the Option Price of an Incentive Option shall be no less than 100% of the Fair Market Value per share of the Common Stock as determined on the date the Incentive Option is granted (or 110% of the Fair Market Value with respect to Incentive Options granted to an Employee who owns stock possessing more than 10% of the total voting power of all classes of stock of the Corporation or a Parent or Subsidiary,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Notwithstanding the foregoing, the Administrator may in its discretion authorize the grant of (i) substitute or assumed options of an acquired entity with an Option Price not equal to at least 100% of the Fair Market Value of the Common Stock on the date of grant, if the option price of any such assumed or substituted option was at least equal to 100% of the fair market value of the underlying stock on the original date of grant and if the terms of such assumed or substituted options otherwise comply, to the extent deemed applicable, with Code Section 409A and Code Section 424(a); or (ii) Nonqualified Options with an Option Price less than 100% of the Fair Market Value of the Common Stock on the date of grant.</w:t>
      </w:r>
    </w:p>
    <w:p>
      <w:pPr>
        <w:spacing w:after="0" w:line="188" w:lineRule="exact"/>
        <w:rPr>
          <w:rFonts w:ascii="Times New Roman" w:cs="Times New Roman" w:eastAsia="Times New Roman" w:hAnsi="Times New Roman"/>
          <w:sz w:val="18"/>
          <w:szCs w:val="18"/>
          <w:color w:val="auto"/>
        </w:rPr>
      </w:pPr>
    </w:p>
    <w:p>
      <w:pPr>
        <w:ind w:right="40" w:firstLine="656"/>
        <w:spacing w:after="0" w:line="284" w:lineRule="auto"/>
        <w:tabs>
          <w:tab w:leader="none" w:pos="8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Date of Grant</w:t>
      </w:r>
      <w:r>
        <w:rPr>
          <w:rFonts w:ascii="Times New Roman" w:cs="Times New Roman" w:eastAsia="Times New Roman" w:hAnsi="Times New Roman"/>
          <w:sz w:val="18"/>
          <w:szCs w:val="18"/>
          <w:color w:val="auto"/>
        </w:rPr>
        <w:t>: An Option shall be considered to be granted on the date that the Administrator acts to grant the Option, or on such other date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established by the Administrator in accordance with Applicable Laws.</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Period and Limitations on the Right to Exercise Options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23"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Period shall be determined by the Administrator at the time the Option is granted, shall be stated in the Award Agreement, and shall not extend more than 10 years from the date on which the Option is granted (or five years with respect to Incentive Options granted to an Employee who owns stock possessing more than 10% of the total combined voting power of all classes of stock of the Corporation or a Parent or Subsidiary, as provided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Any Option or portion thereof not exercised before expiration of the Option Period shall terminate. The period or periods during which, and the terms and conditions pursuant to which, an Option may vest and become exercisable shall be determined by the Administrator in its discretion, subject to the terms of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ind w:right="140" w:firstLine="644"/>
        <w:spacing w:after="0" w:line="255" w:lineRule="auto"/>
        <w:tabs>
          <w:tab w:leader="none" w:pos="9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may be exercised by giving written notice to the Corporation in form acceptable to the Administrator at such place and subject to such conditions as may be established by the Administrator or its designee. Such notice shall specify the number of shares to be purchased pursuant to an Option and the aggregate purchase price to be paid therefor and shall be accompanied by payment of such purchase price. The total number of shares that may be acquired upon exercise of an Option shall be rounded down to the nearest whole share. Unless an Award Agreement provides otherwise, such payment shall be in the form of cash or cash equivalent; provided that, where permitted by the Administrator and Applicable Laws (and subject to such terms and conditions as may be established by the Administrator), payment may also be made:</w:t>
      </w:r>
    </w:p>
    <w:p>
      <w:pPr>
        <w:spacing w:after="0" w:line="188"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delivery (by either actual delivery or attestation) of shares of Common Stock owned by the Participant;</w:t>
      </w:r>
    </w:p>
    <w:p>
      <w:pPr>
        <w:spacing w:after="0" w:line="225"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shares of Common Stock withheld upon exercise;</w:t>
      </w:r>
    </w:p>
    <w:p>
      <w:pPr>
        <w:spacing w:after="0" w:line="225" w:lineRule="exact"/>
        <w:rPr>
          <w:rFonts w:ascii="Times New Roman" w:cs="Times New Roman" w:eastAsia="Times New Roman" w:hAnsi="Times New Roman"/>
          <w:sz w:val="18"/>
          <w:szCs w:val="18"/>
          <w:color w:val="auto"/>
        </w:rPr>
      </w:pPr>
    </w:p>
    <w:p>
      <w:pPr>
        <w:ind w:left="640" w:right="160" w:firstLine="652"/>
        <w:spacing w:after="0" w:line="266" w:lineRule="auto"/>
        <w:tabs>
          <w:tab w:leader="none" w:pos="157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only to purchases upon exercise of an Option after a Public Market for the Common Stock exists, by delivery of written notice of exercise to the Corporation and delivery to a broker of written notice of exercise and irrevocable instructions to promptly deliver to the Corporation the amount of sale or loan proceeds to pay the Option Price;</w:t>
      </w:r>
    </w:p>
    <w:p>
      <w:pPr>
        <w:spacing w:after="0" w:line="175" w:lineRule="exact"/>
        <w:rPr>
          <w:rFonts w:ascii="Times New Roman" w:cs="Times New Roman" w:eastAsia="Times New Roman" w:hAnsi="Times New Roman"/>
          <w:sz w:val="18"/>
          <w:szCs w:val="18"/>
          <w:color w:val="auto"/>
        </w:rPr>
      </w:pPr>
    </w:p>
    <w:p>
      <w:pPr>
        <w:ind w:left="1580" w:hanging="288"/>
        <w:spacing w:after="0"/>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other payment methods as may be approved by the Administrator and which are acceptable under Applicable Laws;</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methods.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Shares tendered or withheld in payment on the exercise of an Option shall be valued at their Fair Market Value on the date of exercise in accordance with the provisions of the Plan. For the purposes herein, a “Public Market” for the Common Stock shall be deemed to exist (i) upon consummation of a firm commitment underwritten public offering of the Common Stock (or successor securities thereto) pursuant to an effective registration statement under the Securities Act, or (ii) if the Administrator otherwise determines that there is an established public market for the Common Stock.</w:t>
      </w:r>
    </w:p>
    <w:p>
      <w:pPr>
        <w:spacing w:after="0" w:line="183" w:lineRule="exact"/>
        <w:rPr>
          <w:sz w:val="20"/>
          <w:szCs w:val="20"/>
          <w:color w:val="auto"/>
        </w:rPr>
      </w:pPr>
    </w:p>
    <w:p>
      <w:pPr>
        <w:ind w:firstLine="644"/>
        <w:spacing w:after="0" w:line="266" w:lineRule="auto"/>
        <w:tabs>
          <w:tab w:leader="none" w:pos="9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Administrator determines otherwise, no Option granted to a Participant who was an Employee at the time of grant shall be exercised unless the Participant is, at the time of exercise, an Employee of or in service to the Corporation, and has been an Employee of or in service to the Corporation continuously since the date the Option was granted, subject to the following:</w:t>
      </w:r>
    </w:p>
    <w:p>
      <w:pPr>
        <w:spacing w:after="0" w:line="175" w:lineRule="exact"/>
        <w:rPr>
          <w:rFonts w:ascii="Times New Roman" w:cs="Times New Roman" w:eastAsia="Times New Roman" w:hAnsi="Times New Roman"/>
          <w:sz w:val="18"/>
          <w:szCs w:val="18"/>
          <w:color w:val="auto"/>
        </w:rPr>
      </w:pPr>
    </w:p>
    <w:p>
      <w:pPr>
        <w:ind w:left="640" w:right="40" w:firstLine="652"/>
        <w:spacing w:after="0" w:line="256" w:lineRule="auto"/>
        <w:tabs>
          <w:tab w:leader="none" w:pos="15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requirements imposed under Code Section 409A, the employment relationship of a Participant shall be treated as continuing intact for any period that the Participant is on military or sick leave or other bona fide leave of absence, provided that the period of such leave does not exceed 90 days, or, if longer, as long as the Participant’s right to reemployment is guaranteed either by statute or by contract. The employment relationship of a Participant shall also be treated as continuing intact while the Participant is not in active service because of Disability. The Administrator shall have sole authority to determine whether a Participant has sustained a Disability and, if applicable, the Participant’s Termination Date.</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3" w:name="page24"/>
    <w:bookmarkEnd w:id="23"/>
    <w:p>
      <w:pPr>
        <w:ind w:left="960" w:firstLine="652"/>
        <w:spacing w:after="0" w:line="269" w:lineRule="auto"/>
        <w:tabs>
          <w:tab w:leader="none" w:pos="1893"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Administrator determines otherwise (subject to any requirements imposed under Code Section 409A), if the employment or service of a Participant is terminated because of Disability or death, the Option may be exercised only to the extent exercisable on the Participant’s Termination Date, except that the Administrator may in its sole discretion (subject to any requirements imposed under Code Section 409A) accelerate the date for exercising all or any part of the Option which was not otherwise exercisable on the Termination Date. The Option must be exercised, if at all, prior to the first to occur of the following, whichever shall be applicable:</w:t>
      </w:r>
    </w:p>
    <w:p>
      <w:pPr>
        <w:spacing w:after="0" w:line="2" w:lineRule="exact"/>
        <w:rPr>
          <w:rFonts w:ascii="Times New Roman" w:cs="Times New Roman" w:eastAsia="Times New Roman" w:hAnsi="Times New Roman"/>
          <w:sz w:val="17"/>
          <w:szCs w:val="17"/>
          <w:color w:val="auto"/>
        </w:rPr>
      </w:pPr>
    </w:p>
    <w:p>
      <w:pPr>
        <w:jc w:val="both"/>
        <w:ind w:left="960" w:right="320" w:firstLine="4"/>
        <w:spacing w:after="0" w:line="255" w:lineRule="auto"/>
        <w:tabs>
          <w:tab w:leader="none" w:pos="125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the one- year period following the Termination Date (or such other period stated in the Award Agreement); or (Y) the close of the Option Period. In the event of the Participant’s death, such Option shall be exercisable by such person or persons as shall have acquired the right to exercise the Option by will or by the laws of intestate succession.</w:t>
      </w:r>
    </w:p>
    <w:p>
      <w:pPr>
        <w:spacing w:after="0" w:line="185" w:lineRule="exact"/>
        <w:rPr>
          <w:rFonts w:ascii="Times New Roman" w:cs="Times New Roman" w:eastAsia="Times New Roman" w:hAnsi="Times New Roman"/>
          <w:sz w:val="18"/>
          <w:szCs w:val="18"/>
          <w:color w:val="auto"/>
        </w:rPr>
      </w:pPr>
    </w:p>
    <w:p>
      <w:pPr>
        <w:ind w:left="960" w:right="20" w:firstLine="652"/>
        <w:spacing w:after="0" w:line="253" w:lineRule="auto"/>
        <w:tabs>
          <w:tab w:leader="none" w:pos="189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Administrator determines otherwise (subject to any requirements imposed under Code Section 409A), if the employment or service of the Participant is terminated for any reason other than Disability, death or for “Cause,” his or her Option may be exercised to the extent exercisable on its Termination Date, except that the Administrator may in its sole discretion (subject to any requirements imposed under Code Section 409A) accelerate the date for exercising all or any part of the Option which was not otherwise exercisable on the Termination Date. The Option must be exercised, if at all, prior to the first to occur of the following, whichever shall be applicable: (X) the close of the period of three months next succeeding the Termination Date (or such other period stated in the Award Agreement); or (Y) the close of the Option Period. If the Participant dies following such termination of employment or service and prior to the earlier of the dates specified in (X) or (Y) of this subparagraph (C), the Participant shall be treated as having died while employed under subparagraph (B) (treating for this purpose the Participant’s date of termination of employment as the Termination Date). In the event of the Participant’s death, such Option shall be exercisable by such person or persons as shall have acquired the right to exercise the Option by will or by the laws of intestate succession.</w:t>
      </w:r>
    </w:p>
    <w:p>
      <w:pPr>
        <w:spacing w:after="0" w:line="191" w:lineRule="exact"/>
        <w:rPr>
          <w:rFonts w:ascii="Times New Roman" w:cs="Times New Roman" w:eastAsia="Times New Roman" w:hAnsi="Times New Roman"/>
          <w:sz w:val="18"/>
          <w:szCs w:val="18"/>
          <w:color w:val="auto"/>
        </w:rPr>
      </w:pPr>
    </w:p>
    <w:p>
      <w:pPr>
        <w:ind w:left="960" w:right="120" w:firstLine="652"/>
        <w:spacing w:after="0" w:line="266" w:lineRule="auto"/>
        <w:tabs>
          <w:tab w:leader="none" w:pos="190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Administrator determines otherwise (subject to any requirements imposed under Code Section 409A), if the employment or service of the Participant is terminated for “Cause,” such Participant’s Option shall lapse and no longer be exercisable as of the Termination Date, as determined by the Administrator.</w:t>
      </w:r>
    </w:p>
    <w:p>
      <w:pPr>
        <w:spacing w:after="0" w:line="175" w:lineRule="exact"/>
        <w:rPr>
          <w:rFonts w:ascii="Times New Roman" w:cs="Times New Roman" w:eastAsia="Times New Roman" w:hAnsi="Times New Roman"/>
          <w:sz w:val="18"/>
          <w:szCs w:val="18"/>
          <w:color w:val="auto"/>
        </w:rPr>
      </w:pPr>
    </w:p>
    <w:p>
      <w:pPr>
        <w:ind w:left="960" w:right="360" w:firstLine="652"/>
        <w:spacing w:after="0" w:line="261" w:lineRule="auto"/>
        <w:tabs>
          <w:tab w:leader="none" w:pos="1883"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Administrator may, in its sole discretion (subject to any requirements imposed under Code Section 409A), accelerate the date for exercising all or any part of an Option which was not otherwise exercisable on the Termination Date, extend the period during which an Option may be exercised, modify the terms and conditions to exercise, or any combination of the foregoing.</w:t>
      </w:r>
    </w:p>
    <w:p>
      <w:pPr>
        <w:spacing w:after="0" w:line="179" w:lineRule="exact"/>
        <w:rPr>
          <w:rFonts w:ascii="Times New Roman" w:cs="Times New Roman" w:eastAsia="Times New Roman" w:hAnsi="Times New Roman"/>
          <w:sz w:val="18"/>
          <w:szCs w:val="18"/>
          <w:color w:val="auto"/>
        </w:rPr>
      </w:pPr>
    </w:p>
    <w:p>
      <w:pPr>
        <w:ind w:right="60" w:firstLine="640"/>
        <w:spacing w:after="0" w:line="254" w:lineRule="auto"/>
        <w:tabs>
          <w:tab w:leader="none" w:pos="9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Administrator determines otherwise (subject to any requirements imposed under Code Section 409A), an Option granted to a Participant who was a Director but who was not an Employee at the time of grant may be exercised only to the extent exercisable on the Participant’s Termination Date (unless the termination was for Cause), and must be exercised, if at all, prior to the first to occur of the following, as applicable: (X) the close of the period of three months next succeeding the Termination Date (or such other period stated in the Award Agreement); or (Y) the close of the Option Period. If the services of a Participant are terminated for Cause, the Participant’s Option shall lapse and no longer be exercisable as of its Termination Date, as determined by the Administrator. Notwithstanding the foregoing, the Administrator may in its sole discretion (subject to any requirements imposed under Code Section 409A), accelerate the date for exercising all or any part of an Option which was not otherwise exercisable on the Termination Date, extend the period during which an Option may be exercised, modify the other terms and conditions to exercise, or any combination of the foregoing.</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4" w:name="page25"/>
    <w:bookmarkEnd w:id="24"/>
    <w:p>
      <w:pPr>
        <w:ind w:left="340" w:firstLine="640"/>
        <w:spacing w:after="0" w:line="253" w:lineRule="auto"/>
        <w:tabs>
          <w:tab w:leader="none" w:pos="124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Administrator determines otherwise (subject to any requirements imposed under Code Section 409A), an Option granted to a Participant who was an Independent Contractor at the time of grant (and who does not thereafter become an Employee, in which case the Participant shall be subject to the provisions of </w:t>
      </w:r>
      <w:r>
        <w:rPr>
          <w:rFonts w:ascii="Times New Roman" w:cs="Times New Roman" w:eastAsia="Times New Roman" w:hAnsi="Times New Roman"/>
          <w:sz w:val="18"/>
          <w:szCs w:val="18"/>
          <w:u w:val="single" w:color="auto"/>
          <w:color w:val="auto"/>
        </w:rPr>
        <w:t>Section 7(d)(iii)</w:t>
      </w:r>
      <w:r>
        <w:rPr>
          <w:rFonts w:ascii="Times New Roman" w:cs="Times New Roman" w:eastAsia="Times New Roman" w:hAnsi="Times New Roman"/>
          <w:sz w:val="18"/>
          <w:szCs w:val="18"/>
          <w:color w:val="auto"/>
        </w:rPr>
        <w:t>) may be exercised only to the extent exercisable on the Participant’s Termination Date (unless the termination was for Cause), and must be exercised, if at all, prior to the first to occur of the following, as applicable: (X) the close of the period of three months next succeeding the Termination Date (or such other period stated in the Award Agreement); or (Y) the close of the Option Period. If the services of a Participant are terminated for Cause, the Participant’s Option shall lapse and no longer be exercisable as of the Termination Date, as determined by the Administrator. Notwithstanding the foregoing, the Administrator may in its sole discretion (subject to any requirements imposed under Code Section 409A), accelerate the date for exercising all or any part of an Option which was not otherwise exercisable on the Termination Date, extend the period during which an Option may be exercised, modify the other terms and conditions to exercise, or any combination of the foregoing.</w:t>
      </w:r>
    </w:p>
    <w:p>
      <w:pPr>
        <w:spacing w:after="0" w:line="192" w:lineRule="exact"/>
        <w:rPr>
          <w:rFonts w:ascii="Times New Roman" w:cs="Times New Roman" w:eastAsia="Times New Roman" w:hAnsi="Times New Roman"/>
          <w:sz w:val="18"/>
          <w:szCs w:val="18"/>
          <w:color w:val="auto"/>
        </w:rPr>
      </w:pPr>
    </w:p>
    <w:p>
      <w:pPr>
        <w:ind w:right="160" w:firstLine="656"/>
        <w:spacing w:after="0" w:line="261" w:lineRule="auto"/>
        <w:tabs>
          <w:tab w:leader="none" w:pos="8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Disposition</w:t>
      </w:r>
      <w:r>
        <w:rPr>
          <w:rFonts w:ascii="Times New Roman" w:cs="Times New Roman" w:eastAsia="Times New Roman" w:hAnsi="Times New Roman"/>
          <w:sz w:val="18"/>
          <w:szCs w:val="18"/>
          <w:color w:val="auto"/>
        </w:rPr>
        <w:t>: If shares of Common Stock acquired upon exercise of an Incentive Option are disposed of within two (2)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date of grant or one year following the transfer of such shares to a Participant upon exercise, the Participant shall, promptly following such disposition, notify the Corporation in writing of the date and terms of such disposition and provide such other information regarding the disposition as the Administrator may reasonably require.</w:t>
      </w:r>
    </w:p>
    <w:p>
      <w:pPr>
        <w:spacing w:after="0" w:line="179" w:lineRule="exact"/>
        <w:rPr>
          <w:rFonts w:ascii="Times New Roman" w:cs="Times New Roman" w:eastAsia="Times New Roman" w:hAnsi="Times New Roman"/>
          <w:sz w:val="18"/>
          <w:szCs w:val="18"/>
          <w:color w:val="auto"/>
        </w:rPr>
      </w:pPr>
    </w:p>
    <w:p>
      <w:pPr>
        <w:jc w:val="both"/>
        <w:ind w:right="180" w:firstLine="656"/>
        <w:spacing w:after="0" w:line="261" w:lineRule="auto"/>
        <w:tabs>
          <w:tab w:leader="none" w:pos="87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Incentive Options</w:t>
      </w:r>
      <w:r>
        <w:rPr>
          <w:rFonts w:ascii="Times New Roman" w:cs="Times New Roman" w:eastAsia="Times New Roman" w:hAnsi="Times New Roman"/>
          <w:sz w:val="18"/>
          <w:szCs w:val="18"/>
          <w:color w:val="auto"/>
        </w:rPr>
        <w:t>: In no event shall there first become exercisable by an Employee in any one calendar year Incentive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by the Corporation or any Parent or Subsidiary with respect to shares having an aggregate Fair Market Value (determined at the time an Incentive Option is granted) greater than $100,000. To the extent that any Incentive Options are first exercisable by a Participant in excess of such limitation, the excess shall be considered a Nonqualified Option.</w:t>
      </w:r>
    </w:p>
    <w:p>
      <w:pPr>
        <w:spacing w:after="0" w:line="179" w:lineRule="exact"/>
        <w:rPr>
          <w:rFonts w:ascii="Times New Roman" w:cs="Times New Roman" w:eastAsia="Times New Roman" w:hAnsi="Times New Roman"/>
          <w:sz w:val="18"/>
          <w:szCs w:val="18"/>
          <w:color w:val="auto"/>
        </w:rPr>
      </w:pPr>
    </w:p>
    <w:p>
      <w:pPr>
        <w:ind w:right="20" w:firstLine="656"/>
        <w:spacing w:after="0" w:line="257" w:lineRule="auto"/>
        <w:tabs>
          <w:tab w:leader="none" w:pos="9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Nontransferability</w:t>
      </w:r>
      <w:r>
        <w:rPr>
          <w:rFonts w:ascii="Times New Roman" w:cs="Times New Roman" w:eastAsia="Times New Roman" w:hAnsi="Times New Roman"/>
          <w:sz w:val="18"/>
          <w:szCs w:val="18"/>
          <w:color w:val="auto"/>
        </w:rPr>
        <w:t>: Incentive Options shall not be transferable (including by sale, assignment, pledge or hypothecation) other than by will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laws of intestate succession or, in the Administrator’s discretion, as may otherwise be permitted in accordance with Treas. Reg. Section 1.421-1(b)(2) or any successor provision thereto. Nonqualified Options shall not be transferable (inclu ding by sale, assignment, pledge or hypothecation) other than by will or the laws of intestate succession, except as may be permitted by the Administrator in a manner consistent with the registration provisions of the Securities Act. An Option shall be exercisable during the Participant’s lifetime only by him or her, by his or her guardian or legal representative or by a transferee in a transfer permitted by this </w:t>
      </w:r>
      <w:r>
        <w:rPr>
          <w:rFonts w:ascii="Times New Roman" w:cs="Times New Roman" w:eastAsia="Times New Roman" w:hAnsi="Times New Roman"/>
          <w:sz w:val="18"/>
          <w:szCs w:val="18"/>
          <w:u w:val="single" w:color="auto"/>
          <w:color w:val="auto"/>
        </w:rPr>
        <w:t>Section 7(g</w:t>
      </w:r>
      <w:r>
        <w:rPr>
          <w:rFonts w:ascii="Times New Roman" w:cs="Times New Roman" w:eastAsia="Times New Roman" w:hAnsi="Times New Roman"/>
          <w:sz w:val="18"/>
          <w:szCs w:val="18"/>
          <w:color w:val="auto"/>
        </w:rPr>
        <w:t>). The designation of a beneficiary in accordance with the Plan does not constitute a transfer.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652" w:hanging="652"/>
        <w:spacing w:after="0"/>
        <w:tabs>
          <w:tab w:leader="none" w:pos="652"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7" w:lineRule="exact"/>
        <w:rPr>
          <w:rFonts w:ascii="Times New Roman" w:cs="Times New Roman" w:eastAsia="Times New Roman" w:hAnsi="Times New Roman"/>
          <w:sz w:val="18"/>
          <w:szCs w:val="18"/>
          <w:b w:val="1"/>
          <w:bCs w:val="1"/>
          <w:i w:val="1"/>
          <w:iCs w:val="1"/>
          <w:color w:val="auto"/>
        </w:rPr>
      </w:pPr>
    </w:p>
    <w:p>
      <w:pPr>
        <w:ind w:left="-8" w:right="100" w:firstLine="656"/>
        <w:spacing w:after="0" w:line="255" w:lineRule="auto"/>
        <w:tabs>
          <w:tab w:leader="none" w:pos="8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of Restricted Stock Awards</w:t>
      </w:r>
      <w:r>
        <w:rPr>
          <w:rFonts w:ascii="Times New Roman" w:cs="Times New Roman" w:eastAsia="Times New Roman" w:hAnsi="Times New Roman"/>
          <w:sz w:val="18"/>
          <w:szCs w:val="18"/>
          <w:color w:val="auto"/>
        </w:rPr>
        <w:t>: Subject to the limitations of the Plan, the Administrator may grant Restricted Stock Awards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in such numbers, upon such terms and at such times as the Administrator shall determine. Such Restricted Stock Awards may be subject to certain conditions, which conditions must be met in order for the Restricted Stock Award to vest and be earned (in whole or in part) and no longer subject to forfeiture. Restricted Stock Awards shall be payable in shares of Common Stock. The Administrator shall determine the nature, length and starting date of the period, if any, during which a Restricted Stock Award may be earned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and shall determine the conditions which must be met in order for a Restricted Stock Award to be granted or to vest or be earned (in whole or in part), which conditions may include, but are not limited to, attainment of performance objectives, continued service or employment for a certain period of time (or a combination of attainment of performance objectives and continued service), or any combination of such conditions.</w:t>
      </w:r>
    </w:p>
    <w:p>
      <w:pPr>
        <w:spacing w:after="0" w:line="184" w:lineRule="exact"/>
        <w:rPr>
          <w:rFonts w:ascii="Times New Roman" w:cs="Times New Roman" w:eastAsia="Times New Roman" w:hAnsi="Times New Roman"/>
          <w:sz w:val="18"/>
          <w:szCs w:val="18"/>
          <w:color w:val="auto"/>
        </w:rPr>
      </w:pPr>
    </w:p>
    <w:p>
      <w:pPr>
        <w:ind w:left="-8" w:right="60" w:firstLine="656"/>
        <w:spacing w:after="0" w:line="258"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of Restricted Stock Awards</w:t>
      </w:r>
      <w:r>
        <w:rPr>
          <w:rFonts w:ascii="Times New Roman" w:cs="Times New Roman" w:eastAsia="Times New Roman" w:hAnsi="Times New Roman"/>
          <w:sz w:val="18"/>
          <w:szCs w:val="18"/>
          <w:color w:val="auto"/>
        </w:rPr>
        <w:t>: Subject to the terms of the Plan and Code Section 409A, the Administrator shall have authority,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discretion, to determine whether and to what degree Restricted Stock Awards have vested and been earned and are payable and to establish and interpret the terms and conditions of Restricted Stock Awards. The Administrator may (subject to any restrictions imposed under Code Section 409A) accelerate the date that any Restricted Stock Award granted to a Participant shall be deemed to be vested or earned in whole or in part, without any obligation to accelerate such date with respect to other Restricted Stock Awards granted to any Participant.</w:t>
      </w:r>
    </w:p>
    <w:p>
      <w:pPr>
        <w:spacing w:after="0" w:line="183" w:lineRule="exact"/>
        <w:rPr>
          <w:rFonts w:ascii="Times New Roman" w:cs="Times New Roman" w:eastAsia="Times New Roman" w:hAnsi="Times New Roman"/>
          <w:sz w:val="18"/>
          <w:szCs w:val="18"/>
          <w:color w:val="auto"/>
        </w:rPr>
      </w:pPr>
    </w:p>
    <w:p>
      <w:pPr>
        <w:ind w:left="-8" w:right="20" w:firstLine="656"/>
        <w:spacing w:after="0" w:line="261" w:lineRule="auto"/>
        <w:tabs>
          <w:tab w:leader="none" w:pos="8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 of Restricted Stock Awards</w:t>
      </w:r>
      <w:r>
        <w:rPr>
          <w:rFonts w:ascii="Times New Roman" w:cs="Times New Roman" w:eastAsia="Times New Roman" w:hAnsi="Times New Roman"/>
          <w:sz w:val="18"/>
          <w:szCs w:val="18"/>
          <w:color w:val="auto"/>
        </w:rPr>
        <w:t>: Unless the Administrator determines otherwise, if the employment or service of a Participant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for any reason and all or any part of a Restricted Stock Award has not vested or been earned pursuant to the terms of the Plan and the individual Award, such Award, to the extent not then vested or earned, shall be forfeited immediately upon such termination and the Participant shall have no further rights with respect thereto.</w:t>
      </w:r>
    </w:p>
    <w:p>
      <w:pPr>
        <w:spacing w:after="0" w:line="179" w:lineRule="exact"/>
        <w:rPr>
          <w:rFonts w:ascii="Times New Roman" w:cs="Times New Roman" w:eastAsia="Times New Roman" w:hAnsi="Times New Roman"/>
          <w:sz w:val="18"/>
          <w:szCs w:val="18"/>
          <w:color w:val="auto"/>
        </w:rPr>
      </w:pPr>
    </w:p>
    <w:p>
      <w:pPr>
        <w:ind w:left="-8" w:firstLine="656"/>
        <w:spacing w:after="0" w:line="256"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Rights; Stock Certificates</w:t>
      </w:r>
      <w:r>
        <w:rPr>
          <w:rFonts w:ascii="Times New Roman" w:cs="Times New Roman" w:eastAsia="Times New Roman" w:hAnsi="Times New Roman"/>
          <w:sz w:val="18"/>
          <w:szCs w:val="18"/>
          <w:color w:val="auto"/>
        </w:rPr>
        <w:t>: The Administrator shall have reasonable discretion to determine whether a Participant shall have dividend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or other rights as a shareholder with respect to shares subject to a Restricted Stock Award which has not yet vested or been earned. If the Administrator so determines, a certificate or certificates for shares of Common Stock subject to a Restricted Stock Award may be issued in the name of the Participant as soon as practicable after the Award has been granted; provided, however, that, notwithstanding the foregoing, the Administrator shall have the right to retain custody of certificates evidencing the shares subject to a Restricted Stock Award and to require the Participant to deliver to the Corporation a stock power, endorsed in blank, with respect to such Award, until such time as the Restricted Stock Award vests (or is forfeited) and is no longer subject to a substantial risk of forfeiture.</w:t>
      </w:r>
    </w:p>
    <w:p>
      <w:pPr>
        <w:spacing w:after="0" w:line="200" w:lineRule="exact"/>
        <w:rPr>
          <w:sz w:val="20"/>
          <w:szCs w:val="20"/>
          <w:color w:val="auto"/>
        </w:rPr>
      </w:pPr>
    </w:p>
    <w:p>
      <w:pPr>
        <w:spacing w:after="0" w:line="20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0" w:right="399" w:bottom="1440" w:gutter="0" w:footer="0" w:header="0"/>
        </w:sectPr>
      </w:pPr>
    </w:p>
    <w:bookmarkStart w:id="26" w:name="page27"/>
    <w:bookmarkEnd w:id="26"/>
    <w:p>
      <w:pPr>
        <w:ind w:left="-8" w:right="40" w:firstLine="656"/>
        <w:spacing w:after="0" w:line="261" w:lineRule="auto"/>
        <w:tabs>
          <w:tab w:leader="none" w:pos="8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Nontransferability</w:t>
      </w:r>
      <w:r>
        <w:rPr>
          <w:rFonts w:ascii="Times New Roman" w:cs="Times New Roman" w:eastAsia="Times New Roman" w:hAnsi="Times New Roman"/>
          <w:sz w:val="18"/>
          <w:szCs w:val="18"/>
          <w:color w:val="auto"/>
        </w:rPr>
        <w:t>: Unless the Administrator determines otherwise, Restricted Stock Awards that have not vested or been earned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transferable (including by sale, assignment, pledge or hypothecation) other than by will or the laws of intestate succession, and the recipient of a Restricted Stock Award shall not sell, transfer, assign, pledge or otherwise encumber shares subject to the Award until the Restriction Period has expired and until all conditions to vesting or earning have been met. The designation of a beneficiary in accordance with the Plan does not constitute a transfer.</w:t>
      </w:r>
    </w:p>
    <w:p>
      <w:pPr>
        <w:spacing w:after="0" w:line="17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7" w:lineRule="exact"/>
        <w:rPr>
          <w:rFonts w:ascii="Times New Roman" w:cs="Times New Roman" w:eastAsia="Times New Roman" w:hAnsi="Times New Roman"/>
          <w:sz w:val="18"/>
          <w:szCs w:val="18"/>
          <w:b w:val="1"/>
          <w:bCs w:val="1"/>
          <w:i w:val="1"/>
          <w:iCs w:val="1"/>
          <w:color w:val="auto"/>
        </w:rPr>
      </w:pPr>
    </w:p>
    <w:p>
      <w:pPr>
        <w:ind w:left="-8" w:right="20" w:firstLine="656"/>
        <w:spacing w:after="0" w:line="261" w:lineRule="auto"/>
        <w:tabs>
          <w:tab w:leader="none" w:pos="8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Each Stock Appreciation Right granted under the Plan shall be evidenced by an Award Agreement. Each Stock Appreciation Right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granted shall be subject to the conditions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8"/>
          <w:szCs w:val="18"/>
          <w:u w:val="single" w:color="auto"/>
          <w:color w:val="auto"/>
        </w:rPr>
        <w:t>Free Standing Rights</w:t>
      </w:r>
      <w:r>
        <w:rPr>
          <w:rFonts w:ascii="Times New Roman" w:cs="Times New Roman" w:eastAsia="Times New Roman" w:hAnsi="Times New Roman"/>
          <w:sz w:val="18"/>
          <w:szCs w:val="18"/>
          <w:color w:val="auto"/>
        </w:rPr>
        <w:t>”) or in tandem with an Option granted under the Plan (“</w:t>
      </w:r>
      <w:r>
        <w:rPr>
          <w:rFonts w:ascii="Times New Roman" w:cs="Times New Roman" w:eastAsia="Times New Roman" w:hAnsi="Times New Roman"/>
          <w:sz w:val="18"/>
          <w:szCs w:val="18"/>
          <w:u w:val="single" w:color="auto"/>
          <w:color w:val="auto"/>
        </w:rPr>
        <w:t>Related Rights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8" w:firstLine="656"/>
        <w:spacing w:after="0" w:line="267" w:lineRule="auto"/>
        <w:tabs>
          <w:tab w:leader="none" w:pos="8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Requirements</w:t>
      </w:r>
      <w:r>
        <w:rPr>
          <w:rFonts w:ascii="Times New Roman" w:cs="Times New Roman" w:eastAsia="Times New Roman" w:hAnsi="Times New Roman"/>
          <w:sz w:val="18"/>
          <w:szCs w:val="18"/>
          <w:color w:val="auto"/>
        </w:rPr>
        <w:t>. Any Related Right that relates to a Non-qualified Stock Option may be granted at the same time the Option is granted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thereafter but before the exercise or expiration of the Option. Any Related Right that relates to an Incentive Stock Option must be granted at the same time the Incentive Stock Option is granted.</w:t>
      </w:r>
    </w:p>
    <w:p>
      <w:pPr>
        <w:spacing w:after="0" w:line="173" w:lineRule="exact"/>
        <w:rPr>
          <w:rFonts w:ascii="Times New Roman" w:cs="Times New Roman" w:eastAsia="Times New Roman" w:hAnsi="Times New Roman"/>
          <w:sz w:val="18"/>
          <w:szCs w:val="18"/>
          <w:color w:val="auto"/>
        </w:rPr>
      </w:pPr>
    </w:p>
    <w:p>
      <w:pPr>
        <w:ind w:left="-8" w:right="180" w:firstLine="656"/>
        <w:spacing w:after="0" w:line="284" w:lineRule="auto"/>
        <w:tabs>
          <w:tab w:leader="none" w:pos="8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of Stock Appreciation Rights</w:t>
      </w:r>
      <w:r>
        <w:rPr>
          <w:rFonts w:ascii="Times New Roman" w:cs="Times New Roman" w:eastAsia="Times New Roman" w:hAnsi="Times New Roman"/>
          <w:sz w:val="18"/>
          <w:szCs w:val="18"/>
          <w:color w:val="auto"/>
        </w:rPr>
        <w:t>. The term of a Stock Appreciation Right granted under the Plan shall be determined by the Administrator;</w:t>
      </w:r>
      <w:r>
        <w:rPr>
          <w:rFonts w:ascii="Times New Roman" w:cs="Times New Roman" w:eastAsia="Times New Roman" w:hAnsi="Times New Roman"/>
          <w:sz w:val="18"/>
          <w:szCs w:val="18"/>
          <w:i w:val="1"/>
          <w:iCs w:val="1"/>
          <w:color w:val="auto"/>
        </w:rPr>
        <w:t xml:space="preserve"> provided, however</w:t>
      </w:r>
      <w:r>
        <w:rPr>
          <w:rFonts w:ascii="Times New Roman" w:cs="Times New Roman" w:eastAsia="Times New Roman" w:hAnsi="Times New Roman"/>
          <w:sz w:val="18"/>
          <w:szCs w:val="18"/>
          <w:color w:val="auto"/>
        </w:rPr>
        <w:t>, no Stock Appreciation Right shall be exercisable later than the tenth anniversary of the Grant Date.</w:t>
      </w:r>
    </w:p>
    <w:p>
      <w:pPr>
        <w:spacing w:after="0" w:line="158" w:lineRule="exact"/>
        <w:rPr>
          <w:rFonts w:ascii="Times New Roman" w:cs="Times New Roman" w:eastAsia="Times New Roman" w:hAnsi="Times New Roman"/>
          <w:sz w:val="18"/>
          <w:szCs w:val="18"/>
          <w:color w:val="auto"/>
        </w:rPr>
      </w:pPr>
    </w:p>
    <w:p>
      <w:pPr>
        <w:ind w:left="-8" w:right="60" w:firstLine="656"/>
        <w:spacing w:after="0" w:line="258" w:lineRule="auto"/>
        <w:tabs>
          <w:tab w:leader="none" w:pos="8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of Stock Appreciation Rights</w:t>
      </w:r>
      <w:r>
        <w:rPr>
          <w:rFonts w:ascii="Times New Roman" w:cs="Times New Roman" w:eastAsia="Times New Roman" w:hAnsi="Times New Roman"/>
          <w:sz w:val="18"/>
          <w:szCs w:val="18"/>
          <w:color w:val="auto"/>
        </w:rPr>
        <w:t>. Each Stock Appreciation Right may, but need not, vest and therefore become exercisable in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that may, but need not, be equal. The Stock Appreciation Right may be subject to such other terms and conditions on the time or times when it may be exercised as the Administrator may deem appropriate. The vesting provisions of individual Stock Appreciation Rights may vary. No Stock Appreciation Right may be exercised for a fraction of a share of Common Stock. The Administrator may, but shall not be required to, provide for an acceleration of vesting and exercisability in the terms of any Stock Appreciation Right upon the occurrence of a specified event.</w:t>
      </w:r>
    </w:p>
    <w:p>
      <w:pPr>
        <w:spacing w:after="0" w:line="183" w:lineRule="exact"/>
        <w:rPr>
          <w:rFonts w:ascii="Times New Roman" w:cs="Times New Roman" w:eastAsia="Times New Roman" w:hAnsi="Times New Roman"/>
          <w:sz w:val="18"/>
          <w:szCs w:val="18"/>
          <w:color w:val="auto"/>
        </w:rPr>
      </w:pPr>
    </w:p>
    <w:p>
      <w:pPr>
        <w:ind w:left="-8" w:firstLine="656"/>
        <w:spacing w:after="0" w:line="257" w:lineRule="auto"/>
        <w:tabs>
          <w:tab w:leader="none" w:pos="88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and Payment</w:t>
      </w:r>
      <w:r>
        <w:rPr>
          <w:rFonts w:ascii="Times New Roman" w:cs="Times New Roman" w:eastAsia="Times New Roman" w:hAnsi="Times New Roman"/>
          <w:sz w:val="18"/>
          <w:szCs w:val="18"/>
          <w:color w:val="auto"/>
        </w:rPr>
        <w:t>. Upon exercise of a Stock Appreciation Right, the holder shall be entitled to receive from the Company an amount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Administrator in its sole discretion), cash or a combination thereof, as determined by the Administrator.</w:t>
      </w:r>
    </w:p>
    <w:p>
      <w:pPr>
        <w:spacing w:after="0" w:line="40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2" w:right="359" w:bottom="1440" w:gutter="0" w:footer="0" w:header="0"/>
        </w:sectPr>
      </w:pPr>
    </w:p>
    <w:bookmarkStart w:id="27" w:name="page28"/>
    <w:bookmarkEnd w:id="27"/>
    <w:p>
      <w:pPr>
        <w:ind w:right="120" w:firstLine="656"/>
        <w:spacing w:after="0" w:line="256" w:lineRule="auto"/>
        <w:tabs>
          <w:tab w:leader="none" w:pos="87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of a Free Standing Stock Appreciation Right shall be determined by the Administrator, but shall not be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Administrator determines that the requirements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are satisfied.</w:t>
      </w:r>
    </w:p>
    <w:p>
      <w:pPr>
        <w:spacing w:after="0" w:line="182" w:lineRule="exact"/>
        <w:rPr>
          <w:rFonts w:ascii="Times New Roman" w:cs="Times New Roman" w:eastAsia="Times New Roman" w:hAnsi="Times New Roman"/>
          <w:sz w:val="18"/>
          <w:szCs w:val="18"/>
          <w:color w:val="auto"/>
        </w:rPr>
      </w:pPr>
    </w:p>
    <w:p>
      <w:pPr>
        <w:ind w:right="120" w:firstLine="656"/>
        <w:spacing w:after="0" w:line="261" w:lineRule="auto"/>
        <w:tabs>
          <w:tab w:leader="none" w:pos="90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in the Underlying Option Shares</w:t>
      </w:r>
      <w:r>
        <w:rPr>
          <w:rFonts w:ascii="Times New Roman" w:cs="Times New Roman" w:eastAsia="Times New Roman" w:hAnsi="Times New Roman"/>
          <w:sz w:val="18"/>
          <w:szCs w:val="18"/>
          <w:color w:val="auto"/>
        </w:rPr>
        <w:t>. Upon any exercise of a Related Right, the number of shares of Common Stock for which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17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Dividends and Dividend Equivalents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Administrator may, in its sole discretion, provide that Awards granted under the Plan earn dividends or dividend equivalents. Such dividends or dividend equivalents may be paid currently or may be credited to a Participant’s account. Any crediting of dividends or dividend equivalents may be subject to such restrictions and conditions as the Administrator may establish, including reinvestment in additional shares of Common Stock or share equivalents. Notwithstanding the other provisions herein, any dividends or dividend equivalent rights related to an Award shall be structured in a manner so as to avoid causing the Award to be subject to Code Section 409A or shall otherwise be structured so that the Award and dividends or dividend equivalents are in compliance with Code Section 409A.</w:t>
      </w:r>
    </w:p>
    <w:p>
      <w:pPr>
        <w:spacing w:after="0" w:line="183"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 Right or Obligation of Continued Employment or Service</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Neither the Plan, the grant of an Award nor any other action related to the Plan shall confer upon the Participant any right to continue in the employment or service of the Corporation or an Affiliate as an Employee, Director, or Independent Contractor, or to interfere in any way with the right of the Corporation or an Affiliate to terminate the Participant’s employment or service at any time. Except as otherwise provided in the Plan, an Award Agreement or as may be determined by the Administrator, all rights of a Participant with respect to an Award shall terminate upon the termination of the Participant’s employment or service.</w:t>
      </w:r>
    </w:p>
    <w:p>
      <w:pPr>
        <w:spacing w:after="0" w:line="17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Amendment and Termination of the Plan and Awards</w:t>
      </w:r>
    </w:p>
    <w:p>
      <w:pPr>
        <w:spacing w:after="0" w:line="227" w:lineRule="exact"/>
        <w:rPr>
          <w:rFonts w:ascii="Times New Roman" w:cs="Times New Roman" w:eastAsia="Times New Roman" w:hAnsi="Times New Roman"/>
          <w:sz w:val="18"/>
          <w:szCs w:val="18"/>
          <w:b w:val="1"/>
          <w:bCs w:val="1"/>
          <w:i w:val="1"/>
          <w:iCs w:val="1"/>
          <w:color w:val="auto"/>
        </w:rPr>
      </w:pPr>
    </w:p>
    <w:p>
      <w:pPr>
        <w:ind w:right="180" w:firstLine="656"/>
        <w:spacing w:after="0" w:line="267"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Termination of Plan</w:t>
      </w:r>
      <w:r>
        <w:rPr>
          <w:rFonts w:ascii="Times New Roman" w:cs="Times New Roman" w:eastAsia="Times New Roman" w:hAnsi="Times New Roman"/>
          <w:sz w:val="18"/>
          <w:szCs w:val="18"/>
          <w:color w:val="auto"/>
        </w:rPr>
        <w:t>: The Plan may be amended, altered, suspended, and/or terminated at any time by the Board;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approval of an amendment to the Plan by the stockholders of the Corporation shall be required to the extent, if any, that stockholder approval of such amendment is required by Applicable Law.</w:t>
      </w:r>
    </w:p>
    <w:p>
      <w:pPr>
        <w:spacing w:after="0" w:line="173" w:lineRule="exact"/>
        <w:rPr>
          <w:rFonts w:ascii="Times New Roman" w:cs="Times New Roman" w:eastAsia="Times New Roman" w:hAnsi="Times New Roman"/>
          <w:sz w:val="18"/>
          <w:szCs w:val="18"/>
          <w:color w:val="auto"/>
        </w:rPr>
      </w:pPr>
    </w:p>
    <w:p>
      <w:pPr>
        <w:ind w:right="200" w:firstLine="656"/>
        <w:spacing w:after="0" w:line="261" w:lineRule="auto"/>
        <w:tabs>
          <w:tab w:leader="none" w:pos="9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and Termination of Awards</w:t>
      </w:r>
      <w:r>
        <w:rPr>
          <w:rFonts w:ascii="Times New Roman" w:cs="Times New Roman" w:eastAsia="Times New Roman" w:hAnsi="Times New Roman"/>
          <w:sz w:val="18"/>
          <w:szCs w:val="18"/>
          <w:color w:val="auto"/>
        </w:rPr>
        <w:t>: The Administrator may amend, alter, suspend, and/or terminate any Award granted under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prospectively or retroactively, but such amendment, alteration, suspension, or termination of an Award shall not (except as otherwise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12(d)</w:t>
      </w:r>
      <w:r>
        <w:rPr>
          <w:rFonts w:ascii="Times New Roman" w:cs="Times New Roman" w:eastAsia="Times New Roman" w:hAnsi="Times New Roman"/>
          <w:sz w:val="18"/>
          <w:szCs w:val="18"/>
          <w:color w:val="auto"/>
        </w:rPr>
        <w:t xml:space="preserve"> herein), without the consent of the recipient of an outstanding Award, materially adversely affect the rights of the recipient with respect to the Award.</w:t>
      </w:r>
    </w:p>
    <w:p>
      <w:pPr>
        <w:spacing w:after="0" w:line="179" w:lineRule="exact"/>
        <w:rPr>
          <w:rFonts w:ascii="Times New Roman" w:cs="Times New Roman" w:eastAsia="Times New Roman" w:hAnsi="Times New Roman"/>
          <w:sz w:val="18"/>
          <w:szCs w:val="18"/>
          <w:color w:val="auto"/>
        </w:rPr>
      </w:pPr>
    </w:p>
    <w:p>
      <w:pPr>
        <w:ind w:right="100" w:firstLine="656"/>
        <w:spacing w:after="0" w:line="261" w:lineRule="auto"/>
        <w:tabs>
          <w:tab w:leader="none" w:pos="8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Unilateral Authority of Administrator to Modify Plan and Awards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unilateral authority to amend the Plan and any Award (without Participant consent and without shareholder approval, unless such shareholder approval is required by Applicable Laws) to the extent necessary to comply with Applicable Laws or changes to Applicable Laws (including but not limited to Code Section 409A, Code Section 422 and federal securities laws).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Conflicts</w:t>
      </w:r>
      <w:r>
        <w:rPr>
          <w:rFonts w:ascii="Times New Roman" w:cs="Times New Roman" w:eastAsia="Times New Roman" w:hAnsi="Times New Roman"/>
          <w:sz w:val="18"/>
          <w:szCs w:val="18"/>
          <w:color w:val="auto"/>
        </w:rPr>
        <w:t>: To the extent that the provisions of this Plan conflict with an Award Agreement, the provisions of the Award Agreement shall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8" w:name="page29"/>
    <w:bookmarkEnd w:id="28"/>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Restrictions on Awards and Shares</w:t>
      </w:r>
    </w:p>
    <w:p>
      <w:pPr>
        <w:spacing w:after="0" w:line="227" w:lineRule="exact"/>
        <w:rPr>
          <w:rFonts w:ascii="Times New Roman" w:cs="Times New Roman" w:eastAsia="Times New Roman" w:hAnsi="Times New Roman"/>
          <w:sz w:val="18"/>
          <w:szCs w:val="18"/>
          <w:b w:val="1"/>
          <w:bCs w:val="1"/>
          <w:i w:val="1"/>
          <w:iCs w:val="1"/>
          <w:color w:val="auto"/>
        </w:rPr>
      </w:pPr>
    </w:p>
    <w:p>
      <w:pPr>
        <w:ind w:right="60" w:firstLine="656"/>
        <w:spacing w:after="0" w:line="254" w:lineRule="auto"/>
        <w:tabs>
          <w:tab w:leader="none" w:pos="89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As a condition to the issuance and delivery of Common Stock hereunder, or the grant of any benefit pursuant to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may require a Participant or other person at any time and from time to time to become a party to an Award Agreement, any Stockholders’ Agreement, any other agreement(s) restricting the transfer, purchase or repurchase of shares of Common Stock, or such other agreements and any other employment agreements, consulting agreements, non-competition agreements, confidentiality agreements, non-solicitation agreements or other similar agreements imposing such restrictions as may be required by the Corporation. In addition, without in any way limiting the effect of the foregoing, each Participant or other holder of shares issued under the Plan shall be permitted to transfer such shares only if such transfer is in accordance with the Plan, the Award Agreement, any Stockholders’ Agreement and any other applicable agreements and Applicable Law. The acquisition of shares of Common Stock under the Plan by a Participant or any other holder of shares shall be subject to, and conditioned upon, the agreement of the Participant or other holder of such shares to the restrictions described in the Plan, the Award Agreement, any Stockholders’ Agreement and any other applicable agreements and Applicable Law.</w:t>
      </w:r>
    </w:p>
    <w:p>
      <w:pPr>
        <w:spacing w:after="0" w:line="185" w:lineRule="exact"/>
        <w:rPr>
          <w:rFonts w:ascii="Times New Roman" w:cs="Times New Roman" w:eastAsia="Times New Roman" w:hAnsi="Times New Roman"/>
          <w:sz w:val="18"/>
          <w:szCs w:val="18"/>
          <w:color w:val="auto"/>
        </w:rPr>
      </w:pPr>
    </w:p>
    <w:p>
      <w:pPr>
        <w:ind w:firstLine="656"/>
        <w:spacing w:after="0" w:line="254" w:lineRule="auto"/>
        <w:tabs>
          <w:tab w:leader="none" w:pos="9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Applicable Laws, Rules and Regulations: </w:t>
      </w:r>
      <w:r>
        <w:rPr>
          <w:rFonts w:ascii="Times New Roman" w:cs="Times New Roman" w:eastAsia="Times New Roman" w:hAnsi="Times New Roman"/>
          <w:sz w:val="18"/>
          <w:szCs w:val="18"/>
          <w:color w:val="auto"/>
        </w:rPr>
        <w:t>The Corporation may impose such restrictions on Awards, shares and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underlying Awards hereunder as it may deem advisable, including without limitation restrictions under the federal securities laws, the requirements of any stock exchange or similar organization and any blue sky, state or foreign securities laws applicable to such securities. Notwithstanding any other Plan provision to the contrary, the Corporation shall not be obligated to issue, deliver or transfer shares of Common Stock under the Plan, make any other distribution of benefits under the Plan, or take any other action, unless such delivery, distribution or action is in compliance with Applicable Laws (including but not limited to the requirements of the Securities Act). The Corporation will be under no obligation to register shares of Common Stock or other securities with the Securities and Exchange Commission or to effect compliance with the exemption, registration, qualification or listing requirements of any state securities laws, stock exchange or similar organization, and the Corporation will have no liability for any inability or failure to do so. The Corporation may cause a restrictive legend or legends to be placed on any certificate issued pursuant to an Award hereunder in such form as may be prescribed from time to time by Applicable Law or as may be advised by legal counsel.</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 of Control</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Administrator shall (taking into account any Code Section 409A considerations) have reasonable discretion to determine at any time the effect, if any, on an Award, including but not limited to the vesting, earning and/or exercisability of an Award, in the event of a Change of Control. Without limiting the effect of the foregoing, in the event of a Change of Control, the Administrator’s discretion shall include, without limitation, the discretion to determine that an Award shall vest, be earned or become exercisable in whole or in part (and discretion to determine that exercise of an Award must occur, if at all, within time period(s) specified by the Administrator, after which time period(s) the Award shall, unless the Administrator determines otherwise, terminate), shall be assumed or substituted for another award, and/or that other actions (or no action) shall be taken with respect to the Award. The Administrator also has reasonable discretion to determine that acceleration or any other effect of a Change of Control on an Award shall be subject to both the occurrence of a Change of Control event and termination of employment or service of the Participant.</w:t>
      </w:r>
    </w:p>
    <w:p>
      <w:pPr>
        <w:spacing w:after="0" w:line="188"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Compliance with Code Section 409A</w:t>
      </w:r>
    </w:p>
    <w:p>
      <w:pPr>
        <w:spacing w:after="0" w:line="227" w:lineRule="exact"/>
        <w:rPr>
          <w:rFonts w:ascii="Times New Roman" w:cs="Times New Roman" w:eastAsia="Times New Roman" w:hAnsi="Times New Roman"/>
          <w:sz w:val="18"/>
          <w:szCs w:val="18"/>
          <w:b w:val="1"/>
          <w:bCs w:val="1"/>
          <w:i w:val="1"/>
          <w:iCs w:val="1"/>
          <w:color w:val="auto"/>
        </w:rPr>
      </w:pPr>
    </w:p>
    <w:p>
      <w:pPr>
        <w:ind w:firstLine="656"/>
        <w:spacing w:after="0" w:line="254" w:lineRule="auto"/>
        <w:tabs>
          <w:tab w:leader="none" w:pos="89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Notwithstanding any other provision in the Plan or an Award to the contrary, if and to the extent that Code Section 409A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Plan or any Award, it is the general intention of the Corporation that the Plan and all such Awards shall, to the extent practicable, comply with, or be exempt from, Code Section 409A, and the Plan and any such Award shall, to the extent practicable, be construed in accordance therewith. Deferrals of shares or any other benefit issuable pursuant to an Award otherwise exempt from Code Section 409A in a manner that would cause Code Section 409A to apply shall not be permitted unless such deferrals are in compliance with, or exempt from, Code Section 409A. Without in any way limiting the effect of the foregoing, (i) in the event that Code Section 409A requires that any special terms, provisions or conditions be included in the Plan or any Award, then such terms, provisions and conditions shall, to the extent practicable, be deemed to be made a part of the Plan or Award, as applicable, and (ii) terms used in the Plan or an Award Agreement shall be construed in accordance with Code Section 409A if and to the extent required. Further, in the event that the Plan or any Award shall be deemed not to comply with Code Section 409A, then neither the Corporation, the Administrator nor its or their designees or agents shall be liable to any Participant or other person for actions, decisions or determinations made in good faith.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9" w:name="page30"/>
    <w:bookmarkEnd w:id="29"/>
    <w:p>
      <w:pPr>
        <w:ind w:left="-20" w:right="200" w:firstLine="656"/>
        <w:spacing w:after="0" w:line="267" w:lineRule="auto"/>
        <w:tabs>
          <w:tab w:leader="none" w:pos="8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Specific Terms Applicable to Awards Subject to Code Section 409A: </w:t>
      </w:r>
      <w:r>
        <w:rPr>
          <w:rFonts w:ascii="Times New Roman" w:cs="Times New Roman" w:eastAsia="Times New Roman" w:hAnsi="Times New Roman"/>
          <w:sz w:val="18"/>
          <w:szCs w:val="18"/>
          <w:color w:val="auto"/>
        </w:rPr>
        <w:t>Without limiting the effect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15(a)</w:t>
      </w:r>
      <w:r>
        <w:rPr>
          <w:rFonts w:ascii="Times New Roman" w:cs="Times New Roman" w:eastAsia="Times New Roman" w:hAnsi="Times New Roman"/>
          <w:sz w:val="18"/>
          <w:szCs w:val="18"/>
          <w:color w:val="auto"/>
        </w:rPr>
        <w:t>, above, and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provision in the Plan to the contrary, the following provisions shall, to the extent required under Code Section 409A, apply with respect to Awards deemed to involve the deferral of compensation under Code Section 409A:</w:t>
      </w:r>
    </w:p>
    <w:p>
      <w:pPr>
        <w:spacing w:after="0" w:line="175" w:lineRule="exact"/>
        <w:rPr>
          <w:rFonts w:ascii="Times New Roman" w:cs="Times New Roman" w:eastAsia="Times New Roman" w:hAnsi="Times New Roman"/>
          <w:sz w:val="18"/>
          <w:szCs w:val="18"/>
          <w:color w:val="auto"/>
        </w:rPr>
      </w:pPr>
    </w:p>
    <w:p>
      <w:pPr>
        <w:ind w:left="640" w:firstLine="644"/>
        <w:spacing w:after="0" w:line="258" w:lineRule="auto"/>
        <w:tabs>
          <w:tab w:leader="none" w:pos="15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Distributions may be made with respect to Awards that are subject to (and not exempt from) Code Section 409A not earlier than upon the occurrence of one or more of the following events: (A) separation from service; (B) disability; (C) death; (D) a specified time or pursuant to a fixed schedule; (E) a change in the ownership or effective control of the Corporation, or in the ownership of a substantial portion of the assets of the Corporation; or (F) the occurrence of an unforeseeable emergency. Each of the preceding distribution events shall be defined and interpreted in accordance with Code Section 409A.</w:t>
      </w:r>
    </w:p>
    <w:p>
      <w:pPr>
        <w:spacing w:after="0" w:line="183" w:lineRule="exact"/>
        <w:rPr>
          <w:rFonts w:ascii="Times New Roman" w:cs="Times New Roman" w:eastAsia="Times New Roman" w:hAnsi="Times New Roman"/>
          <w:sz w:val="18"/>
          <w:szCs w:val="18"/>
          <w:color w:val="auto"/>
        </w:rPr>
      </w:pPr>
    </w:p>
    <w:p>
      <w:pPr>
        <w:ind w:left="640" w:right="180" w:firstLine="644"/>
        <w:spacing w:after="0" w:line="258" w:lineRule="auto"/>
        <w:tabs>
          <w:tab w:leader="none" w:pos="155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With respect to Participants who are “specified employees” (as defined in Code Section 409A), a distribution due to separation from service may not be made before the date that is six months after the date of separation from service (or, if earlier, the date of death of the Participant), except as may be otherwise permitted pursuant to Code Section 409A. The aggregate amount of payments the Participant would have received but for the application of this section shall be paid during the seventh month following separation from service; all remaining payments shall be made in their ordinary course or as may be otherwise permitted under Code Section 409A.</w:t>
      </w:r>
    </w:p>
    <w:p>
      <w:pPr>
        <w:spacing w:after="0" w:line="183" w:lineRule="exact"/>
        <w:rPr>
          <w:rFonts w:ascii="Times New Roman" w:cs="Times New Roman" w:eastAsia="Times New Roman" w:hAnsi="Times New Roman"/>
          <w:sz w:val="18"/>
          <w:szCs w:val="18"/>
          <w:color w:val="auto"/>
        </w:rPr>
      </w:pPr>
    </w:p>
    <w:p>
      <w:pPr>
        <w:ind w:left="640" w:right="60" w:firstLine="644"/>
        <w:spacing w:after="0" w:line="261" w:lineRule="auto"/>
        <w:tabs>
          <w:tab w:leader="none" w:pos="160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Acceleration</w:t>
      </w:r>
      <w:r>
        <w:rPr>
          <w:rFonts w:ascii="Times New Roman" w:cs="Times New Roman" w:eastAsia="Times New Roman" w:hAnsi="Times New Roman"/>
          <w:sz w:val="18"/>
          <w:szCs w:val="18"/>
          <w:color w:val="auto"/>
        </w:rPr>
        <w:t>: Acceleration of the time or schedule of any payment under the Plan that is subject to Code Section 409A (or that would become subject to Code Section 409A as a result of such acceleration) is prohibited, except that, to the extent permitted by the Administrator, acceleration of the time and/or form of a payment (including but not limited to de minimis payments), where such accelerations do not violate Code Section 409A, may be allowed.</w:t>
      </w:r>
    </w:p>
    <w:p>
      <w:pPr>
        <w:spacing w:after="0" w:line="179" w:lineRule="exact"/>
        <w:rPr>
          <w:rFonts w:ascii="Times New Roman" w:cs="Times New Roman" w:eastAsia="Times New Roman" w:hAnsi="Times New Roman"/>
          <w:sz w:val="18"/>
          <w:szCs w:val="18"/>
          <w:color w:val="auto"/>
        </w:rPr>
      </w:pPr>
    </w:p>
    <w:p>
      <w:pPr>
        <w:ind w:left="640" w:right="200" w:firstLine="644"/>
        <w:spacing w:after="0" w:line="227" w:lineRule="auto"/>
        <w:tabs>
          <w:tab w:leader="none" w:pos="15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Short-Term Deferrals</w:t>
      </w:r>
      <w:r>
        <w:rPr>
          <w:rFonts w:ascii="Times New Roman" w:cs="Times New Roman" w:eastAsia="Times New Roman" w:hAnsi="Times New Roman"/>
          <w:sz w:val="18"/>
          <w:szCs w:val="18"/>
          <w:color w:val="auto"/>
        </w:rPr>
        <w:t>: If and to the extent deemed necessary to comply with short-term deferral exemption under Code Section 409A, shares of Common Stock, cash payments or other benefits subject to an Award shall, upon vesting and/or earning of the Award, be issued and distributed to the Participant (or its beneficiary) no later than the later of (a)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w:t>
      </w:r>
    </w:p>
    <w:p>
      <w:pPr>
        <w:spacing w:after="0" w:line="1" w:lineRule="exact"/>
        <w:rPr>
          <w:sz w:val="20"/>
          <w:szCs w:val="20"/>
          <w:color w:val="auto"/>
        </w:rPr>
      </w:pPr>
    </w:p>
    <w:p>
      <w:pPr>
        <w:ind w:left="640" w:right="320"/>
        <w:spacing w:after="0" w:line="220" w:lineRule="auto"/>
        <w:rPr>
          <w:sz w:val="20"/>
          <w:szCs w:val="20"/>
          <w:color w:val="auto"/>
        </w:rPr>
      </w:pPr>
      <w:r>
        <w:rPr>
          <w:rFonts w:ascii="Times New Roman" w:cs="Times New Roman" w:eastAsia="Times New Roman" w:hAnsi="Times New Roman"/>
          <w:sz w:val="18"/>
          <w:szCs w:val="18"/>
          <w:color w:val="auto"/>
        </w:rPr>
        <w:t>Participant’s first taxable year in which the amount is no longer subject to a substantial risk of forfeiture, or (b)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Corporation’s first taxable year in which the amount is no longer subject to a substantial risk of forfeiture, or shall otherwise be made in accordance with Code Section 409A.</w:t>
      </w:r>
    </w:p>
    <w:p>
      <w:pPr>
        <w:spacing w:after="0" w:line="200" w:lineRule="exact"/>
        <w:rPr>
          <w:sz w:val="20"/>
          <w:szCs w:val="20"/>
          <w:color w:val="auto"/>
        </w:rPr>
      </w:pPr>
    </w:p>
    <w:p>
      <w:pPr>
        <w:ind w:left="1540" w:hanging="25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80" w:right="120" w:firstLine="652"/>
        <w:spacing w:after="0" w:line="256" w:lineRule="auto"/>
        <w:tabs>
          <w:tab w:leader="none" w:pos="22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sole discretion of the Administrator, a Participant may be permitted to make an election as to the time or form of any distribution from an Award, provided that, except as specified in (B), (C) and (D) below, such election is made and becomes irrevocable not later than the close of the taxable year preceding the taxable year in which the services for which the Award is granted are to be performed, or at such other time or times as may be permitted under Code Section 409A. Notwithstanding the foregoing, a Participant may cancel a deferral election upon (X) a hardship distribution pursuant to Code Section 401(k), or (Y) upon application for a distribution under Section 14(b)(i)(F) (unforeseeable emergency).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2" w:right="359" w:bottom="1440" w:gutter="0" w:footer="0" w:header="0"/>
        </w:sectPr>
      </w:pPr>
    </w:p>
    <w:bookmarkStart w:id="30" w:name="page31"/>
    <w:bookmarkEnd w:id="30"/>
    <w:p>
      <w:pPr>
        <w:jc w:val="both"/>
        <w:ind w:right="20" w:firstLine="648"/>
        <w:spacing w:after="0" w:line="266" w:lineRule="auto"/>
        <w:tabs>
          <w:tab w:leader="none" w:pos="933"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first year in which the Participant becomes eligible to participate in the Plan, the election described in (A) may be made with respect to services to be performed after the election within 30 days after the date the Participant becomes eligible to participate in the Plan.</w:t>
      </w:r>
    </w:p>
    <w:p>
      <w:pPr>
        <w:spacing w:after="0" w:line="175" w:lineRule="exact"/>
        <w:rPr>
          <w:rFonts w:ascii="Times New Roman" w:cs="Times New Roman" w:eastAsia="Times New Roman" w:hAnsi="Times New Roman"/>
          <w:sz w:val="18"/>
          <w:szCs w:val="18"/>
          <w:color w:val="auto"/>
        </w:rPr>
      </w:pPr>
    </w:p>
    <w:p>
      <w:pPr>
        <w:ind w:right="40" w:firstLine="648"/>
        <w:spacing w:after="0" w:line="266" w:lineRule="auto"/>
        <w:tabs>
          <w:tab w:leader="none" w:pos="933"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performance-based compensation (as that term is defined in Code Section 409A), where such compensation is based on services performed over a period of at least 12 months, the election described in (A) may be made no later than six months before the end of the period.</w:t>
      </w:r>
    </w:p>
    <w:p>
      <w:pPr>
        <w:spacing w:after="0" w:line="175" w:lineRule="exact"/>
        <w:rPr>
          <w:rFonts w:ascii="Times New Roman" w:cs="Times New Roman" w:eastAsia="Times New Roman" w:hAnsi="Times New Roman"/>
          <w:sz w:val="18"/>
          <w:szCs w:val="18"/>
          <w:color w:val="auto"/>
        </w:rPr>
      </w:pPr>
    </w:p>
    <w:p>
      <w:pPr>
        <w:ind w:left="940" w:hanging="292"/>
        <w:spacing w:after="0"/>
        <w:tabs>
          <w:tab w:leader="none" w:pos="94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Award subject to a substantial risk of forfeiture (as defined in Code Section 409A), the election described in</w:t>
      </w:r>
    </w:p>
    <w:p>
      <w:pPr>
        <w:spacing w:after="0" w:line="27" w:lineRule="exact"/>
        <w:rPr>
          <w:rFonts w:ascii="Times New Roman" w:cs="Times New Roman" w:eastAsia="Times New Roman" w:hAnsi="Times New Roman"/>
          <w:sz w:val="18"/>
          <w:szCs w:val="18"/>
          <w:color w:val="auto"/>
        </w:rPr>
      </w:pPr>
    </w:p>
    <w:p>
      <w:pPr>
        <w:spacing w:after="0" w:line="260" w:lineRule="auto"/>
        <w:tabs>
          <w:tab w:leader="none" w:pos="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made within 30 days of the date the Participant first obtains a legally binding right to the Award, provided that the Award requires the Participant to perform at least 12 months of service after such election is made.</w:t>
      </w:r>
    </w:p>
    <w:p>
      <w:pPr>
        <w:spacing w:after="0" w:line="181" w:lineRule="exact"/>
        <w:rPr>
          <w:rFonts w:ascii="Times New Roman" w:cs="Times New Roman" w:eastAsia="Times New Roman" w:hAnsi="Times New Roman"/>
          <w:sz w:val="18"/>
          <w:szCs w:val="18"/>
          <w:color w:val="auto"/>
        </w:rPr>
      </w:pPr>
    </w:p>
    <w:p>
      <w:pPr>
        <w:ind w:left="-320" w:right="60" w:firstLine="644"/>
        <w:spacing w:after="0" w:line="282" w:lineRule="auto"/>
        <w:tabs>
          <w:tab w:leader="none" w:pos="6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Elections</w:t>
      </w:r>
      <w:r>
        <w:rPr>
          <w:rFonts w:ascii="Times New Roman" w:cs="Times New Roman" w:eastAsia="Times New Roman" w:hAnsi="Times New Roman"/>
          <w:sz w:val="18"/>
          <w:szCs w:val="18"/>
          <w:color w:val="auto"/>
        </w:rPr>
        <w:t>: To the extent that the Administrator, in its sole discretion, permits a subsequent election to delay a payment or change the form of payment that has been specified under (A), (B), (C) or (D) above, the following provisions shall apply:</w:t>
      </w:r>
    </w:p>
    <w:p>
      <w:pPr>
        <w:spacing w:after="0" w:line="161" w:lineRule="exact"/>
        <w:rPr>
          <w:rFonts w:ascii="Times New Roman" w:cs="Times New Roman" w:eastAsia="Times New Roman" w:hAnsi="Times New Roman"/>
          <w:sz w:val="18"/>
          <w:szCs w:val="18"/>
          <w:color w:val="auto"/>
        </w:rPr>
      </w:pPr>
    </w:p>
    <w:p>
      <w:pPr>
        <w:ind w:left="1260" w:hanging="288"/>
        <w:spacing w:after="0"/>
        <w:tabs>
          <w:tab w:leader="none" w:pos="126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election may not take effect until 12 months after the date on which the election is made;</w:t>
      </w:r>
    </w:p>
    <w:p>
      <w:pPr>
        <w:spacing w:after="0" w:line="225" w:lineRule="exact"/>
        <w:rPr>
          <w:rFonts w:ascii="Times New Roman" w:cs="Times New Roman" w:eastAsia="Times New Roman" w:hAnsi="Times New Roman"/>
          <w:sz w:val="18"/>
          <w:szCs w:val="18"/>
          <w:color w:val="auto"/>
        </w:rPr>
      </w:pPr>
    </w:p>
    <w:p>
      <w:pPr>
        <w:ind w:left="320" w:right="60" w:firstLine="652"/>
        <w:spacing w:after="0" w:line="266" w:lineRule="auto"/>
        <w:tabs>
          <w:tab w:leader="none" w:pos="1253"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the payment is to be made for reasons other than death, disability or unforeseeable emergency, as those terms are defined in </w:t>
      </w:r>
      <w:r>
        <w:rPr>
          <w:rFonts w:ascii="Times New Roman" w:cs="Times New Roman" w:eastAsia="Times New Roman" w:hAnsi="Times New Roman"/>
          <w:sz w:val="18"/>
          <w:szCs w:val="18"/>
          <w:u w:val="single" w:color="auto"/>
          <w:color w:val="auto"/>
        </w:rPr>
        <w:t>Section 15(b)(i)</w:t>
      </w:r>
      <w:r>
        <w:rPr>
          <w:rFonts w:ascii="Times New Roman" w:cs="Times New Roman" w:eastAsia="Times New Roman" w:hAnsi="Times New Roman"/>
          <w:sz w:val="18"/>
          <w:szCs w:val="18"/>
          <w:color w:val="auto"/>
        </w:rPr>
        <w:t>, above, the first payment with respect to which such election is made must be deferred for a period of not less than five years from the date such payment would otherwise have been made; and</w:t>
      </w:r>
    </w:p>
    <w:p>
      <w:pPr>
        <w:spacing w:after="0" w:line="175" w:lineRule="exact"/>
        <w:rPr>
          <w:rFonts w:ascii="Times New Roman" w:cs="Times New Roman" w:eastAsia="Times New Roman" w:hAnsi="Times New Roman"/>
          <w:sz w:val="18"/>
          <w:szCs w:val="18"/>
          <w:color w:val="auto"/>
        </w:rPr>
      </w:pPr>
    </w:p>
    <w:p>
      <w:pPr>
        <w:ind w:left="320" w:right="120" w:firstLine="652"/>
        <w:spacing w:after="0" w:line="282" w:lineRule="auto"/>
        <w:tabs>
          <w:tab w:leader="none" w:pos="1253"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election related to a payment based upon a specified term or pursuant to a fixed schedule, as such terms are defined in </w:t>
      </w:r>
      <w:r>
        <w:rPr>
          <w:rFonts w:ascii="Times New Roman" w:cs="Times New Roman" w:eastAsia="Times New Roman" w:hAnsi="Times New Roman"/>
          <w:sz w:val="18"/>
          <w:szCs w:val="18"/>
          <w:u w:val="single" w:color="auto"/>
          <w:color w:val="auto"/>
        </w:rPr>
        <w:t>Section 15(b)(i),</w:t>
      </w:r>
      <w:r>
        <w:rPr>
          <w:rFonts w:ascii="Times New Roman" w:cs="Times New Roman" w:eastAsia="Times New Roman" w:hAnsi="Times New Roman"/>
          <w:sz w:val="18"/>
          <w:szCs w:val="18"/>
          <w:color w:val="auto"/>
        </w:rPr>
        <w:t xml:space="preserve"> above, may not be made less than 12 months prior to the date of the first scheduled payment hereunder.</w:t>
      </w:r>
    </w:p>
    <w:p>
      <w:pPr>
        <w:spacing w:after="0" w:line="161" w:lineRule="exact"/>
        <w:rPr>
          <w:rFonts w:ascii="Times New Roman" w:cs="Times New Roman" w:eastAsia="Times New Roman" w:hAnsi="Times New Roman"/>
          <w:sz w:val="18"/>
          <w:szCs w:val="18"/>
          <w:color w:val="auto"/>
        </w:rPr>
      </w:pPr>
    </w:p>
    <w:p>
      <w:pPr>
        <w:ind w:left="-320" w:right="220" w:firstLine="644"/>
        <w:spacing w:after="0" w:line="312" w:lineRule="auto"/>
        <w:tabs>
          <w:tab w:leader="none" w:pos="683"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Awards Subject to Code Section 409A</w:t>
      </w:r>
      <w:r>
        <w:rPr>
          <w:rFonts w:ascii="Times New Roman" w:cs="Times New Roman" w:eastAsia="Times New Roman" w:hAnsi="Times New Roman"/>
          <w:sz w:val="17"/>
          <w:szCs w:val="17"/>
          <w:color w:val="auto"/>
        </w:rPr>
        <w:t>. As permitted by the Administrator in its sole discretion, and in accordance with Code Section 409A, the Corporation may terminate an Award that is subject to Code Section 409A and distribute benefits to Participants.</w:t>
      </w:r>
    </w:p>
    <w:p>
      <w:pPr>
        <w:spacing w:after="0" w:line="3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00" w:top="904" w:right="379" w:bottom="1440" w:gutter="0" w:footer="0" w:header="0"/>
        </w:sectPr>
      </w:pPr>
    </w:p>
    <w:bookmarkStart w:id="31" w:name="page32"/>
    <w:bookmarkEnd w:id="31"/>
    <w:p>
      <w:pPr>
        <w:ind w:left="652" w:hanging="652"/>
        <w:spacing w:after="0"/>
        <w:tabs>
          <w:tab w:leader="none" w:pos="652"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 Provisions</w:t>
      </w:r>
    </w:p>
    <w:p>
      <w:pPr>
        <w:spacing w:after="0" w:line="227" w:lineRule="exact"/>
        <w:rPr>
          <w:rFonts w:ascii="Times New Roman" w:cs="Times New Roman" w:eastAsia="Times New Roman" w:hAnsi="Times New Roman"/>
          <w:sz w:val="18"/>
          <w:szCs w:val="18"/>
          <w:b w:val="1"/>
          <w:bCs w:val="1"/>
          <w:i w:val="1"/>
          <w:iCs w:val="1"/>
          <w:color w:val="auto"/>
        </w:rPr>
      </w:pPr>
    </w:p>
    <w:p>
      <w:pPr>
        <w:ind w:left="-8" w:right="80" w:firstLine="656"/>
        <w:spacing w:after="0" w:line="253" w:lineRule="auto"/>
        <w:tabs>
          <w:tab w:leader="none" w:pos="8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 Rights</w:t>
      </w:r>
      <w:r>
        <w:rPr>
          <w:rFonts w:ascii="Times New Roman" w:cs="Times New Roman" w:eastAsia="Times New Roman" w:hAnsi="Times New Roman"/>
          <w:sz w:val="18"/>
          <w:szCs w:val="18"/>
          <w:color w:val="auto"/>
        </w:rPr>
        <w:t>: Except as otherwise determined by the Administrator (and subject to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Awards), a Participant and its legal representatives, legatees or distributees shall not be deemed to be the holder of any shares subject to an Award and shall not have any rights of a shareholder unless and until certificates for such shares have been issued and delivered to it or them under the Plan. A certificate or certificates for shares of Common Stock acquired upon exercise of an Option shall be promptly issued in the name of the Participant (or its beneficiary) and distributed to the Participant (or its beneficiary) as soon as practicable following receipt of notice of exercise and, with respect to Options, payment of the Option Price (except as may otherwise be determined by the Corporation in the event of payment of the Option Price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7(d)(ii)(C</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regarding Restricted Stock Awards, a certificate for any shares of Common Stock issuable pursuant to a Restricted Stock Award shall be promptly issued in the name of the Participant (or its beneficiary) and distributed to the Participant (or its beneficiary) after the Award (or portion thereof) has vested or been earned. In no event will the issuance of certificates pursuant to the exercise of Options, vesting or earning of Restricted Stock Awards or vesting or earning of other Awards otherwise exempt from Code Section 409A be delayed in a manner that would cause the Award to be construed to involve the deferral of compensation under Code Section 409A unless such deferral is in compliance with Code Section 409A.</w:t>
      </w:r>
    </w:p>
    <w:p>
      <w:pPr>
        <w:spacing w:after="0" w:line="189" w:lineRule="exact"/>
        <w:rPr>
          <w:rFonts w:ascii="Times New Roman" w:cs="Times New Roman" w:eastAsia="Times New Roman" w:hAnsi="Times New Roman"/>
          <w:sz w:val="18"/>
          <w:szCs w:val="18"/>
          <w:color w:val="auto"/>
        </w:rPr>
      </w:pPr>
    </w:p>
    <w:p>
      <w:pPr>
        <w:ind w:left="-8" w:right="20" w:firstLine="656"/>
        <w:spacing w:after="0" w:line="254"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w:t>
      </w:r>
      <w:r>
        <w:rPr>
          <w:rFonts w:ascii="Times New Roman" w:cs="Times New Roman" w:eastAsia="Times New Roman" w:hAnsi="Times New Roman"/>
          <w:sz w:val="18"/>
          <w:szCs w:val="18"/>
          <w:color w:val="auto"/>
        </w:rPr>
        <w:t>: The Corporation shall withhold all required local, state, federal, foreign and other taxes and any other amount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withheld by any governmental authority or law from any amount payable in cash with respect to an Award. Prior to the delivery or transfer of any certificate for shares or any other benefit conferred under the Plan, the Corporation shall require any recipient of an Award to pay to the Corporation in cash the amount of any tax or other amount required by any governmental authority to be withheld and paid over by the Corporation to such authority for the account of such recipient. Notwithstanding the foregoing, the Administrator may establish procedures to permit a recipient to satisfy such obligation in whole or in part, and any local, state, federal, foreign or other income tax obligations relating to such an Award, by electing (the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to have the Corporation withhold shares of Common Stock from the shares to which the recipient is entitled. The number of shares to be withheld shall have a Fair Market Value as of the date that the amount of tax to be withheld is determined as nearly equal as possible to (but not exceeding) the amount of such obligations being satisfied. Each election must be made in writing to the Administrator in accordance with election procedures established by the Administrator.</w:t>
      </w:r>
    </w:p>
    <w:p>
      <w:pPr>
        <w:spacing w:after="0" w:line="185"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Unfunded Plan; No Effect on Other Plans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52" w:firstLine="644"/>
        <w:spacing w:after="0" w:line="255" w:lineRule="auto"/>
        <w:tabs>
          <w:tab w:leader="none" w:pos="1515"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unfunded, and the Corporation shall not be required to create a trust or segregate any assets that may at any time be represented by Awards under the Plan. The Plan shall not establish any fiduciary relationship between the Corporation and any Participant or other person. Neither a Participant nor any other person shall, by reason of the Plan, acquire any right in or title to any assets, funds or property of the Corporation or any Affiliate, including, without limitation, any specific funds, assets or other property which the Corporation or any Affiliate, in their discretion, may set aside in anticipation of a liability under the Plan. A Participant shall have only a contractual right to the Common Stock or other amounts, if any, payable under the Plan, unsecured by any assets of the Corporation or any Affiliate. Nothing contained in the Plan shall constitute a guarantee that the assets of such entities shall be sufficient to pay any benefits to any person.</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2" w:name="page33"/>
    <w:bookmarkEnd w:id="32"/>
    <w:p>
      <w:pPr>
        <w:jc w:val="both"/>
        <w:ind w:left="620" w:firstLine="644"/>
        <w:spacing w:after="0" w:line="261" w:lineRule="auto"/>
        <w:tabs>
          <w:tab w:leader="none" w:pos="153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compensation deemed to be received by a Participant pursuant to an Award shall not constitute compensation with respect to which any other employee benefits of such Participant are determined, including, without limitation, benefits under any bonus, pension, profit sharing, life insurance or salary continuation plan, except as otherwise specifically provided by the terms of such plan or as may be determined by the Administrator.</w:t>
      </w:r>
    </w:p>
    <w:p>
      <w:pPr>
        <w:spacing w:after="0" w:line="179" w:lineRule="exact"/>
        <w:rPr>
          <w:rFonts w:ascii="Times New Roman" w:cs="Times New Roman" w:eastAsia="Times New Roman" w:hAnsi="Times New Roman"/>
          <w:sz w:val="18"/>
          <w:szCs w:val="18"/>
          <w:color w:val="auto"/>
        </w:rPr>
      </w:pPr>
    </w:p>
    <w:p>
      <w:pPr>
        <w:ind w:left="620" w:right="20" w:firstLine="644"/>
        <w:spacing w:after="0" w:line="266" w:lineRule="auto"/>
        <w:tabs>
          <w:tab w:leader="none" w:pos="158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Plan shall not affect any other stock incentive or other compensation plans in effect for the Corporation or any Affiliate, nor shall the Plan preclude the Corporation from establishing any other forms of stock incentive or other compensation for employees or service providers of the Corporation or any Affiliate.</w:t>
      </w:r>
    </w:p>
    <w:p>
      <w:pPr>
        <w:spacing w:after="0" w:line="173" w:lineRule="exact"/>
        <w:rPr>
          <w:rFonts w:ascii="Times New Roman" w:cs="Times New Roman" w:eastAsia="Times New Roman" w:hAnsi="Times New Roman"/>
          <w:sz w:val="18"/>
          <w:szCs w:val="18"/>
          <w:color w:val="auto"/>
        </w:rPr>
      </w:pPr>
    </w:p>
    <w:p>
      <w:pPr>
        <w:ind w:left="-40" w:right="540" w:firstLine="656"/>
        <w:spacing w:after="0" w:line="284" w:lineRule="auto"/>
        <w:tabs>
          <w:tab w:leader="none" w:pos="8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Plan shall be governed by and construed in accordance with the laws of the State of Nevada, without regard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conflict of laws provisions of any state, and in accordance with applicable federal laws of the United States.</w:t>
      </w:r>
    </w:p>
    <w:p>
      <w:pPr>
        <w:spacing w:after="0" w:line="158" w:lineRule="exact"/>
        <w:rPr>
          <w:rFonts w:ascii="Times New Roman" w:cs="Times New Roman" w:eastAsia="Times New Roman" w:hAnsi="Times New Roman"/>
          <w:sz w:val="18"/>
          <w:szCs w:val="18"/>
          <w:color w:val="auto"/>
        </w:rPr>
      </w:pPr>
    </w:p>
    <w:p>
      <w:pPr>
        <w:ind w:left="-40" w:right="100" w:firstLine="656"/>
        <w:spacing w:after="0" w:line="256" w:lineRule="auto"/>
        <w:tabs>
          <w:tab w:leader="none" w:pos="8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Beneficiary Designation</w:t>
      </w:r>
      <w:r>
        <w:rPr>
          <w:rFonts w:ascii="Times New Roman" w:cs="Times New Roman" w:eastAsia="Times New Roman" w:hAnsi="Times New Roman"/>
          <w:sz w:val="18"/>
          <w:szCs w:val="18"/>
          <w:color w:val="auto"/>
        </w:rPr>
        <w:t>: The Administrator may permit a Participant to designate in writing a person or persons as beneficiary,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beneficiary shall be entitled to receive settlement of Awards (if any) to which the Participant is otherwise entitled in the event of death. In the absence of such designation by a Participant, and in the event of the Participant’s death, the estate of the Participant shall be treated as beneficiary for purposes of the Plan, unless the Administrator determines otherwise. The Administrator shall have sole discretion to approve and interpret the form or forms of such beneficiary designation. A beneficiary, legal guardian, legal representative or other person claiming any rights pursuant to the Plan is subject to all terms and conditions of the Plan and any Award Agreement applicable to the Participant, except to the extent that the Plan and/or Award Agreement provide otherwise, and to any additional restrictions deemed necessary or appropriate by the Administrator.</w:t>
      </w:r>
    </w:p>
    <w:p>
      <w:pPr>
        <w:spacing w:after="0" w:line="182" w:lineRule="exact"/>
        <w:rPr>
          <w:rFonts w:ascii="Times New Roman" w:cs="Times New Roman" w:eastAsia="Times New Roman" w:hAnsi="Times New Roman"/>
          <w:sz w:val="18"/>
          <w:szCs w:val="18"/>
          <w:color w:val="auto"/>
        </w:rPr>
      </w:pPr>
    </w:p>
    <w:p>
      <w:pPr>
        <w:ind w:left="-40" w:right="500" w:firstLine="656"/>
        <w:spacing w:after="0" w:line="284" w:lineRule="auto"/>
        <w:tabs>
          <w:tab w:leader="none" w:pos="8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Except where otherwise indicated by the context, words in any gender shall include any other gender, words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singular shall include the plural and words in the plural shall include the singular.</w:t>
      </w:r>
    </w:p>
    <w:p>
      <w:pPr>
        <w:spacing w:after="0" w:line="158" w:lineRule="exact"/>
        <w:rPr>
          <w:rFonts w:ascii="Times New Roman" w:cs="Times New Roman" w:eastAsia="Times New Roman" w:hAnsi="Times New Roman"/>
          <w:sz w:val="18"/>
          <w:szCs w:val="18"/>
          <w:color w:val="auto"/>
        </w:rPr>
      </w:pPr>
    </w:p>
    <w:p>
      <w:pPr>
        <w:ind w:left="-40" w:right="680" w:firstLine="656"/>
        <w:spacing w:after="0" w:line="284" w:lineRule="auto"/>
        <w:tabs>
          <w:tab w:leader="none" w:pos="8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provision of the Plan shall be held illegal or invalid for any reason, such illegality or invalidity shall not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parts of the Plan, and the Plan shall be construed and enforced as if the illegal or invalid provision had not been included.</w:t>
      </w:r>
    </w:p>
    <w:p>
      <w:pPr>
        <w:spacing w:after="0" w:line="158" w:lineRule="exact"/>
        <w:rPr>
          <w:rFonts w:ascii="Times New Roman" w:cs="Times New Roman" w:eastAsia="Times New Roman" w:hAnsi="Times New Roman"/>
          <w:sz w:val="18"/>
          <w:szCs w:val="18"/>
          <w:color w:val="auto"/>
        </w:rPr>
      </w:pPr>
    </w:p>
    <w:p>
      <w:pPr>
        <w:ind w:left="-40" w:right="160" w:firstLine="656"/>
        <w:spacing w:after="0" w:line="267" w:lineRule="auto"/>
        <w:tabs>
          <w:tab w:leader="none" w:pos="8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Headings are given to the sections of this Plan solely as a convenience to facilitate reference. The reference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statute, regulation or other provision of law shall (unless the Administrator determines otherwise) be construed to refer to any amendment to or successor of such provision of law.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33" w:name="page34"/>
    <w:bookmarkEnd w:id="33"/>
    <w:p>
      <w:pPr>
        <w:ind w:left="-20" w:right="780" w:firstLine="656"/>
        <w:spacing w:after="0" w:line="284" w:lineRule="auto"/>
        <w:tabs>
          <w:tab w:leader="none" w:pos="8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Plan shall be binding upon the Corporation, its successors and assigns, and Participants, their executors,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administrators and permitted transferees and beneficiaries.</w:t>
      </w:r>
    </w:p>
    <w:p>
      <w:pPr>
        <w:spacing w:after="0" w:line="158" w:lineRule="exact"/>
        <w:rPr>
          <w:rFonts w:ascii="Times New Roman" w:cs="Times New Roman" w:eastAsia="Times New Roman" w:hAnsi="Times New Roman"/>
          <w:sz w:val="18"/>
          <w:szCs w:val="18"/>
          <w:color w:val="auto"/>
        </w:rPr>
      </w:pPr>
    </w:p>
    <w:p>
      <w:pPr>
        <w:ind w:left="-20" w:firstLine="656"/>
        <w:spacing w:after="0" w:line="267" w:lineRule="auto"/>
        <w:tabs>
          <w:tab w:leader="none" w:pos="8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of Offset</w:t>
      </w:r>
      <w:r>
        <w:rPr>
          <w:rFonts w:ascii="Times New Roman" w:cs="Times New Roman" w:eastAsia="Times New Roman" w:hAnsi="Times New Roman"/>
          <w:sz w:val="18"/>
          <w:szCs w:val="18"/>
          <w:color w:val="auto"/>
        </w:rPr>
        <w:t>: Notwithstanding any other provision of the Plan or an Award Agreement, the Corporation may (subject to any Code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409A considerations) reduce the amount of any payment or benefit otherwise payable to or on behalf of a Participant by the amount of any obligation of the Participant to the Corporation or an Affiliate that is or becomes due and payable.</w:t>
      </w:r>
    </w:p>
    <w:p>
      <w:pPr>
        <w:spacing w:after="0" w:line="173" w:lineRule="exact"/>
        <w:rPr>
          <w:rFonts w:ascii="Times New Roman" w:cs="Times New Roman" w:eastAsia="Times New Roman" w:hAnsi="Times New Roman"/>
          <w:sz w:val="18"/>
          <w:szCs w:val="18"/>
          <w:color w:val="auto"/>
        </w:rPr>
      </w:pPr>
    </w:p>
    <w:p>
      <w:pPr>
        <w:ind w:left="-20" w:right="160" w:firstLine="656"/>
        <w:spacing w:after="0" w:line="261" w:lineRule="auto"/>
        <w:tabs>
          <w:tab w:leader="none" w:pos="8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Changes in Status</w:t>
      </w:r>
      <w:r>
        <w:rPr>
          <w:rFonts w:ascii="Times New Roman" w:cs="Times New Roman" w:eastAsia="Times New Roman" w:hAnsi="Times New Roman"/>
          <w:sz w:val="18"/>
          <w:szCs w:val="18"/>
          <w:color w:val="auto"/>
        </w:rPr>
        <w:t>: Notwithstanding the other provisions of the Plan or an Award Agreement, the Administrator has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to determine, subject to Code Section 409A, at the time of grant of an Award or at any time thereafter, the effect, if any, on Awards granted to a Participant if the Participant’s status as an Employee, Director, or Independent Contractor changes, including but not limited to a change from full-time to part- time, or vice versa, or if other similar changes in the nature or scope of the Participant’s employment or service occur.</w:t>
      </w:r>
    </w:p>
    <w:p>
      <w:pPr>
        <w:spacing w:after="0" w:line="179" w:lineRule="exact"/>
        <w:rPr>
          <w:rFonts w:ascii="Times New Roman" w:cs="Times New Roman" w:eastAsia="Times New Roman" w:hAnsi="Times New Roman"/>
          <w:sz w:val="18"/>
          <w:szCs w:val="18"/>
          <w:color w:val="auto"/>
        </w:rPr>
      </w:pPr>
    </w:p>
    <w:p>
      <w:pPr>
        <w:ind w:left="-20" w:right="80" w:firstLine="656"/>
        <w:spacing w:after="0" w:line="267" w:lineRule="auto"/>
        <w:tabs>
          <w:tab w:leader="none" w:pos="8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Fractional Shares: </w:t>
      </w:r>
      <w:r>
        <w:rPr>
          <w:rFonts w:ascii="Times New Roman" w:cs="Times New Roman" w:eastAsia="Times New Roman" w:hAnsi="Times New Roman"/>
          <w:sz w:val="18"/>
          <w:szCs w:val="18"/>
          <w:color w:val="auto"/>
        </w:rPr>
        <w:t>Except as otherwise provided in an Award Agreement or by the Administrator, (i) the total number of shares issuable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exercise, vesting or earning of an Award shall be rounded down to the nearest whole share, and (ii) no fractional shares shall be issued. The Administrator may, in its discretion, determine that a fractional share shall be settled in cash.</w:t>
      </w:r>
    </w:p>
    <w:p>
      <w:pPr>
        <w:spacing w:after="0" w:line="173" w:lineRule="exact"/>
        <w:rPr>
          <w:rFonts w:ascii="Times New Roman" w:cs="Times New Roman" w:eastAsia="Times New Roman" w:hAnsi="Times New Roman"/>
          <w:sz w:val="18"/>
          <w:szCs w:val="18"/>
          <w:color w:val="auto"/>
        </w:rPr>
      </w:pPr>
    </w:p>
    <w:p>
      <w:pPr>
        <w:ind w:left="-20" w:right="260" w:firstLine="656"/>
        <w:spacing w:after="0" w:line="267" w:lineRule="auto"/>
        <w:tabs>
          <w:tab w:leader="none" w:pos="93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The Plan is subject to approval by the stockholders of the Corporation, which approval must occur, if at all,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 (12) months of the Effective Date of the Plan. Awards granted prior to such shareholder approval shall be conditioned upon and shall be effective only upon approval of the Plan by such shareholders on or before such date.</w:t>
      </w:r>
    </w:p>
    <w:p>
      <w:pPr>
        <w:spacing w:after="0" w:line="173" w:lineRule="exact"/>
        <w:rPr>
          <w:rFonts w:ascii="Times New Roman" w:cs="Times New Roman" w:eastAsia="Times New Roman" w:hAnsi="Times New Roman"/>
          <w:sz w:val="18"/>
          <w:szCs w:val="18"/>
          <w:color w:val="auto"/>
        </w:rPr>
      </w:pPr>
    </w:p>
    <w:p>
      <w:pPr>
        <w:ind w:left="-20" w:right="660" w:firstLine="656"/>
        <w:spacing w:after="0" w:line="267" w:lineRule="auto"/>
        <w:tabs>
          <w:tab w:leader="none" w:pos="8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Income and Other Taxes</w:t>
      </w:r>
      <w:r>
        <w:rPr>
          <w:rFonts w:ascii="Times New Roman" w:cs="Times New Roman" w:eastAsia="Times New Roman" w:hAnsi="Times New Roman"/>
          <w:sz w:val="18"/>
          <w:szCs w:val="18"/>
          <w:color w:val="auto"/>
        </w:rPr>
        <w:t>. Participants are solely responsible and liable for the satisfaction of all taxes and penalties that may arise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Awards (including any taxes arising under Code Section 409A), and the Corporation shall not have any obligation to indemnify or otherwise hold any Participant harmless from any or all of such taxes.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2" w:right="339" w:bottom="1440" w:gutter="0" w:footer="0" w:header="0"/>
        </w:sectPr>
      </w:pPr>
    </w:p>
    <w:bookmarkStart w:id="34" w:name="page35"/>
    <w:bookmarkEnd w:id="34"/>
    <w:p>
      <w:pPr>
        <w:ind w:firstLine="648"/>
        <w:spacing w:after="0" w:line="292" w:lineRule="auto"/>
        <w:rPr>
          <w:sz w:val="20"/>
          <w:szCs w:val="20"/>
          <w:color w:val="auto"/>
        </w:rPr>
      </w:pPr>
      <w:r>
        <w:rPr>
          <w:rFonts w:ascii="Times New Roman" w:cs="Times New Roman" w:eastAsia="Times New Roman" w:hAnsi="Times New Roman"/>
          <w:sz w:val="18"/>
          <w:szCs w:val="18"/>
          <w:color w:val="auto"/>
        </w:rPr>
        <w:t>This 2021 Equity Incentive Plan, is, by the authority of the Board of Directors of the Corporation, executed on behalf of the Corporation, effective the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January 2021.</w:t>
      </w:r>
    </w:p>
    <w:p>
      <w:pPr>
        <w:spacing w:after="0" w:line="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SEE ID, INC., a Nevada corporation</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William Reny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900" w:val="left"/>
        </w:tabs>
        <w:rPr>
          <w:sz w:val="20"/>
          <w:szCs w:val="20"/>
          <w:color w:val="auto"/>
        </w:rPr>
      </w:pPr>
      <w:r>
        <w:rPr>
          <w:rFonts w:ascii="Times New Roman" w:cs="Times New Roman" w:eastAsia="Times New Roman" w:hAnsi="Times New Roman"/>
          <w:sz w:val="18"/>
          <w:szCs w:val="18"/>
          <w:color w:val="auto"/>
        </w:rPr>
        <w:t>Name:</w:t>
        <w:tab/>
        <w:t>William Reny</w:t>
      </w:r>
    </w:p>
    <w:p>
      <w:pPr>
        <w:spacing w:after="0" w:line="27" w:lineRule="exact"/>
        <w:rPr>
          <w:sz w:val="20"/>
          <w:szCs w:val="20"/>
          <w:color w:val="auto"/>
        </w:rPr>
      </w:pPr>
    </w:p>
    <w:p>
      <w:pPr>
        <w:ind w:left="7220"/>
        <w:spacing w:after="0"/>
        <w:tabs>
          <w:tab w:leader="none" w:pos="7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S-8</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CID HoldCo,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8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vMerge w:val="restart"/>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Rule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250"/>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2,032,521</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$ 1.5030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3,054,879.06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1"/>
                <w:szCs w:val="21"/>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421.88</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7"/>
              </w:rPr>
              <w:t>3,054,879.06</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421.88</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421.88</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additional shares of common stock, par value $0.001 per share, of CID HoldCo, Inc. (the “Company”), which may become issuable by reason of any stock split, stock dividend, recapitalization or other similar transaction effected without consideration which results in an increase in the number of the Company’s outstanding shares of common stock.</w:t>
      </w:r>
    </w:p>
    <w:p>
      <w:pPr>
        <w:spacing w:after="0" w:line="179" w:lineRule="exact"/>
        <w:rPr>
          <w:rFonts w:ascii="Times New Roman" w:cs="Times New Roman" w:eastAsia="Times New Roman" w:hAnsi="Times New Roman"/>
          <w:sz w:val="18"/>
          <w:szCs w:val="18"/>
          <w:color w:val="auto"/>
        </w:rPr>
      </w:pPr>
    </w:p>
    <w:p>
      <w:pPr>
        <w:jc w:val="both"/>
        <w:ind w:left="3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Rule 457(c) and (h) of the Securities Act. The proposed maximum offering price per share, proposed maximum aggregate offering price and the amount of the registration fee are based on the average of the high and low prices for the common stock as reported on the Nasdaq National Market LLC on November 21, 2025.</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common stock of the Company issuable under SEE ID, Inc. 2021 Equity Incentive Plan, as may be amended or restated from time to time (the “Plan”). Shares of common stock issuable under the Plan include awards of stock options, stock appreciation rights, restricted stock, restricted stock units, performance awards and other stock-based awards.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4353D0CD"/>
    <w:multiLevelType w:val="hybridMultilevel"/>
    <w:lvl w:ilvl="0">
      <w:lvlJc w:val="left"/>
      <w:lvlText w:val="%1"/>
      <w:numFmt w:val="decimal"/>
      <w:start w:val="1"/>
    </w:lvl>
    <w:lvl w:ilvl="1">
      <w:lvlJc w:val="left"/>
      <w:lvlText w:val="(%2)"/>
      <w:numFmt w:val="lowerLetter"/>
      <w:start w:val="2"/>
    </w:lvl>
  </w:abstractNum>
  <w:abstractNum w:abstractNumId="4">
    <w:nsid w:val="B03E0C6"/>
    <w:multiLevelType w:val="hybridMultilevel"/>
    <w:lvl w:ilvl="0">
      <w:lvlJc w:val="left"/>
      <w:lvlText w:val="%1."/>
      <w:numFmt w:val="decimal"/>
      <w:start w:val="2"/>
    </w:lvl>
    <w:lvl w:ilvl="1">
      <w:lvlJc w:val="left"/>
      <w:lvlText w:val="%2"/>
      <w:numFmt w:val="lowerLetter"/>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decimal"/>
      <w:start w:val="1"/>
    </w:lvl>
    <w:lvl w:ilvl="1">
      <w:lvlJc w:val="left"/>
      <w:lvlText w:val="(%2)"/>
      <w:numFmt w:val="lowerLetter"/>
      <w:start w:val="1"/>
    </w:lvl>
  </w:abstractNum>
  <w:abstractNum w:abstractNumId="9">
    <w:nsid w:val="836C40E"/>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0">
    <w:nsid w:val="2901D82"/>
    <w:multiLevelType w:val="hybridMultilevel"/>
    <w:lvl w:ilvl="0">
      <w:lvlJc w:val="left"/>
      <w:lvlText w:val="%1"/>
      <w:numFmt w:val="lowerLetter"/>
      <w:start w:val="1"/>
    </w:lvl>
    <w:lvl w:ilvl="1">
      <w:lvlJc w:val="left"/>
      <w:lvlText w:val="(%2)"/>
      <w:numFmt w:val="lowerLetter"/>
      <w:start w:val="35"/>
    </w:lvl>
  </w:abstractNum>
  <w:abstractNum w:abstractNumId="11">
    <w:nsid w:val="3A95F874"/>
    <w:multiLevelType w:val="hybridMultilevel"/>
    <w:lvl w:ilvl="0">
      <w:lvlJc w:val="left"/>
      <w:lvlText w:val="(%1)"/>
      <w:numFmt w:val="lowerLetter"/>
      <w:start w:val="9"/>
    </w:lvl>
    <w:lvl w:ilvl="1">
      <w:lvlJc w:val="left"/>
      <w:lvlText w:val="%2"/>
      <w:numFmt w:val="lowerLetter"/>
      <w:start w:val="1"/>
    </w:lvl>
  </w:abstractNum>
  <w:abstractNum w:abstractNumId="12">
    <w:nsid w:val="8138641"/>
    <w:multiLevelType w:val="hybridMultilevel"/>
    <w:lvl w:ilvl="0">
      <w:lvlJc w:val="left"/>
      <w:lvlText w:val="(%1)"/>
      <w:numFmt w:val="lowerLetter"/>
      <w:start w:val="18"/>
    </w:lvl>
  </w:abstractNum>
  <w:abstractNum w:abstractNumId="13">
    <w:nsid w:val="1E7FF521"/>
    <w:multiLevelType w:val="hybridMultilevel"/>
    <w:lvl w:ilvl="0">
      <w:lvlJc w:val="left"/>
      <w:lvlText w:val="%1"/>
      <w:numFmt w:val="decimal"/>
      <w:start w:val="1"/>
    </w:lvl>
    <w:lvl w:ilvl="1">
      <w:lvlJc w:val="left"/>
      <w:lvlText w:val="(%2)"/>
      <w:numFmt w:val="lowerLetter"/>
      <w:start w:val="27"/>
    </w:lvl>
  </w:abstractNum>
  <w:abstractNum w:abstractNumId="14">
    <w:nsid w:val="7C3DBD3D"/>
    <w:multiLevelType w:val="hybridMultilevel"/>
    <w:lvl w:ilvl="0">
      <w:lvlJc w:val="left"/>
      <w:lvlText w:val="%1."/>
      <w:numFmt w:val="decimal"/>
      <w:start w:val="2"/>
    </w:lvl>
    <w:lvl w:ilvl="1">
      <w:lvlJc w:val="left"/>
      <w:lvlText w:val="%2"/>
      <w:numFmt w:val="lowerLetter"/>
      <w:start w:val="1"/>
    </w:lvl>
  </w:abstractNum>
  <w:abstractNum w:abstractNumId="15">
    <w:nsid w:val="737B8DDC"/>
    <w:multiLevelType w:val="hybridMultilevel"/>
    <w:lvl w:ilvl="0">
      <w:lvlJc w:val="left"/>
      <w:lvlText w:val="%1."/>
      <w:numFmt w:val="decimal"/>
      <w:start w:val="3"/>
    </w:lvl>
    <w:lvl w:ilvl="1">
      <w:lvlJc w:val="left"/>
      <w:lvlText w:val="(%2)"/>
      <w:numFmt w:val="lowerLetter"/>
      <w:start w:val="1"/>
    </w:lvl>
  </w:abstractNum>
  <w:abstractNum w:abstractNumId="16">
    <w:nsid w:val="6CEAF087"/>
    <w:multiLevelType w:val="hybridMultilevel"/>
    <w:lvl w:ilvl="0">
      <w:lvlJc w:val="left"/>
      <w:lvlText w:val="(%1)"/>
      <w:numFmt w:val="lowerLetter"/>
      <w:start w:val="2"/>
    </w:lvl>
  </w:abstractNum>
  <w:abstractNum w:abstractNumId="17">
    <w:nsid w:val="22221A70"/>
    <w:multiLevelType w:val="hybridMultilevel"/>
    <w:lvl w:ilvl="0">
      <w:lvlJc w:val="left"/>
      <w:lvlText w:val="%1."/>
      <w:numFmt w:val="decimal"/>
      <w:start w:val="4"/>
    </w:lvl>
  </w:abstractNum>
  <w:abstractNum w:abstractNumId="18">
    <w:nsid w:val="4516DDE9"/>
    <w:multiLevelType w:val="hybridMultilevel"/>
    <w:lvl w:ilvl="0">
      <w:lvlJc w:val="left"/>
      <w:lvlText w:val="%1."/>
      <w:numFmt w:val="decimal"/>
      <w:start w:val="5"/>
    </w:lvl>
    <w:lvl w:ilvl="1">
      <w:lvlJc w:val="left"/>
      <w:lvlText w:val="(%2)"/>
      <w:numFmt w:val="lowerLetter"/>
      <w:start w:val="1"/>
    </w:lvl>
  </w:abstractNum>
  <w:abstractNum w:abstractNumId="19">
    <w:nsid w:val="3006C83E"/>
    <w:multiLevelType w:val="hybridMultilevel"/>
    <w:lvl w:ilvl="0">
      <w:lvlJc w:val="left"/>
      <w:lvlText w:val="%1."/>
      <w:numFmt w:val="decimal"/>
      <w:start w:val="6"/>
    </w:lvl>
    <w:lvl w:ilvl="1">
      <w:lvlJc w:val="left"/>
      <w:lvlText w:val="(%2)"/>
      <w:numFmt w:val="lowerLetter"/>
      <w:start w:val="1"/>
    </w:lvl>
  </w:abstractNum>
  <w:abstractNum w:abstractNumId="20">
    <w:nsid w:val="614FD4A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1">
    <w:nsid w:val="419AC241"/>
    <w:multiLevelType w:val="hybridMultilevel"/>
    <w:lvl w:ilvl="0">
      <w:lvlJc w:val="left"/>
      <w:lvlText w:val="%1"/>
      <w:numFmt w:val="decimal"/>
      <w:start w:val="422"/>
    </w:lvl>
    <w:lvl w:ilvl="1">
      <w:lvlJc w:val="left"/>
      <w:lvlText w:val="(%2)"/>
      <w:numFmt w:val="lowerLetter"/>
      <w:start w:val="2"/>
    </w:lvl>
    <w:lvl w:ilvl="2">
      <w:lvlJc w:val="left"/>
      <w:lvlText w:val="(%3)"/>
      <w:numFmt w:val="lowerLetter"/>
      <w:start w:val="9"/>
    </w:lvl>
  </w:abstractNum>
  <w:abstractNum w:abstractNumId="22">
    <w:nsid w:val="5577F8E1"/>
    <w:multiLevelType w:val="hybridMultilevel"/>
    <w:lvl w:ilvl="0">
      <w:lvlJc w:val="left"/>
      <w:lvlText w:val="(%1)"/>
      <w:numFmt w:val="lowerRoman"/>
      <w:start w:val="2"/>
    </w:lvl>
    <w:lvl w:ilvl="1">
      <w:lvlJc w:val="left"/>
      <w:lvlText w:val="(%2)"/>
      <w:numFmt w:val="upperLetter"/>
      <w:start w:val="1"/>
    </w:lvl>
  </w:abstractNum>
  <w:abstractNum w:abstractNumId="23">
    <w:nsid w:val="440BADFC"/>
    <w:multiLevelType w:val="hybridMultilevel"/>
    <w:lvl w:ilvl="0">
      <w:lvlJc w:val="left"/>
      <w:lvlText w:val="(%1)"/>
      <w:numFmt w:val="lowerRoman"/>
      <w:start w:val="3"/>
    </w:lvl>
    <w:lvl w:ilvl="1">
      <w:lvlJc w:val="left"/>
      <w:lvlText w:val="(%2)"/>
      <w:numFmt w:val="upperLetter"/>
      <w:start w:val="1"/>
    </w:lvl>
  </w:abstractNum>
  <w:abstractNum w:abstractNumId="24">
    <w:nsid w:val="5072367"/>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25">
    <w:nsid w:val="3804823E"/>
    <w:multiLevelType w:val="hybridMultilevel"/>
    <w:lvl w:ilvl="0">
      <w:lvlJc w:val="left"/>
      <w:lvlText w:val="%1"/>
      <w:numFmt w:val="lowerRoman"/>
      <w:start w:val="1"/>
    </w:lvl>
    <w:lvl w:ilvl="1">
      <w:lvlJc w:val="left"/>
      <w:lvlText w:val="(%2)"/>
      <w:numFmt w:val="upperLetter"/>
      <w:start w:val="24"/>
    </w:lvl>
    <w:lvl w:ilvl="2">
      <w:lvlJc w:val="left"/>
      <w:lvlText w:val="(%3)"/>
      <w:numFmt w:val="upperLetter"/>
      <w:start w:val="3"/>
    </w:lvl>
  </w:abstractNum>
  <w:abstractNum w:abstractNumId="26">
    <w:nsid w:val="77465F01"/>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27">
    <w:nsid w:val="7724C67E"/>
    <w:multiLevelType w:val="hybridMultilevel"/>
    <w:lvl w:ilvl="0">
      <w:lvlJc w:val="left"/>
      <w:lvlText w:val="%1"/>
      <w:numFmt w:val="lowerLetter"/>
      <w:start w:val="1"/>
    </w:lvl>
    <w:lvl w:ilvl="1">
      <w:lvlJc w:val="left"/>
      <w:lvlText w:val="(%2)"/>
      <w:numFmt w:val="lowerLetter"/>
      <w:start w:val="22"/>
    </w:lvl>
  </w:abstractNum>
  <w:abstractNum w:abstractNumId="28">
    <w:nsid w:val="5C482A97"/>
    <w:multiLevelType w:val="hybridMultilevel"/>
    <w:lvl w:ilvl="0">
      <w:lvlJc w:val="left"/>
      <w:lvlText w:val="(%1)"/>
      <w:numFmt w:val="lowerLetter"/>
      <w:start w:val="5"/>
    </w:lvl>
    <w:lvl w:ilvl="1">
      <w:lvlJc w:val="left"/>
      <w:lvlText w:val="%2"/>
      <w:numFmt w:val="lowerLetter"/>
      <w:start w:val="1"/>
    </w:lvl>
  </w:abstractNum>
  <w:abstractNum w:abstractNumId="29">
    <w:nsid w:val="2463B9EA"/>
    <w:multiLevelType w:val="hybridMultilevel"/>
    <w:lvl w:ilvl="0">
      <w:lvlJc w:val="left"/>
      <w:lvlText w:val="%1."/>
      <w:numFmt w:val="decimal"/>
      <w:start w:val="8"/>
    </w:lvl>
    <w:lvl w:ilvl="1">
      <w:lvlJc w:val="left"/>
      <w:lvlText w:val="(%2)"/>
      <w:numFmt w:val="lowerLetter"/>
      <w:start w:val="1"/>
    </w:lvl>
  </w:abstractNum>
  <w:abstractNum w:abstractNumId="30">
    <w:nsid w:val="5E884ADC"/>
    <w:multiLevelType w:val="hybridMultilevel"/>
    <w:lvl w:ilvl="0">
      <w:lvlJc w:val="left"/>
      <w:lvlText w:val="%1"/>
      <w:numFmt w:val="decimal"/>
      <w:start w:val="1"/>
    </w:lvl>
    <w:lvl w:ilvl="1">
      <w:lvlJc w:val="left"/>
      <w:lvlText w:val="(%2)"/>
      <w:numFmt w:val="lowerLetter"/>
      <w:start w:val="5"/>
    </w:lvl>
  </w:abstractNum>
  <w:abstractNum w:abstractNumId="31">
    <w:nsid w:val="51EAD36B"/>
    <w:multiLevelType w:val="hybridMultilevel"/>
    <w:lvl w:ilvl="0">
      <w:lvlJc w:val="left"/>
      <w:lvlText w:val="%1."/>
      <w:numFmt w:val="decimal"/>
      <w:start w:val="9"/>
    </w:lvl>
    <w:lvl w:ilvl="1">
      <w:lvlJc w:val="left"/>
      <w:lvlText w:val="(%2)"/>
      <w:numFmt w:val="lowerLetter"/>
      <w:start w:val="1"/>
    </w:lvl>
  </w:abstractNum>
  <w:abstractNum w:abstractNumId="32">
    <w:nsid w:val="2D517796"/>
    <w:multiLevelType w:val="hybridMultilevel"/>
    <w:lvl w:ilvl="0">
      <w:lvlJc w:val="left"/>
      <w:lvlText w:val="%1"/>
      <w:numFmt w:val="decimal"/>
      <w:start w:val="1"/>
    </w:lvl>
    <w:lvl w:ilvl="1">
      <w:lvlJc w:val="left"/>
      <w:lvlText w:val="(%2)"/>
      <w:numFmt w:val="lowerLetter"/>
      <w:start w:val="6"/>
    </w:lvl>
  </w:abstractNum>
  <w:abstractNum w:abstractNumId="33">
    <w:nsid w:val="580BD78F"/>
    <w:multiLevelType w:val="hybridMultilevel"/>
    <w:lvl w:ilvl="0">
      <w:lvlJc w:val="left"/>
      <w:lvlText w:val="%1."/>
      <w:numFmt w:val="decimal"/>
      <w:start w:val="10"/>
    </w:lvl>
    <w:lvl w:ilvl="1">
      <w:lvlJc w:val="left"/>
      <w:lvlText w:val="%2"/>
      <w:numFmt w:val="lowerLetter"/>
      <w:start w:val="1"/>
    </w:lvl>
  </w:abstractNum>
  <w:abstractNum w:abstractNumId="34">
    <w:nsid w:val="153EA438"/>
    <w:multiLevelType w:val="hybridMultilevel"/>
    <w:lvl w:ilvl="0">
      <w:lvlJc w:val="left"/>
      <w:lvlText w:val="%1."/>
      <w:numFmt w:val="decimal"/>
      <w:start w:val="11"/>
    </w:lvl>
  </w:abstractNum>
  <w:abstractNum w:abstractNumId="35">
    <w:nsid w:val="3855585C"/>
    <w:multiLevelType w:val="hybridMultilevel"/>
    <w:lvl w:ilvl="0">
      <w:lvlJc w:val="left"/>
      <w:lvlText w:val="%1."/>
      <w:numFmt w:val="decimal"/>
      <w:start w:val="12"/>
    </w:lvl>
    <w:lvl w:ilvl="1">
      <w:lvlJc w:val="left"/>
      <w:lvlText w:val="(%2)"/>
      <w:numFmt w:val="lowerLetter"/>
      <w:start w:val="1"/>
    </w:lvl>
  </w:abstractNum>
  <w:abstractNum w:abstractNumId="36">
    <w:nsid w:val="70A64E2A"/>
    <w:multiLevelType w:val="hybridMultilevel"/>
    <w:lvl w:ilvl="0">
      <w:lvlJc w:val="left"/>
      <w:lvlText w:val="%1."/>
      <w:numFmt w:val="decimal"/>
      <w:start w:val="13"/>
    </w:lvl>
    <w:lvl w:ilvl="1">
      <w:lvlJc w:val="left"/>
      <w:lvlText w:val="(%2)"/>
      <w:numFmt w:val="lowerLetter"/>
      <w:start w:val="1"/>
    </w:lvl>
  </w:abstractNum>
  <w:abstractNum w:abstractNumId="37">
    <w:nsid w:val="6A2342EC"/>
    <w:multiLevelType w:val="hybridMultilevel"/>
    <w:lvl w:ilvl="0">
      <w:lvlJc w:val="left"/>
      <w:lvlText w:val="%1."/>
      <w:numFmt w:val="decimal"/>
      <w:start w:val="15"/>
    </w:lvl>
    <w:lvl w:ilvl="1">
      <w:lvlJc w:val="left"/>
      <w:lvlText w:val="(%2)"/>
      <w:numFmt w:val="lowerLetter"/>
      <w:start w:val="1"/>
    </w:lvl>
  </w:abstractNum>
  <w:abstractNum w:abstractNumId="38">
    <w:nsid w:val="2A487CB0"/>
    <w:multiLevelType w:val="hybridMultilevel"/>
    <w:lvl w:ilvl="0">
      <w:lvlJc w:val="left"/>
      <w:lvlText w:val="(%1)"/>
      <w:numFmt w:val="lowerLetter"/>
      <w:start w:val="2"/>
    </w:lvl>
    <w:lvl w:ilvl="1">
      <w:lvlJc w:val="left"/>
      <w:lvlText w:val="(%2)"/>
      <w:numFmt w:val="lowerRoman"/>
      <w:start w:val="1"/>
    </w:lvl>
  </w:abstractNum>
  <w:abstractNum w:abstractNumId="39">
    <w:nsid w:val="1D4ED43B"/>
    <w:multiLevelType w:val="hybridMultilevel"/>
    <w:lvl w:ilvl="0">
      <w:lvlJc w:val="left"/>
      <w:lvlText w:val="(%1)"/>
      <w:numFmt w:val="lowerRoman"/>
      <w:start w:val="5"/>
    </w:lvl>
    <w:lvl w:ilvl="1">
      <w:lvlJc w:val="left"/>
      <w:lvlText w:val="(%2)"/>
      <w:numFmt w:val="upperLetter"/>
      <w:start w:val="1"/>
    </w:lvl>
  </w:abstractNum>
  <w:abstractNum w:abstractNumId="40">
    <w:nsid w:val="725A06FB"/>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lvl w:ilvl="3">
      <w:lvlJc w:val="left"/>
      <w:lvlText w:val="%4"/>
      <w:numFmt w:val="upperLetter"/>
      <w:start w:val="1"/>
    </w:lvl>
  </w:abstractNum>
  <w:abstractNum w:abstractNumId="41">
    <w:nsid w:val="2CD89A32"/>
    <w:multiLevelType w:val="hybridMultilevel"/>
    <w:lvl w:ilvl="0">
      <w:lvlJc w:val="left"/>
      <w:lvlText w:val="(%1)"/>
      <w:numFmt w:val="upperLetter"/>
      <w:start w:val="1"/>
    </w:lvl>
    <w:lvl w:ilvl="1">
      <w:lvlJc w:val="left"/>
      <w:lvlText w:val="(%2)"/>
      <w:numFmt w:val="lowerRoman"/>
      <w:start w:val="6"/>
    </w:lvl>
    <w:lvl w:ilvl="2">
      <w:lvlJc w:val="left"/>
      <w:lvlText w:val="%3"/>
      <w:numFmt w:val="upperLetter"/>
      <w:start w:val="1"/>
    </w:lvl>
    <w:lvl w:ilvl="3">
      <w:lvlJc w:val="left"/>
      <w:lvlText w:val="(%4)"/>
      <w:numFmt w:val="upperLetter"/>
      <w:start w:val="1"/>
    </w:lvl>
  </w:abstractNum>
  <w:abstractNum w:abstractNumId="42">
    <w:nsid w:val="57E4CCAF"/>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43">
    <w:nsid w:val="7A6D8D3C"/>
    <w:multiLevelType w:val="hybridMultilevel"/>
    <w:lvl w:ilvl="0">
      <w:lvlJc w:val="left"/>
      <w:lvlText w:val="%1"/>
      <w:numFmt w:val="lowerLetter"/>
      <w:start w:val="1"/>
    </w:lvl>
    <w:lvl w:ilvl="1">
      <w:lvlJc w:val="left"/>
      <w:lvlText w:val="(%2)"/>
      <w:numFmt w:val="lowerRoman"/>
      <w:start w:val="2"/>
    </w:lvl>
  </w:abstractNum>
  <w:abstractNum w:abstractNumId="44">
    <w:nsid w:val="4B588F54"/>
    <w:multiLevelType w:val="hybridMultilevel"/>
    <w:lvl w:ilvl="0">
      <w:lvlJc w:val="left"/>
      <w:lvlText w:val="(%1)"/>
      <w:numFmt w:val="lowerLetter"/>
      <w:start w:val="4"/>
    </w:lvl>
    <w:lvl w:ilvl="1">
      <w:lvlJc w:val="left"/>
      <w:lvlText w:val="%2"/>
      <w:numFmt w:val="lowerRoman"/>
      <w:start w:val="1"/>
    </w:lvl>
  </w:abstractNum>
  <w:abstractNum w:abstractNumId="45">
    <w:nsid w:val="542289EC"/>
    <w:multiLevelType w:val="hybridMultilevel"/>
    <w:lvl w:ilvl="0">
      <w:lvlJc w:val="left"/>
      <w:lvlText w:val="(%1)"/>
      <w:numFmt w:val="lowerLetter"/>
      <w:start w:val="9"/>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eg"/><Relationship Id="rId27" Type="http://schemas.openxmlformats.org/officeDocument/2006/relationships/image" Target="media/image14.png"/><Relationship Id="rId28" Type="http://schemas.openxmlformats.org/officeDocument/2006/relationships/image" Target="media/image15.jpe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15" Type="http://schemas.openxmlformats.org/officeDocument/2006/relationships/hyperlink" Target="https://www.sec.gov/Archives/edgar/data/2033770/000121390025057972/ea0246607-8k_cidhold.htm" TargetMode="External"/><Relationship Id="rId16" Type="http://schemas.openxmlformats.org/officeDocument/2006/relationships/hyperlink" Target="http://www.sec.gov/Archives/edgar/data/2033770/000121390025078660/ea0252997-10q_cidhold.htm" TargetMode="External"/><Relationship Id="rId17" Type="http://schemas.openxmlformats.org/officeDocument/2006/relationships/hyperlink" Target="http://www.sec.gov/Archives/edgar/data/2033770/000121390025110130/ea0262262-10q_cidhold.htm" TargetMode="External"/><Relationship Id="rId18" Type="http://schemas.openxmlformats.org/officeDocument/2006/relationships/hyperlink" Target="https://www.sec.gov/Archives/edgar/data/2033770/000121390025055727/ea0246011-8a12b_cidhold.htm" TargetMode="External"/><Relationship Id="rId22" Type="http://schemas.openxmlformats.org/officeDocument/2006/relationships/hyperlink" Target="https://www.sec.gov/Archives/edgar/data/2033770/000121390025057972/ea024660701ex3-1_cidhold.htm" TargetMode="External"/><Relationship Id="rId23" Type="http://schemas.openxmlformats.org/officeDocument/2006/relationships/hyperlink" Target="https://www.sec.gov/Archives/edgar/data/2033770/000121390025057972/ea024660701ex3-2_cid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2025-12-02T16:20:37Z</dcterms:created>
  <dcterms:modified xsi:type="dcterms:W3CDTF">2025-12-02T16:20:37Z</dcterms:modified>
</cp:coreProperties>
</file>