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7500 Old Georgetown Road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ID,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7500 Old Georgetown Road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5,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VIA OVERNIGHT COURIER AND EDGAR</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Anastasia Kaluzienski</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Mariam Mansaray</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Jan Woo</w:t>
      </w:r>
    </w:p>
    <w:p>
      <w:pPr>
        <w:sectPr>
          <w:pgSz w:w="11900" w:h="16838" w:orient="portrait"/>
          <w:cols w:equalWidth="0" w:num="1">
            <w:col w:w="10940"/>
          </w:cols>
          <w:pgMar w:left="320" w:top="445" w:right="6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11,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333-282600</w:t>
      </w:r>
    </w:p>
    <w:p>
      <w:pPr>
        <w:spacing w:after="0" w:line="200" w:lineRule="exact"/>
        <w:rPr>
          <w:sz w:val="24"/>
          <w:szCs w:val="24"/>
          <w:color w:val="auto"/>
        </w:rPr>
      </w:pPr>
    </w:p>
    <w:p>
      <w:pPr>
        <w:sectPr>
          <w:pgSz w:w="11900" w:h="16838" w:orient="portrait"/>
          <w:cols w:equalWidth="0" w:num="2">
            <w:col w:w="280" w:space="380"/>
            <w:col w:w="10280"/>
          </w:cols>
          <w:pgMar w:left="320" w:top="445" w:right="6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is submitted in response to the comments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U.S. Securities and Exchange Commission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set forth in the Staff’s comment letter dated October 30,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CID Holdco, Inc.’s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Registration Statement on Form S-4, filed with the Commission on October 11, 2024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responses to the Comment Letter are set forth below, with each paragraph numbered to correspond to the comment number set forth in the Comment Letter. For your convenience, the comments have been reproduced below, together with our responses.</w:t>
      </w:r>
    </w:p>
    <w:p>
      <w:pPr>
        <w:spacing w:after="0" w:line="162" w:lineRule="exact"/>
        <w:rPr>
          <w:sz w:val="24"/>
          <w:szCs w:val="24"/>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Draft Registration Statement on Form S-4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21" w:lineRule="exact"/>
        <w:rPr>
          <w:sz w:val="20"/>
          <w:szCs w:val="20"/>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Total pro forma common stock in the table on page xvi does not agree with that in tables elsewhere throughout the filing. Please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revise as needed for consistency and accuracy.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[xvi]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 page 1</w:t>
      </w:r>
    </w:p>
    <w:p>
      <w:pPr>
        <w:spacing w:after="0" w:line="221" w:lineRule="exact"/>
        <w:rPr>
          <w:sz w:val="20"/>
          <w:szCs w:val="20"/>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prior comment 8. Please add the 25% redemption scenario as indicated in the paragraph preceding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table on the cover page and page 8.</w:t>
      </w:r>
    </w:p>
    <w:p>
      <w:pPr>
        <w:spacing w:after="0" w:line="154" w:lineRule="exact"/>
        <w:rPr>
          <w:rFonts w:ascii="Times New Roman" w:cs="Times New Roman" w:eastAsia="Times New Roman" w:hAnsi="Times New Roman"/>
          <w:sz w:val="18"/>
          <w:szCs w:val="18"/>
          <w:color w:val="auto"/>
        </w:rPr>
      </w:pPr>
    </w:p>
    <w:p>
      <w:pPr>
        <w:ind w:left="660" w:right="4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the cover page and page 8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4" w:lineRule="exact"/>
        <w:rPr>
          <w:rFonts w:ascii="Times New Roman" w:cs="Times New Roman" w:eastAsia="Times New Roman" w:hAnsi="Times New Roman"/>
          <w:sz w:val="18"/>
          <w:szCs w:val="18"/>
          <w:color w:val="auto"/>
        </w:rPr>
      </w:pPr>
    </w:p>
    <w:p>
      <w:pPr>
        <w:ind w:left="660" w:right="26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disclose on the cover page and in the summary section the tier of the OTC market on which SUAC Class A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SUAC Warrants and SUAC Units are quoted.</w:t>
      </w:r>
    </w:p>
    <w:p>
      <w:pPr>
        <w:spacing w:after="0" w:line="154" w:lineRule="exact"/>
        <w:rPr>
          <w:rFonts w:ascii="Times New Roman" w:cs="Times New Roman" w:eastAsia="Times New Roman" w:hAnsi="Times New Roman"/>
          <w:sz w:val="18"/>
          <w:szCs w:val="18"/>
          <w:color w:val="auto"/>
        </w:rPr>
      </w:pPr>
    </w:p>
    <w:p>
      <w:pPr>
        <w:ind w:left="660" w:right="4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the cover page and page 1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4" w:lineRule="exact"/>
        <w:rPr>
          <w:rFonts w:ascii="Times New Roman" w:cs="Times New Roman" w:eastAsia="Times New Roman" w:hAnsi="Times New Roman"/>
          <w:sz w:val="18"/>
          <w:szCs w:val="18"/>
          <w:color w:val="auto"/>
        </w:rPr>
      </w:pPr>
    </w:p>
    <w:p>
      <w:pPr>
        <w:ind w:left="660" w:right="60" w:hanging="652"/>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comment 2 and note your disclosure on page 113 that as of the date of this prospectus, no PIPE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has been made. We also note your disclosure on page 3 that, “SUAC shall have cash and cash equivalents in an aggregate amount of not less than $6,000,000 including the cash available to SUAC from the Trust Account (after any redemptions by the SUAC stockholders and the payment of any Trust Account expenses) and the proceeds from the PIPE Financing, after deducting all Outstanding SUAC Expenses, all Outstanding SEE ID Expenses, and all Company Change of Control Payments...” Given that no PIPE investment has been made and these proceeds are not guaranteed, please revise this statement to note that the proceeds from the PIPE financing are not guaranteed as a PIPE investment has yet to be made.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3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dependence on a limited number of joint design manufacturers and suppliers of manufacturing services . . . page 52</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comment 12 where you state that SEE ID has not</w:t>
      </w:r>
    </w:p>
    <w:p>
      <w:pPr>
        <w:spacing w:after="0" w:line="31" w:lineRule="exact"/>
        <w:rPr>
          <w:rFonts w:ascii="Times New Roman" w:cs="Times New Roman" w:eastAsia="Times New Roman" w:hAnsi="Times New Roman"/>
          <w:sz w:val="18"/>
          <w:szCs w:val="18"/>
          <w:color w:val="auto"/>
        </w:rPr>
      </w:pPr>
    </w:p>
    <w:p>
      <w:pPr>
        <w:ind w:left="66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component shortages to date. However, in your disclosure on page 52 of the Amended registration statement, you state, “We have in the past experienced and may in the future experience component shortages...” Please revise the disclosure to reconcile these inconsistencies.</w:t>
      </w:r>
    </w:p>
    <w:p>
      <w:pPr>
        <w:spacing w:after="0" w:line="1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52 of the Amendment.</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The Business Combination Proposal, page 97</w:t>
      </w:r>
    </w:p>
    <w:p>
      <w:pPr>
        <w:spacing w:after="0" w:line="221" w:lineRule="exact"/>
        <w:rPr>
          <w:sz w:val="20"/>
          <w:szCs w:val="20"/>
          <w:color w:val="auto"/>
        </w:rPr>
      </w:pPr>
    </w:p>
    <w:p>
      <w:pPr>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comment 14 where you state that at the time the letter was executed by SUAC and SEE ID there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definitive agreement, plan, arrangement, commitment or understanding, conditional or otherwise, regarding any merger or business combination transaction between the parties and that the LOI was superseded by the Business Combination Agreement. We also note your disclosure on page 113 that the LOI, among other things, contemplated a pre-money, fully diluted enterprise value ranging from $130 million and also provided for entry into lock-up agreements, a registration rights agreement, voting agreement and a new equity incentive plan. Please revise your disclosure to summarize the terms of the LOI including the initial valuation attributed to the transaction and any analyses that were utilized to determine such valuation. See Item 1605(a) of Regulation S-K.</w:t>
      </w:r>
    </w:p>
    <w:p>
      <w:pPr>
        <w:spacing w:after="0" w:line="18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114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Balance Sheet, page 142</w:t>
      </w:r>
    </w:p>
    <w:p>
      <w:pPr>
        <w:spacing w:after="0" w:line="221" w:lineRule="exact"/>
        <w:rPr>
          <w:sz w:val="20"/>
          <w:szCs w:val="20"/>
          <w:color w:val="auto"/>
        </w:rPr>
      </w:pPr>
    </w:p>
    <w:p>
      <w:pPr>
        <w:ind w:left="660" w:right="720" w:hanging="652"/>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provide us with your detailed calculations to arrive at pro forma adjustment (N) for each scenario and revise,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to provide additional disclosure that supports these calculations.</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144 of the Amendment.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prior comment 18 and reissue in part. Please fully disclose the details of the fee waiver arrangement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business combination discussion and throughout the filing as appropriate. Specifically, please disclose how the waiver was obtained and why Citigroup agreed to the waiver.</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111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 Condensed Combined Balance Sheet, page 148</w:t>
      </w:r>
    </w:p>
    <w:p>
      <w:pPr>
        <w:spacing w:after="0" w:line="203" w:lineRule="exact"/>
        <w:rPr>
          <w:sz w:val="20"/>
          <w:szCs w:val="20"/>
          <w:color w:val="auto"/>
        </w:rPr>
      </w:pPr>
    </w:p>
    <w:p>
      <w:pPr>
        <w:ind w:left="660" w:right="180" w:hanging="652"/>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The pro forma balance sheet information should be limited to the latest balance sheet included in the filing. Please remove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 forma balance sheet as of December 31,2023.</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removed the pro forma balance sheet as of December 31, 2023.</w:t>
      </w:r>
    </w:p>
    <w:p>
      <w:pPr>
        <w:spacing w:after="0" w:line="229" w:lineRule="exact"/>
        <w:rPr>
          <w:sz w:val="20"/>
          <w:szCs w:val="20"/>
          <w:color w:val="auto"/>
        </w:rPr>
      </w:pPr>
    </w:p>
    <w:p>
      <w:pPr>
        <w:ind w:right="456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of SUAC, page 162</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add disclosure for your results for the six months ended June 30, 2023.</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159 of the Amendment.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left="660" w:hanging="652"/>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prior comment 23, including the table on page 169 summarizing the state of development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software products and service offerings. It is unclear what costs are included in “remaining estimated costs”. Please enhance your disclosures to clarify and discuss the various estimated costs required to achieve commercialization, such as software development, marketing, compliance, etc.</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163 of the Amendment.</w:t>
      </w:r>
    </w:p>
    <w:p>
      <w:pPr>
        <w:spacing w:after="0" w:line="229" w:lineRule="exact"/>
        <w:rPr>
          <w:sz w:val="20"/>
          <w:szCs w:val="20"/>
          <w:color w:val="auto"/>
        </w:rPr>
      </w:pPr>
    </w:p>
    <w:p>
      <w:pPr>
        <w:ind w:right="454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of SEE ID, page 182</w:t>
      </w:r>
    </w:p>
    <w:p>
      <w:pPr>
        <w:spacing w:after="0" w:line="158" w:lineRule="exact"/>
        <w:rPr>
          <w:sz w:val="20"/>
          <w:szCs w:val="20"/>
          <w:color w:val="auto"/>
        </w:rPr>
      </w:pPr>
    </w:p>
    <w:p>
      <w:pPr>
        <w:ind w:left="660" w:right="340" w:hanging="652"/>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Throughout the tables in your MD&amp;A revise the Q2 2024 column heading to indicate that information is as of or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w:t>
      </w:r>
    </w:p>
    <w:p>
      <w:pPr>
        <w:spacing w:after="0" w:line="154" w:lineRule="exact"/>
        <w:rPr>
          <w:rFonts w:ascii="Times New Roman" w:cs="Times New Roman" w:eastAsia="Times New Roman" w:hAnsi="Times New Roman"/>
          <w:sz w:val="18"/>
          <w:szCs w:val="18"/>
          <w:color w:val="auto"/>
        </w:rPr>
      </w:pPr>
    </w:p>
    <w:p>
      <w:pPr>
        <w:ind w:left="660"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177, 178, 184 and 185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4" w:lineRule="exact"/>
        <w:rPr>
          <w:rFonts w:ascii="Times New Roman" w:cs="Times New Roman" w:eastAsia="Times New Roman" w:hAnsi="Times New Roman"/>
          <w:sz w:val="18"/>
          <w:szCs w:val="18"/>
          <w:color w:val="auto"/>
        </w:rPr>
      </w:pPr>
    </w:p>
    <w:p>
      <w:pPr>
        <w:ind w:left="660" w:right="80" w:hanging="652"/>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on page 183 you disclose that your platform is due for release in the fourth quarter of 2024. In addition,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185 you disclose that your solution is used by businesses of varying sizes across a broad range of industries. To add context to these disclosures please revise to discuss (1) the relationship between the solution currently used by customers and the platform set for release in the fourth quarter of 2024 and (2) the number of revenue generating customers using your solution. Additionally, ensure your discussion of platform and solution release dates is</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throughout the filing.</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176-177 of the Amendment.</w:t>
      </w:r>
    </w:p>
    <w:p>
      <w:pPr>
        <w:spacing w:after="0" w:line="225" w:lineRule="exact"/>
        <w:rPr>
          <w:rFonts w:ascii="Times New Roman" w:cs="Times New Roman" w:eastAsia="Times New Roman" w:hAnsi="Times New Roman"/>
          <w:sz w:val="18"/>
          <w:szCs w:val="18"/>
          <w:color w:val="auto"/>
        </w:rPr>
      </w:pPr>
    </w:p>
    <w:p>
      <w:pPr>
        <w:ind w:left="660" w:right="420" w:hanging="652"/>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expanded disclosure on page 186, in response to prior comment 27. Please further expand your disclosure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w:t>
      </w:r>
    </w:p>
    <w:p>
      <w:pPr>
        <w:spacing w:after="0" w:line="158"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the most significant basis for your projections which you identify in your response letter as sales pipeline and contract backlog.</w:t>
      </w:r>
    </w:p>
    <w:p>
      <w:pPr>
        <w:spacing w:after="0" w:line="22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balanced disclosure discuss the net loss potential for the potential opportunity projects you referenced that are in the Contract Negotiation phase. For instance, discuss the nature and estimates of other costs, including cost of sales, that you expect to incur under the anticipated contracts.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181-182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SEE ID, Inc.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Development Costs, page F-55</w:t>
      </w:r>
    </w:p>
    <w:p>
      <w:pPr>
        <w:spacing w:after="0" w:line="203" w:lineRule="exact"/>
        <w:rPr>
          <w:sz w:val="20"/>
          <w:szCs w:val="20"/>
          <w:color w:val="auto"/>
        </w:rPr>
      </w:pPr>
    </w:p>
    <w:p>
      <w:pPr>
        <w:ind w:left="660" w:right="80" w:hanging="652"/>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in your response to prior comment 32 regarding post implementation operation stage, you said “SEE ID has not yet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deployed its software, and the related projects are not yet substantially complete and ready for their intended use.” Please reconcile this statement with the disclosure of the current state of software development in the table on page 169 and clarify your disclosures accordingly.</w:t>
      </w:r>
    </w:p>
    <w:p>
      <w:pPr>
        <w:spacing w:after="0" w:line="170" w:lineRule="exact"/>
        <w:rPr>
          <w:rFonts w:ascii="Times New Roman" w:cs="Times New Roman" w:eastAsia="Times New Roman" w:hAnsi="Times New Roman"/>
          <w:sz w:val="18"/>
          <w:szCs w:val="18"/>
          <w:color w:val="auto"/>
        </w:rPr>
      </w:pPr>
    </w:p>
    <w:p>
      <w:pPr>
        <w:ind w:left="66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response to prior comment 32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“SEE ID has not yet deployed its software, and the related projects are not yet substantially complete and ready for their intended use” was intended to reference the current development projects (Gen 2) referenced in the table on page 163 of the Amendment and not all software. Previous ones are already closed.</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Note 7. Equity Incentive Plan, page F-60</w:t>
      </w:r>
    </w:p>
    <w:p>
      <w:pPr>
        <w:spacing w:after="0" w:line="221" w:lineRule="exact"/>
        <w:rPr>
          <w:sz w:val="20"/>
          <w:szCs w:val="20"/>
          <w:color w:val="auto"/>
        </w:rPr>
      </w:pPr>
    </w:p>
    <w:p>
      <w:pPr>
        <w:ind w:left="660" w:right="80" w:hanging="652"/>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in the table provided in response to prior comment 33, you revised in 2024 the exercise price of certain options. Tell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revised the fair value assigned to these options, how you determined the fair value, and reconcile this value to the value established in the Business Combination.</w:t>
      </w:r>
    </w:p>
    <w:p>
      <w:pPr>
        <w:spacing w:after="0" w:line="170" w:lineRule="exact"/>
        <w:rPr>
          <w:rFonts w:ascii="Times New Roman" w:cs="Times New Roman" w:eastAsia="Times New Roman" w:hAnsi="Times New Roman"/>
          <w:sz w:val="18"/>
          <w:szCs w:val="18"/>
          <w:color w:val="auto"/>
        </w:rPr>
      </w:pPr>
    </w:p>
    <w:p>
      <w:pPr>
        <w:ind w:left="660" w:right="2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change in exercise price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Vijayan Nambiar issued on 5/7/2022 was included in our stock comp cumulative catch-up adjustment recorded on 1/1/24. Management considered guidance of ASC 718-20-35-3 through ASC 718-20-35-4 which requires awards with service conditions otherwise probable of vesting, to have modification accounting. However, the incremental compensation cost was calculated using the Black-Scholes option pricing model and was determined to be immaterial. This amount has been included in the $63,082 catch-up recorded on 1/1/24.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Call Option</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at</w:t>
            </w:r>
          </w:p>
        </w:tc>
      </w:t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Borders>
              <w:bottom w:val="single" w:sz="8" w:color="CCEEFF"/>
            </w:tcBorders>
          </w:tcPr>
          <w:p>
            <w:pPr>
              <w:spacing w:after="0"/>
              <w:rPr>
                <w:sz w:val="21"/>
                <w:szCs w:val="21"/>
                <w:color w:val="auto"/>
              </w:rPr>
            </w:pPr>
          </w:p>
        </w:tc>
      </w:tr>
      <w:tr>
        <w:trPr>
          <w:trHeight w:val="24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0.0077</w:t>
            </w:r>
          </w:p>
        </w:tc>
      </w:tr>
      <w:tr>
        <w:trPr>
          <w:trHeight w:val="24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10/1/2021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0.0087</w:t>
            </w:r>
          </w:p>
        </w:tc>
      </w:tr>
      <w:tr>
        <w:trPr>
          <w:trHeight w:val="24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5/7/2022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0.0029</w:t>
            </w:r>
          </w:p>
        </w:tc>
      </w:tr>
      <w:tr>
        <w:trPr>
          <w:trHeight w:val="24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9/1/2022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0.0022</w:t>
            </w:r>
          </w:p>
        </w:tc>
      </w:tr>
      <w:tr>
        <w:trPr>
          <w:trHeight w:val="24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9/23/2022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0.0030</w:t>
            </w:r>
          </w:p>
        </w:tc>
      </w:tr>
      <w:tr>
        <w:trPr>
          <w:trHeight w:val="24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1/1/2023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0.0024</w:t>
            </w:r>
          </w:p>
        </w:tc>
      </w:tr>
      <w:tr>
        <w:trPr>
          <w:trHeight w:val="24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4/4/2023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0.0029</w:t>
            </w:r>
          </w:p>
        </w:tc>
      </w:tr>
      <w:tr>
        <w:trPr>
          <w:trHeight w:val="24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5/30/2023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0.0030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8/29/2023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0.0031</w:t>
            </w:r>
          </w:p>
        </w:tc>
      </w:tr>
      <w:tr>
        <w:trPr>
          <w:trHeight w:val="23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11/21/2023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0.0004</w:t>
            </w: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7/15/2024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The value of the company in the BCA is $130,000,000 assuming fully-diluted shares of 152,909,123 which results in an $0.85 per share value established for common stock in the Business Combination agreement.</w:t>
      </w:r>
    </w:p>
    <w:p>
      <w:pPr>
        <w:spacing w:after="0" w:line="162" w:lineRule="exact"/>
        <w:rPr>
          <w:sz w:val="20"/>
          <w:szCs w:val="20"/>
          <w:color w:val="auto"/>
        </w:rPr>
      </w:pPr>
    </w:p>
    <w:p>
      <w:pPr>
        <w:jc w:val="both"/>
        <w:ind w:left="660" w:right="280"/>
        <w:spacing w:after="0" w:line="258" w:lineRule="auto"/>
        <w:rPr>
          <w:sz w:val="20"/>
          <w:szCs w:val="20"/>
          <w:color w:val="auto"/>
        </w:rPr>
      </w:pPr>
      <w:r>
        <w:rPr>
          <w:rFonts w:ascii="Times New Roman" w:cs="Times New Roman" w:eastAsia="Times New Roman" w:hAnsi="Times New Roman"/>
          <w:sz w:val="18"/>
          <w:szCs w:val="18"/>
          <w:color w:val="auto"/>
        </w:rPr>
        <w:t>Prior to signing the Business Combination Agreement on March 18, 2024, we completed a 409A valuation utilizing Carta Valuations LLC on March 14, 2024 to take into account the terms of the Business Combination Agreement which reflected a discount from the full BCA value to account for the possibility that the transaction doesn’t close to arrive at $0.70 per share of common stock. We used this data point in our Black-Scholes option pricing model to obtain a Call Option Fair Value of $0.51 which will be applied to stock options issued in 2024. As of June 30, 2024 there were no additional stock options issued.</w:t>
      </w:r>
    </w:p>
    <w:p>
      <w:pPr>
        <w:spacing w:after="0" w:line="1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in your response to prior comments 33 and 35 you concluded the errors were</w:t>
      </w:r>
    </w:p>
    <w:p>
      <w:pPr>
        <w:spacing w:after="0" w:line="31" w:lineRule="exact"/>
        <w:rPr>
          <w:rFonts w:ascii="Times New Roman" w:cs="Times New Roman" w:eastAsia="Times New Roman" w:hAnsi="Times New Roman"/>
          <w:sz w:val="18"/>
          <w:szCs w:val="18"/>
          <w:color w:val="auto"/>
        </w:rPr>
      </w:pPr>
    </w:p>
    <w:p>
      <w:pPr>
        <w:ind w:left="660" w:right="26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quantitatively material. Noting that the errors had the effect of under reporting management compensation, with respect to each error please provide us a comprehensive materiality analysis prepared using the guidance is SAB Topic 1:M.</w:t>
      </w:r>
      <w:r>
        <w:rPr>
          <w:rFonts w:ascii="Times New Roman" w:cs="Times New Roman" w:eastAsia="Times New Roman" w:hAnsi="Times New Roman"/>
          <w:sz w:val="29"/>
          <w:szCs w:val="29"/>
          <w:color w:val="auto"/>
          <w:vertAlign w:val="superscript"/>
        </w:rPr>
        <w:t>1</w:t>
      </w:r>
    </w:p>
    <w:p>
      <w:pPr>
        <w:spacing w:after="0" w:line="3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refers the Staff to the below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SEE ID to confirm the response and nothing from the memo should remain confidential.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Error 1 – Omitted stock option awards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discrepancy occurred due to using incomplete information relating to stock options granted when preparing our financial statements with only the information available in our capital management software. Additional records prepared and maintained by our legal staff were subsequently discovered during an internal audit of the original grants and board records.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implemented the following controls to mitigate the risk that future stock options may be incomplete and incorrectly recorded and valued:</w:t>
      </w:r>
    </w:p>
    <w:p>
      <w:pPr>
        <w:spacing w:after="0" w:line="162" w:lineRule="exact"/>
        <w:rPr>
          <w:sz w:val="20"/>
          <w:szCs w:val="20"/>
          <w:color w:val="auto"/>
        </w:rPr>
      </w:pPr>
    </w:p>
    <w:p>
      <w:pPr>
        <w:ind w:left="640" w:hanging="32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issuances are reviewed and approved by the appropriate and authorized individual.</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control log is updated.</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is independently reviewed and approved prior to entry into the system.</w:t>
      </w:r>
    </w:p>
    <w:p>
      <w:pPr>
        <w:spacing w:after="0" w:line="225" w:lineRule="exact"/>
        <w:rPr>
          <w:rFonts w:ascii="Times New Roman" w:cs="Times New Roman" w:eastAsia="Times New Roman" w:hAnsi="Times New Roman"/>
          <w:sz w:val="18"/>
          <w:szCs w:val="18"/>
          <w:color w:val="auto"/>
        </w:rPr>
      </w:pPr>
    </w:p>
    <w:p>
      <w:pPr>
        <w:ind w:left="640" w:right="460" w:hanging="320"/>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to shareholder records are reviewed and approved by appropriate and authorized individuals prior to posting to the general ledger.</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is reconciled to share register maintained by the Stock Transfer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Error 2 – Omitted Restricted Stock Awards and fair value differences</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Restricted stock awards (“RSAs”) totaling 16,537,500 shares of common stock were incorrectly accounted for due to the use of incorrect fair values of the Company’s common stock on the date of grant and the following additional RSA’s identified after the issuance of the financial statements for the year ended December 31, 2023:</w:t>
      </w:r>
    </w:p>
    <w:p>
      <w:pPr>
        <w:spacing w:after="0" w:line="176" w:lineRule="exact"/>
        <w:rPr>
          <w:sz w:val="20"/>
          <w:szCs w:val="20"/>
          <w:color w:val="auto"/>
        </w:rPr>
      </w:pPr>
    </w:p>
    <w:p>
      <w:pPr>
        <w:ind w:left="640" w:hanging="32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Novotny (200,000 shares),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Slayter (100,000 shares),</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Distaso (100,000 shares), and</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Jerry Martinez (200,000 shares),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Additionally, the grant date for the 15,937,500 RSAs issued to Charlie Maddox was changed from the previously used grant date of December 8, 2020 to the correct grant date of January 4, 2021.</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the Company’s common stock at the time the RSAs were granted were updated to reflect corrected valuations of the Company’s common stock value on the date of RSA grants, which had a significant impact on the resulting stock-based compensation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quantitative and qualitative materiality consideration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Issue Discussion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As the Company is preparing its financial statements in accordance with PCAOB standards, even though a non-public entity, management evaluated the above accounting issues considering ASC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and SEC guidance provided in SAB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Issue 1 - Quantitative factors for materiality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M (Materiality), which was added to Topic 1 of Staff Accounting Bulletin No. 99 in August 12, 1990 states, “[t]he staff is aware that certain registrants, over time, have developed quantitative thresholds as “rules of thumb” to assist in the preparation of their financial statements, and that auditors also have used these thresholds in their evaluation of whether items might be considered material to users of a registrant’s financial statements. One rule of thumb suggests that the misstatement or omission of an item that falls under a 5% threshold is not material in the absence of particularly egregious circumstances, such as self-dealing or misappropriation by senior management.”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STAFF ACCOUNTING BULLETIN NO. 108 added Section N to Topic 1 and states that registrants must quantify the impact of correcting all misstatements, including both the carryover and reversing effects of prior year misstatements, on the current year financial statements. The staff believes that this can be accomplished by quantifying an error under both the rollover and iron curtain approaches and by evaluating the error measured under each approach.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Rollover approach</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rollover approach quantifies a misstatement based on the amount of the error originating in the current year income statement. This approach ignores the effects of correcting the portion of the current year balance sheet misstatement that originated in prior years (i.e., it ignores the “carryover effects” of prior year misstatements).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rollover approach approach, the misstatement would have been quantified as $0 of current year stock compensation expense as the errors originated in prior years. Thus, no adjustment would be needed to correct the financial statements for the period ended June 30, 2024 under the rollover approach.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Iron curtain approach</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iron curtain approach quantifies a misstatement based on the effects of correcting the misstatement existing in the balance sheet at the end of the current period (June 30, 2024), irrespective of the misstatement’s year(s) of origination.</w:t>
      </w:r>
    </w:p>
    <w:p>
      <w:pPr>
        <w:spacing w:after="0" w:line="16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Under the iron curtain approach, the misstatement would have been quantified as a $129,207 misstatement based on the end of current period balance sheet misstatement. Thus, the adjustment needed to correct the financial statements for the end of period (June 30, 2024) error would be: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 ($63,082):</w:t>
      </w:r>
    </w:p>
    <w:p>
      <w:pPr>
        <w:spacing w:after="0" w:line="225" w:lineRule="exact"/>
        <w:rPr>
          <w:sz w:val="20"/>
          <w:szCs w:val="20"/>
          <w:color w:val="auto"/>
        </w:rPr>
      </w:pPr>
    </w:p>
    <w:p>
      <w:pPr>
        <w:ind w:left="640" w:hanging="32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Additional Paid In Capital (APIC) by $55,424 for additional stock option awards identified</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Additional Paid In Capital (APIC) by $7,658 for exercise price correction</w:t>
      </w: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u w:val="single" w:color="auto"/>
          <w:color w:val="auto"/>
        </w:rPr>
        <w:t>RSAs ($66,125):</w:t>
      </w:r>
    </w:p>
    <w:p>
      <w:pPr>
        <w:spacing w:after="0" w:line="225" w:lineRule="exact"/>
        <w:rPr>
          <w:sz w:val="20"/>
          <w:szCs w:val="20"/>
          <w:color w:val="auto"/>
        </w:rPr>
      </w:pPr>
    </w:p>
    <w:p>
      <w:pPr>
        <w:ind w:left="1300" w:right="7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decrease Additional Paid In Capital (APIC) for RSAs issued to Charlie Maddox by $54,438 (from $66,938 to $12,500) with a corresponding decrease (credit) in current year stock compensation expense</w:t>
      </w:r>
    </w:p>
    <w:p>
      <w:pPr>
        <w:spacing w:after="0" w:line="161"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APIC for RSAs issued to Ed Nabrotzky by $140,250 (from $66,938 to $207,188) with a corresponding increase (debit) in current year stock compensation expense</w:t>
      </w:r>
    </w:p>
    <w:p>
      <w:pPr>
        <w:spacing w:after="0" w:line="161"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APIC for additional RSAs identified issued prior to 12/31/2023 to Robert Novotny (200,000), Craig Slayter (100,000), Douglas Distaso (100,000) and Jerry Martinez (200,000) with a corresponding increase (debit) in the current year stock compensation expense in the amount of $7,584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of rollover and iron curtain approaches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2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Error Description</w:t>
            </w:r>
          </w:p>
        </w:tc>
        <w:tc>
          <w:tcPr>
            <w:tcW w:w="80" w:type="dxa"/>
            <w:vAlign w:val="bottom"/>
            <w:tcBorders>
              <w:top w:val="single" w:sz="8" w:color="auto"/>
            </w:tcBorders>
          </w:tcPr>
          <w:p>
            <w:pPr>
              <w:spacing w:after="0"/>
              <w:rPr>
                <w:sz w:val="24"/>
                <w:szCs w:val="24"/>
                <w:color w:val="auto"/>
              </w:rPr>
            </w:pPr>
          </w:p>
        </w:tc>
        <w:tc>
          <w:tcPr>
            <w:tcW w:w="38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80" w:type="dxa"/>
            <w:vAlign w:val="bottom"/>
            <w:tcBorders>
              <w:top w:val="single" w:sz="8" w:color="auto"/>
            </w:tcBorders>
          </w:tcPr>
          <w:p>
            <w:pPr>
              <w:spacing w:after="0"/>
              <w:rPr>
                <w:sz w:val="24"/>
                <w:szCs w:val="24"/>
                <w:color w:val="auto"/>
              </w:rPr>
            </w:pPr>
          </w:p>
        </w:tc>
        <w:tc>
          <w:tcPr>
            <w:tcW w:w="44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Prior Year(s)</w:t>
            </w: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81"/>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720" w:type="dxa"/>
            <w:vAlign w:val="bottom"/>
            <w:tcBorders>
              <w:bottom w:val="single" w:sz="8" w:color="auto"/>
              <w:right w:val="single" w:sz="8" w:color="auto"/>
            </w:tcBorders>
          </w:tcPr>
          <w:p>
            <w:pPr>
              <w:spacing w:after="0"/>
              <w:rPr>
                <w:sz w:val="7"/>
                <w:szCs w:val="7"/>
                <w:color w:val="auto"/>
              </w:rPr>
            </w:pPr>
          </w:p>
        </w:tc>
      </w:tr>
      <w:tr>
        <w:trPr>
          <w:trHeight w:val="272"/>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Iron Curtain</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$ 63,082</w:t>
            </w:r>
          </w:p>
        </w:tc>
        <w:tc>
          <w:tcPr>
            <w:tcW w:w="60" w:type="dxa"/>
            <w:vAlign w:val="bottom"/>
          </w:tcPr>
          <w:p>
            <w:pPr>
              <w:spacing w:after="0"/>
              <w:rPr>
                <w:sz w:val="23"/>
                <w:szCs w:val="23"/>
                <w:color w:val="auto"/>
              </w:rPr>
            </w:pPr>
          </w:p>
        </w:tc>
        <w:tc>
          <w:tcPr>
            <w:tcW w:w="3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APIC (stock option)</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3"/>
                <w:szCs w:val="23"/>
                <w:color w:val="auto"/>
              </w:rPr>
            </w:pPr>
          </w:p>
        </w:tc>
        <w:tc>
          <w:tcPr>
            <w:tcW w:w="3720" w:type="dxa"/>
            <w:vAlign w:val="bottom"/>
            <w:tcBorders>
              <w:right w:val="single" w:sz="8" w:color="auto"/>
            </w:tcBorders>
          </w:tcPr>
          <w:p>
            <w:pPr>
              <w:spacing w:after="0"/>
              <w:rPr>
                <w:sz w:val="23"/>
                <w:szCs w:val="23"/>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7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w w:val="95"/>
              </w:rPr>
              <w:t>$ 66,125</w:t>
            </w:r>
          </w:p>
        </w:tc>
        <w:tc>
          <w:tcPr>
            <w:tcW w:w="60" w:type="dxa"/>
            <w:vAlign w:val="bottom"/>
          </w:tcPr>
          <w:p>
            <w:pPr>
              <w:spacing w:after="0"/>
              <w:rPr>
                <w:sz w:val="16"/>
                <w:szCs w:val="16"/>
                <w:color w:val="auto"/>
              </w:rPr>
            </w:pPr>
          </w:p>
        </w:tc>
        <w:tc>
          <w:tcPr>
            <w:tcW w:w="316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APIC (RSA issuances)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Borders>
              <w:right w:val="single" w:sz="8" w:color="auto"/>
            </w:tcBorders>
          </w:tcPr>
          <w:p>
            <w:pPr>
              <w:spacing w:after="0" w:line="20" w:lineRule="exact"/>
              <w:rPr>
                <w:sz w:val="1"/>
                <w:szCs w:val="1"/>
                <w:color w:val="auto"/>
              </w:rPr>
            </w:pPr>
          </w:p>
        </w:tc>
      </w:tr>
      <w:tr>
        <w:trPr>
          <w:trHeight w:val="237"/>
        </w:trPr>
        <w:tc>
          <w:tcPr>
            <w:tcW w:w="2840" w:type="dxa"/>
            <w:vAlign w:val="bottom"/>
            <w:tcBorders>
              <w:left w:val="single" w:sz="8" w:color="auto"/>
              <w:right w:val="single" w:sz="8" w:color="auto"/>
            </w:tcBorders>
          </w:tcPr>
          <w:p>
            <w:pPr>
              <w:spacing w:after="0"/>
              <w:rPr>
                <w:sz w:val="20"/>
                <w:szCs w:val="20"/>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7"/>
              </w:rPr>
              <w:t>$129,207</w:t>
            </w:r>
          </w:p>
        </w:tc>
        <w:tc>
          <w:tcPr>
            <w:tcW w:w="3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81"/>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220" w:type="dxa"/>
            <w:vAlign w:val="bottom"/>
            <w:tcBorders>
              <w:bottom w:val="single" w:sz="8" w:color="auto"/>
              <w:right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720" w:type="dxa"/>
            <w:vAlign w:val="bottom"/>
            <w:tcBorders>
              <w:bottom w:val="single" w:sz="8" w:color="auto"/>
              <w:right w:val="single" w:sz="8" w:color="auto"/>
            </w:tcBorders>
          </w:tcPr>
          <w:p>
            <w:pPr>
              <w:spacing w:after="0"/>
              <w:rPr>
                <w:sz w:val="7"/>
                <w:szCs w:val="7"/>
                <w:color w:val="auto"/>
              </w:rPr>
            </w:pPr>
          </w:p>
        </w:tc>
      </w:tr>
      <w:tr>
        <w:trPr>
          <w:trHeight w:val="272"/>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Rollover</w:t>
            </w:r>
          </w:p>
        </w:tc>
        <w:tc>
          <w:tcPr>
            <w:tcW w:w="80" w:type="dxa"/>
            <w:vAlign w:val="bottom"/>
          </w:tcPr>
          <w:p>
            <w:pPr>
              <w:spacing w:after="0"/>
              <w:rPr>
                <w:sz w:val="23"/>
                <w:szCs w:val="23"/>
                <w:color w:val="auto"/>
              </w:rPr>
            </w:pPr>
          </w:p>
        </w:tc>
        <w:tc>
          <w:tcPr>
            <w:tcW w:w="3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$0 – additional paid in capital</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$ 63,082</w:t>
            </w:r>
          </w:p>
        </w:tc>
        <w:tc>
          <w:tcPr>
            <w:tcW w:w="40" w:type="dxa"/>
            <w:vAlign w:val="bottom"/>
          </w:tcPr>
          <w:p>
            <w:pPr>
              <w:spacing w:after="0"/>
              <w:rPr>
                <w:sz w:val="23"/>
                <w:szCs w:val="23"/>
                <w:color w:val="auto"/>
              </w:rPr>
            </w:pPr>
          </w:p>
        </w:tc>
        <w:tc>
          <w:tcPr>
            <w:tcW w:w="3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APIC (stock option)</w:t>
            </w: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$ 66,125</w:t>
            </w:r>
          </w:p>
        </w:tc>
        <w:tc>
          <w:tcPr>
            <w:tcW w:w="40" w:type="dxa"/>
            <w:vAlign w:val="bottom"/>
          </w:tcPr>
          <w:p>
            <w:pPr>
              <w:spacing w:after="0"/>
              <w:rPr>
                <w:sz w:val="16"/>
                <w:szCs w:val="16"/>
                <w:color w:val="auto"/>
              </w:rPr>
            </w:pPr>
          </w:p>
        </w:tc>
        <w:tc>
          <w:tcPr>
            <w:tcW w:w="372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APIC (RSA issuances)</w:t>
            </w:r>
          </w:p>
        </w:tc>
      </w:tr>
      <w:tr>
        <w:trPr>
          <w:trHeight w:val="237"/>
        </w:trPr>
        <w:tc>
          <w:tcPr>
            <w:tcW w:w="28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7"/>
              </w:rPr>
              <w:t>$129,207</w:t>
            </w:r>
          </w:p>
        </w:tc>
        <w:tc>
          <w:tcPr>
            <w:tcW w:w="3720" w:type="dxa"/>
            <w:vAlign w:val="bottom"/>
            <w:tcBorders>
              <w:right w:val="single" w:sz="8" w:color="auto"/>
            </w:tcBorders>
          </w:tcPr>
          <w:p>
            <w:pPr>
              <w:spacing w:after="0"/>
              <w:rPr>
                <w:sz w:val="20"/>
                <w:szCs w:val="20"/>
                <w:color w:val="auto"/>
              </w:rPr>
            </w:pPr>
          </w:p>
        </w:tc>
      </w:tr>
      <w:tr>
        <w:trPr>
          <w:trHeight w:val="81"/>
        </w:trPr>
        <w:tc>
          <w:tcPr>
            <w:tcW w:w="284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720" w:type="dxa"/>
            <w:vAlign w:val="bottom"/>
            <w:tcBorders>
              <w:bottom w:val="single" w:sz="8" w:color="auto"/>
              <w:right w:val="single" w:sz="8" w:color="auto"/>
            </w:tcBorders>
          </w:tcPr>
          <w:p>
            <w:pPr>
              <w:spacing w:after="0"/>
              <w:rPr>
                <w:sz w:val="7"/>
                <w:szCs w:val="7"/>
                <w:color w:val="auto"/>
              </w:rPr>
            </w:pPr>
          </w:p>
        </w:tc>
      </w:tr>
    </w:tbl>
    <w:p>
      <w:pPr>
        <w:spacing w:after="0" w:line="198"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The Company’s management applied a quantitative threshold of 5% to the affected financial statement line items to determine if a material misstatement exists from a quantitative perspective.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Error evaluation - Quantitative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62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Income statement impact consideration</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w w:val="99"/>
              </w:rPr>
              <w:t>Net loss</w:t>
            </w: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Iron Curtain</w:t>
            </w:r>
          </w:p>
        </w:tc>
        <w:tc>
          <w:tcPr>
            <w:tcW w:w="136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Error</w:t>
            </w: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Rollover</w:t>
            </w:r>
          </w:p>
        </w:tc>
        <w:tc>
          <w:tcPr>
            <w:tcW w:w="12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Error</w:t>
            </w:r>
          </w:p>
        </w:tc>
      </w:tr>
      <w:tr>
        <w:trPr>
          <w:trHeight w:val="24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Period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As reported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(P&amp;L Impact)</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(P&amp;L impact)</w:t>
            </w: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r>
        <w:trPr>
          <w:trHeight w:val="237"/>
        </w:trPr>
        <w:tc>
          <w:tcPr>
            <w:tcW w:w="4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(3,154,011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As shown in the table above, the errors resulted in a less than 5% impact to net loss as reported for the six-months ended June 30, 2024. Loss Per Share for the six-months ended June 30, 2024 as reported was $(0.03) and no change would have resulted from the errors.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Prior period Financial statement perspective</w:t>
      </w:r>
    </w:p>
    <w:p>
      <w:pPr>
        <w:spacing w:after="0" w:line="227"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 the table below, Management evaluated the impact of the errors on prior period financial statements. As See ID, Inc. had not obtained an audit prior to the year ended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Total</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Error</w:t>
            </w: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liabilities</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Error</w:t>
            </w:r>
          </w:p>
        </w:tc>
        <w:tc>
          <w:tcPr>
            <w:tcW w:w="14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Expense</w:t>
            </w:r>
          </w:p>
        </w:tc>
        <w:tc>
          <w:tcPr>
            <w:tcW w:w="11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Error</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FS Period</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Error amount</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 reported</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1,194,747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2,270,145</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1,411,421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0"/>
        </w:trPr>
        <w:tc>
          <w:tcPr>
            <w:tcW w:w="3160" w:type="dxa"/>
            <w:vAlign w:val="bottom"/>
            <w:gridSpan w:val="2"/>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129,207</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1,693,559</w:t>
            </w:r>
          </w:p>
        </w:tc>
        <w:tc>
          <w:tcPr>
            <w:tcW w:w="10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4,647,057</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2,292,699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As shown in the table above, the total of the errors resulted in a slightly higher than 5% impact to total expense as reported for the years ended December 31, 2022 and 2023.</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Issue 2 - Qualitative factors for materiality</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SAB 99 makes it clear that using a quantitative rule of thumb, such as 5% of net income, is only the first step in assessing materiality and concludes that the Company’s management must also consider qualitative factors in its assessment.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SEC in SAB 99 provides a non-exhaustive list of qualitative considerations that may be utilized when assessing the materiality of a financial statement error:</w:t>
      </w:r>
    </w:p>
    <w:p>
      <w:pPr>
        <w:spacing w:after="0" w:line="162" w:lineRule="exact"/>
        <w:rPr>
          <w:sz w:val="20"/>
          <w:szCs w:val="20"/>
          <w:color w:val="auto"/>
        </w:rPr>
      </w:pPr>
    </w:p>
    <w:p>
      <w:pPr>
        <w:ind w:left="640" w:right="80" w:hanging="320"/>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misstatement arises from an item capable of precise measurement or whether it arises from an estimate and, if so, the degree of imprecision inherent in the estimate</w:t>
      </w:r>
    </w:p>
    <w:p>
      <w:pPr>
        <w:spacing w:after="0" w:line="15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erroneous balances noted above are capable of being measured precisely.</w:t>
      </w:r>
    </w:p>
    <w:p>
      <w:pPr>
        <w:spacing w:after="0" w:line="22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misstatement masks a change in earnings or other trends</w:t>
      </w:r>
    </w:p>
    <w:p>
      <w:pPr>
        <w:spacing w:after="0" w:line="22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misstatements do not change earnings or other trends. The Company remains in a significant loss/deficit position.</w:t>
      </w:r>
    </w:p>
    <w:p>
      <w:pPr>
        <w:spacing w:after="0" w:line="227" w:lineRule="exact"/>
        <w:rPr>
          <w:rFonts w:ascii="Times New Roman" w:cs="Times New Roman" w:eastAsia="Times New Roman" w:hAnsi="Times New Roman"/>
          <w:sz w:val="18"/>
          <w:szCs w:val="18"/>
          <w:color w:val="auto"/>
        </w:rPr>
      </w:pPr>
    </w:p>
    <w:p>
      <w:pPr>
        <w:ind w:left="640" w:right="2760" w:hanging="320"/>
        <w:spacing w:after="0" w:line="500"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misstatement hides a failure to meet analysts’ consensus expectations for the enterprise </w:t>
      </w:r>
      <w:r>
        <w:rPr>
          <w:rFonts w:ascii="Times New Roman" w:cs="Times New Roman" w:eastAsia="Times New Roman" w:hAnsi="Times New Roman"/>
          <w:sz w:val="18"/>
          <w:szCs w:val="18"/>
          <w:i w:val="1"/>
          <w:iCs w:val="1"/>
          <w:color w:val="auto"/>
        </w:rPr>
        <w:t>None noted.</w:t>
      </w:r>
    </w:p>
    <w:p>
      <w:pPr>
        <w:spacing w:after="0" w:line="1" w:lineRule="exact"/>
        <w:rPr>
          <w:rFonts w:ascii="Times New Roman" w:cs="Times New Roman" w:eastAsia="Times New Roman" w:hAnsi="Times New Roman"/>
          <w:sz w:val="18"/>
          <w:szCs w:val="18"/>
          <w:color w:val="auto"/>
        </w:rPr>
      </w:pPr>
    </w:p>
    <w:p>
      <w:pPr>
        <w:ind w:left="640" w:right="5140" w:hanging="320"/>
        <w:spacing w:after="0" w:line="500"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misstatement changes a loss into income or vice versa </w:t>
      </w:r>
      <w:r>
        <w:rPr>
          <w:rFonts w:ascii="Times New Roman" w:cs="Times New Roman" w:eastAsia="Times New Roman" w:hAnsi="Times New Roman"/>
          <w:sz w:val="18"/>
          <w:szCs w:val="18"/>
          <w:i w:val="1"/>
          <w:iCs w:val="1"/>
          <w:color w:val="auto"/>
        </w:rPr>
        <w:t>The misstatement does not change loss to income.</w:t>
      </w:r>
    </w:p>
    <w:p>
      <w:pPr>
        <w:spacing w:after="0" w:line="1" w:lineRule="exact"/>
        <w:rPr>
          <w:rFonts w:ascii="Times New Roman" w:cs="Times New Roman" w:eastAsia="Times New Roman" w:hAnsi="Times New Roman"/>
          <w:sz w:val="18"/>
          <w:szCs w:val="18"/>
          <w:color w:val="auto"/>
        </w:rPr>
      </w:pPr>
    </w:p>
    <w:p>
      <w:pPr>
        <w:ind w:left="640" w:right="60" w:hanging="320"/>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misstatement concerns a segment or other portion of the registrant’s business that has been identified as playing a significant role in the registrant’s operations or profitability</w:t>
      </w:r>
    </w:p>
    <w:p>
      <w:pPr>
        <w:spacing w:after="0" w:line="159" w:lineRule="exact"/>
        <w:rPr>
          <w:rFonts w:ascii="Times New Roman" w:cs="Times New Roman" w:eastAsia="Times New Roman" w:hAnsi="Times New Roman"/>
          <w:sz w:val="18"/>
          <w:szCs w:val="18"/>
          <w:color w:val="auto"/>
        </w:rPr>
      </w:pPr>
    </w:p>
    <w:p>
      <w:pPr>
        <w:ind w:left="6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misstatement does not concern a segment or other portion of the Company’s business that has been identified as playing a significant role in the registrant’s operations or profitability.</w:t>
      </w:r>
    </w:p>
    <w:p>
      <w:pPr>
        <w:spacing w:after="0" w:line="160" w:lineRule="exact"/>
        <w:rPr>
          <w:rFonts w:ascii="Times New Roman" w:cs="Times New Roman" w:eastAsia="Times New Roman" w:hAnsi="Times New Roman"/>
          <w:sz w:val="18"/>
          <w:szCs w:val="18"/>
          <w:color w:val="auto"/>
        </w:rPr>
      </w:pPr>
    </w:p>
    <w:p>
      <w:pPr>
        <w:ind w:left="640" w:right="3440" w:hanging="320"/>
        <w:spacing w:after="0" w:line="53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misstatement affects the registrant’s compliance with regulatory requirements </w:t>
      </w:r>
      <w:r>
        <w:rPr>
          <w:rFonts w:ascii="Times New Roman" w:cs="Times New Roman" w:eastAsia="Times New Roman" w:hAnsi="Times New Roman"/>
          <w:sz w:val="18"/>
          <w:szCs w:val="18"/>
          <w:i w:val="1"/>
          <w:iCs w:val="1"/>
          <w:color w:val="auto"/>
        </w:rPr>
        <w:t>None noted.</w:t>
      </w:r>
    </w:p>
    <w:p>
      <w:pPr>
        <w:spacing w:after="0" w:line="1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0" w:right="359" w:bottom="1440" w:gutter="0" w:footer="0" w:header="0"/>
        </w:sectPr>
      </w:pPr>
    </w:p>
    <w:bookmarkStart w:id="9" w:name="page10"/>
    <w:bookmarkEnd w:id="9"/>
    <w:p>
      <w:pPr>
        <w:ind w:left="1300" w:right="1660" w:hanging="320"/>
        <w:spacing w:after="0" w:line="500"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misstatement affects the registrant’s compliance with loan covenants or other contractual requirements </w:t>
      </w:r>
      <w:r>
        <w:rPr>
          <w:rFonts w:ascii="Times New Roman" w:cs="Times New Roman" w:eastAsia="Times New Roman" w:hAnsi="Times New Roman"/>
          <w:sz w:val="18"/>
          <w:szCs w:val="18"/>
          <w:i w:val="1"/>
          <w:iCs w:val="1"/>
          <w:color w:val="auto"/>
        </w:rPr>
        <w:t>None noted.</w:t>
      </w:r>
    </w:p>
    <w:p>
      <w:pPr>
        <w:spacing w:after="0" w:line="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misstatement has the effect of increasing management’s compensation — for example, by satisfying requirements for the award of bonuses or other forms of incentive compensation</w:t>
      </w:r>
    </w:p>
    <w:p>
      <w:pPr>
        <w:spacing w:after="0" w:line="15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misstatements have no impact on management’s compensation as such compensations are based on contractual agreements.</w:t>
      </w:r>
    </w:p>
    <w:p>
      <w:pPr>
        <w:spacing w:after="0" w:line="227" w:lineRule="exact"/>
        <w:rPr>
          <w:rFonts w:ascii="Times New Roman" w:cs="Times New Roman" w:eastAsia="Times New Roman" w:hAnsi="Times New Roman"/>
          <w:sz w:val="18"/>
          <w:szCs w:val="18"/>
          <w:color w:val="auto"/>
        </w:rPr>
      </w:pPr>
    </w:p>
    <w:p>
      <w:pPr>
        <w:ind w:left="1300" w:right="4540" w:hanging="320"/>
        <w:spacing w:after="0" w:line="498"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misstatement involves concealment of an unlawful transaction </w:t>
      </w:r>
      <w:r>
        <w:rPr>
          <w:rFonts w:ascii="Times New Roman" w:cs="Times New Roman" w:eastAsia="Times New Roman" w:hAnsi="Times New Roman"/>
          <w:sz w:val="18"/>
          <w:szCs w:val="18"/>
          <w:i w:val="1"/>
          <w:iCs w:val="1"/>
          <w:color w:val="auto"/>
        </w:rPr>
        <w:t>None noted.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When combined, the misstatements did not result in a 5 percent or greater misstatement of net loss or earnings per share for the six-months ended June 30, 2024, nor were any criteria that might suggest the misstatements were qualitatively material met.</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errors were determined to be immaterial and were corrected and disclosed in the financial statements for the period ended June 30, 2024, with no restatement of prior period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response to comment 5 that Sheldon Paul is a board member who is also</w:t>
      </w:r>
    </w:p>
    <w:p>
      <w:pPr>
        <w:spacing w:after="0" w:line="31"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in SEE ID and the owner of a partner distribution company, Pope Technologies LLC. We also note that Pope Technologies LLC is SEE ID’s primary distributor. Please file the agreement as an exhibit and include any relevant risk factor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as appropriate.</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filed the agreement as Exhibit 10.10 to the Amendment.</w:t>
      </w:r>
    </w:p>
    <w:p>
      <w:pPr>
        <w:spacing w:after="0" w:line="229"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We hope that the foregoing responses address the issues raised in the Comment Letter and would be happy to discuss with you any remaining questions or concerns that you may have. Please contact Penny Minna at (410) 580-4228 should you have any questions concerning this letter or require further information.</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Phyllis 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Phyllis Newhouse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SEE ID, Inc.</w:t>
      </w:r>
    </w:p>
    <w:p>
      <w:pPr>
        <w:spacing w:after="0" w:line="207" w:lineRule="exact"/>
        <w:rPr>
          <w:sz w:val="20"/>
          <w:szCs w:val="20"/>
          <w:color w:val="auto"/>
        </w:rPr>
      </w:pPr>
    </w:p>
    <w:p>
      <w:pPr>
        <w:ind w:left="660" w:right="8940" w:hanging="652"/>
        <w:spacing w:after="0" w:line="312"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p>
      <w:pPr>
        <w:spacing w:after="0" w:line="3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5"/>
    </w:lvl>
  </w:abstractNum>
  <w:abstractNum w:abstractNumId="3">
    <w:nsid w:val="140E0F76"/>
    <w:multiLevelType w:val="hybridMultilevel"/>
    <w:lvl w:ilvl="0">
      <w:lvlJc w:val="left"/>
      <w:lvlText w:val="%1."/>
      <w:numFmt w:val="decimal"/>
      <w:start w:val="6"/>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2"/>
    </w:lvl>
    <w:lvl w:ilvl="1">
      <w:lvlJc w:val="left"/>
      <w:lvlText w:val="●"/>
      <w:numFmt w:val="bullet"/>
      <w:start w:val="1"/>
    </w:lvl>
  </w:abstractNum>
  <w:abstractNum w:abstractNumId="9">
    <w:nsid w:val="41A7C4C9"/>
    <w:multiLevelType w:val="hybridMultilevel"/>
    <w:lvl w:ilvl="0">
      <w:lvlJc w:val="left"/>
      <w:lvlText w:val="%1."/>
      <w:numFmt w:val="decimal"/>
      <w:start w:val="15"/>
    </w:lvl>
  </w:abstractNum>
  <w:abstractNum w:abstractNumId="10">
    <w:nsid w:val="6B68079A"/>
    <w:multiLevelType w:val="hybridMultilevel"/>
    <w:lvl w:ilvl="0">
      <w:lvlJc w:val="left"/>
      <w:lvlText w:val="%1."/>
      <w:numFmt w:val="decimal"/>
      <w:start w:val="16"/>
    </w:lvl>
  </w:abstractNum>
  <w:abstractNum w:abstractNumId="11">
    <w:nsid w:val="4E6AFB66"/>
    <w:multiLevelType w:val="hybridMultilevel"/>
    <w:lvl w:ilvl="0">
      <w:lvlJc w:val="left"/>
      <w:lvlText w:val="%1."/>
      <w:numFmt w:val="decimal"/>
      <w:start w:val="17"/>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7"/>
    </w:lvl>
  </w:abstractNum>
  <w:abstractNum w:abstractNumId="19">
    <w:nsid w:val="436C6125"/>
    <w:multiLevelType w:val="hybridMultilevel"/>
    <w:lvl w:ilvl="0">
      <w:lvlJc w:val="left"/>
      <w:lvlText w:val="%1."/>
      <w:numFmt w:val="decimal"/>
      <w:start w:val="18"/>
    </w:lvl>
    <w:lvl w:ilvl="1">
      <w:lvlJc w:val="left"/>
      <w:lvlText w:val="*"/>
      <w:numFmt w:val="bullet"/>
      <w:start w:val="1"/>
    </w:lvl>
  </w:abstractNum>
  <w:abstractNum w:abstractNumId="20">
    <w:nsid w:val="628C895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2025-02-14T23:10:34Z</dcterms:created>
  <dcterms:modified xsi:type="dcterms:W3CDTF">2025-02-14T23:10:34Z</dcterms:modified>
</cp:coreProperties>
</file>